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EntitySelect label-aktivasyon kusuru: WmsField label sarmali icindeki secenek tiklamasi secimi aninda temizliyordu (Uretim MRP Yeni Recete mamul alani ve tum WmsField+EntitySelect formlari)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(fix/entityselect-label-aktivasyonu @ 79dcbab push edildi; canli dev :5198 dogrulamasi OK; master merge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WmsField cocuklarini label elementiyle sariyor; EntitySelect secenek satiri duz div oldugundan tiklama label aktivasyonuyla label icindeki ilk form kontrolune iletiliyor; secim aninda kompakt gorunume gecildigi icin bu kontrol yeni render edilen temizle dugmesi (btn btn-ghost) oluyor ve secim aninda siliniyordu. DUZELTME: EntitySelect dropdown ici tum tiklama noktalarina (secenek satiri, olustur dugmeleri, temizle, kompakt kart) e.preventDefault() eklendi — label aktivasyonu iptal edildi, label elementi korundugu icin erisilebilirlik kaybi yok; tek noktadan tum WmsField+EntitySelect formlari duzeldi, 4 dil etkilenmedi. DOGRULAMA (dev :5198, admin): Yeni Recete modalinda mamul secimi iki ayri denemede kalici (150.01 Levrek Fileto, 150.02 Kalamar); capture-fazi click logunda btn-ghost'a giden ikinci sentetik click YOK; temizle dugmesi calismaya devam ediyor; kontrol deneyi preventDefault'suz label iletiminin hala olustugunu (1 click) ve preventDefault ile kesildigini (0 click) kanitladi. NOT: dogrulama girisinde lisans koltuk limiti doluydu — bayat terminal kimligi (Terminal-5134) devralinarak asildi, dev DB'de kayit silinmedi.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