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08080"/>
          <w:sz w:val="20"/>
          <w:szCs w:val="20"/>
        </w:rPr>
        <w:t xml:space="preserve">SUPPLY CHAIN ANALYTICS — SEMESTER PROJECT</w:t>
      </w:r>
    </w:p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Synthetic Weekly Demand Dataset</w:t>
      </w:r>
    </w:p>
    <w:p>
      <w:pPr>
        <w:spacing w:after="300"/>
      </w:pPr>
      <w:r>
        <w:rPr>
          <w:b/>
          <w:bCs/>
          <w:sz w:val="26"/>
          <w:szCs w:val="26"/>
        </w:rPr>
        <w:t xml:space="preserve">Colgate Total Advanced Health — Colgate-Palmolive (Pakistan) Ltd. (PSX: COLG)</w:t>
      </w:r>
    </w:p>
    <w:p>
      <w:pPr>
        <w:pBdr>
          <w:bottom w:val="single" w:color="1F3864" w:sz="8" w:space="4"/>
        </w:pBdr>
        <w:spacing w:after="40"/>
      </w:pPr>
      <w:r>
        <w:t xml:space="preserve"/>
      </w:r>
    </w:p>
    <w:p>
      <w:pPr>
        <w:spacing w:after="160"/>
      </w:pPr>
      <w:r>
        <w:rPr>
          <w:b/>
          <w:bCs/>
          <w:i/>
          <w:iCs/>
          <w:sz w:val="21"/>
          <w:szCs w:val="21"/>
        </w:rPr>
        <w:t xml:space="preserve">Illustrative data, calibrated to Colgate Palmolive's disclosed scale — not actual company figures.</w:t>
      </w:r>
    </w:p>
    <w:p>
      <w:pPr>
        <w:pStyle w:val="Heading2"/>
        <w:spacing w:after="120" w:before="240"/>
      </w:pPr>
      <w:r>
        <w:rPr>
          <w:color w:val="1F3864"/>
        </w:rPr>
        <w:t xml:space="preserve">1. Real-World Context Used for Calibration</w:t>
      </w:r>
    </w:p>
    <w:p>
      <w:pPr>
        <w:spacing w:after="160"/>
      </w:pPr>
      <w:r>
        <w:rPr>
          <w:sz w:val="21"/>
          <w:szCs w:val="21"/>
        </w:rPr>
        <w:t xml:space="preserve">This synthetic dataset is scaled against Colgate-Palmolive (Pakistan)'s most recently disclosed fiscal-year results, summarized below.</w:t>
      </w:r>
    </w:p>
    <w:p>
      <w:pPr>
        <w:spacing w:after="160"/>
      </w:pPr>
      <w:r>
        <w:rPr>
          <w:sz w:val="21"/>
          <w:szCs w:val="21"/>
        </w:rPr>
        <w:t xml:space="preserve">• Most recently disclosed annual revenue (FY2025, year ended 30 June 2025): PKR 116.0 billion (up ~2.0% year-on-year — nearly flat in real terms after inflation).</w:t>
      </w:r>
    </w:p>
    <w:p>
      <w:pPr>
        <w:spacing w:after="160"/>
      </w:pPr>
      <w:r>
        <w:rPr>
          <w:sz w:val="21"/>
          <w:szCs w:val="21"/>
        </w:rPr>
        <w:t xml:space="preserve">• Fiscal year-end: 30 June.</w:t>
      </w:r>
    </w:p>
    <w:p>
      <w:pPr>
        <w:spacing w:after="160"/>
      </w:pPr>
      <w:r>
        <w:rPr>
          <w:sz w:val="21"/>
          <w:szCs w:val="21"/>
        </w:rPr>
        <w:t xml:space="preserve">• Sector: FMCG — household, personal care and oral care products.</w:t>
      </w:r>
    </w:p>
    <w:p>
      <w:pPr>
        <w:pStyle w:val="Heading2"/>
        <w:spacing w:after="120" w:before="240"/>
      </w:pPr>
      <w:r>
        <w:rPr>
          <w:color w:val="1F3864"/>
        </w:rPr>
        <w:t xml:space="preserve">2. How the Weekly Volume Was Estimated</w:t>
      </w:r>
    </w:p>
    <w:p>
      <w:pPr>
        <w:spacing w:after="160"/>
      </w:pPr>
      <w:r>
        <w:rPr>
          <w:sz w:val="21"/>
          <w:szCs w:val="21"/>
        </w:rPr>
        <w:t xml:space="preserve">Company-wide revenue cannot be assigned directly to a single SKU, so the starting weekly volume was derived through a top-down allocation: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Oral care (toothpaste, toothbrush, mouthwash) assumed at ~45% of total company revenue → ~PKR 52 billion/year.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Toothpaste assumed at ~70% of oral-care revenue → ~PKR 36 billion/year.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"Total Advanced Health" assumed to hold ~8% share among 8–10 toothpaste variants in the portfolio → ~PKR 2.8 billion/year (~PKR 54 million/week).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At an assumed shelf price of ~PKR 245/tube, this implies a starting baseline of roughly 215,000–225,000 units sold per week.</w:t>
      </w:r>
    </w:p>
    <w:p>
      <w:pPr>
        <w:pStyle w:val="Heading2"/>
        <w:spacing w:after="120" w:before="240"/>
      </w:pPr>
      <w:r>
        <w:rPr>
          <w:color w:val="1F3864"/>
        </w:rPr>
        <w:t xml:space="preserve">3. Assumptions Behind the Time 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Starting weekly demand: ~218,000 units, based on the top-down revenue allocation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Trend: a modest ~4.6% annualized growth rate, reflecting Colgate Pakistan's reported pattern of inflation-led, largely flat real growth rather than strong volume expansion.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Seasonality: demand lifts of +18% during Ramadan and +30% during Eid-ul-Fitr (stock-up ahead of gifting/visiting season), a smaller +12% lift around Eid-ul-Adha, +8% during back-to-school periods (January and August), and a -6% dip during monsoon months (July–August) reflecting distribution disruption.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Promotions: roughly 15–20% of weeks carry a promotional flag with a 10–40% demand lift and a modest price discount, clustered more heavily around Ramadan and back-to-school periods.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Pricing: the unit price steps up periodically (four hikes of ~6–10% across the two years) to simulate inflation-driven price increases, consistent with FMCG pricing behavior in a high-inflation economy.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Noise: ±5% random week-to-week variability was layered on top of trend and seasonality, since real demand is never perfectly smooth.</w:t>
      </w:r>
    </w:p>
    <w:p>
      <w:pPr>
        <w:pStyle w:val="Heading2"/>
        <w:spacing w:after="120" w:before="240"/>
      </w:pPr>
      <w:r>
        <w:rPr>
          <w:color w:val="1F3864"/>
        </w:rPr>
        <w:t xml:space="preserve">4. Limitations — What This Dataset Does NOT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Actual Colgate Total Advanced Health sales figures — Colgate-Palmolive does not publicly disclose SKU-level sales, so all volumes here are illustrative estimates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Competitor actions (e.g., P&amp;G, Unilever oral-care campaigns) that would realistically shift week-to-week demand.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Real distributor and retailer stocking/de-stocking behavior, which often amplifies short-term demand swings.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Currency devaluation shocks, tax policy changes, or genuine one-off supply disruptions specific to any real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dataset is intended purely as a realistic practice ground for demand forecasting techniques (e.g., decomposition, exponential smoothing, ARIMA) — not as a substitute for actual company data.</w:t>
      </w:r>
    </w:p>
    <w:p>
      <w:pPr>
        <w:pageBreakBefore/>
      </w:pPr>
      <w:r>
        <w:t xml:space="preserv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color w:val="1F3864"/>
        </w:rPr>
        <w:t xml:space="preserve">Weekly Demand Dataset — Full 104-Week Series</w:t>
      </w:r>
    </w:p>
    <w:p>
      <w:pPr>
        <w:spacing w:after="160"/>
      </w:pPr>
      <w:r>
        <w:rPr>
          <w:sz w:val="21"/>
          <w:szCs w:val="21"/>
        </w:rPr>
        <w:t xml:space="preserve">Product: Colgate Total Advanced Health  |  Period: 1 July 2024 – 22 June 2026 (104 weeks / 2 fiscal years, FY2025–FY2026)</w:t>
      </w:r>
    </w:p>
    <w:tbl>
      <w:tblPr>
        <w:tblW w:type="dxa" w:w="11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1800"/>
        <w:gridCol w:w="1700"/>
        <w:gridCol w:w="1800"/>
        <w:gridCol w:w="1600"/>
        <w:gridCol w:w="41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 Start Date</w:t>
            </w:r>
          </w:p>
        </w:tc>
        <w:tc>
          <w:tcPr>
            <w:tcW w:type="dxa" w:w="1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Units Sold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 Price (PKR)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Promotion Flag</w:t>
            </w:r>
          </w:p>
        </w:tc>
        <w:tc>
          <w:tcPr>
            <w:tcW w:type="dxa" w:w="4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2024-07-01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226,600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2024-07-08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219,600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2024-07-15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195,600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2024-07-22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228,200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216.1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disruption; Promotion (22% demand lift)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2024-07-29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203,200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2024-08-05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205,700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2024-08-12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199,000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2024-08-19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204,100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2024-08-26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225,000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2024-09-02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220,500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2024-09-09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229,500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increase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2024-09-16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245,400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247.0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(12% demand lift)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2024-09-23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226,500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2024-09-30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203,700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2024-10-07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210,500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2024-10-14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230,500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2024-10-21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230,300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2024-10-28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210,100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2024-11-04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266,900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236.8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(16%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2024-11-11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266,800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243.1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(18% demand lift)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2024-11-18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216,500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2024-11-25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227,500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2024-12-02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213,000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2024-12-09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210,100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2024-12-16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228,100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2024-12-23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232,000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2024-12-30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223,600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Back-to-school demand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2025-01-06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234,500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Back-to-school demand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2025-01-13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241,500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Back-to-school demand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2025-01-20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226,300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2025-01-27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230,100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2025-02-03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249,800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2025-02-10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217,700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2025-02-17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214,900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2025-02-24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263,800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2025-03-03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274,900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2025-03-10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276,000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stock-up; Price increase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2025-03-17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360,200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257.8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stock-up; Promotion (39% demand lift)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2025-03-24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361,100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249.9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stock-up; Eid-ul-Fitr week; Promotion (11%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2025-03-31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274,300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Eid-ul-Fitr week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2025-04-07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238,100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267.3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(21%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2025-04-14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220,300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2025-04-21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286,000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261.2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(31%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2025-04-28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224,100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2025-05-05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305,700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256.7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(23%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2025-05-12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219,900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2025-05-19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237,500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2025-05-26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249,500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2025-06-02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243,100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Eid-ul-Adha week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2025-06-09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241,200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Eid-ul-Adha week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2025-06-16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208,300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2025-06-23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222,800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2025-06-30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298,100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248.1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(19%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2025-07-07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217,900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2025-07-14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235,100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2025-07-21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222,600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2025-07-28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290,800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249.1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Back-to-school demand; Monsoon distribution disruption; Promotion (24%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2025-08-04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264,100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258.6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Back-to-school demand; Monsoon distribution disruption; Promotion (24% demand lift)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2025-08-11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321,300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256.1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Back-to-school demand; Monsoon distribution disruption; Promotion (36%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2025-08-18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228,500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2025-08-25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202,300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Monsoon distribution disruption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2025-09-01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264,000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281.5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2025-09-08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235,700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increase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2025-09-15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235,600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2025-09-22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231,200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2025-09-29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307,400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271.8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(28% demand lift)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2025-10-06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233,400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2025-10-13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227,400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2025-10-20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232,300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2025-10-27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237,200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2025-11-03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211,400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2025-11-10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235,000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2025-11-17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241,800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2025-11-24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239,000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2025-12-01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229,900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2025-12-08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215,100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2025-12-15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290,800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274.1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(22%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2025-12-22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226,000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2025-12-29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242,600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Back-to-school demand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2026-01-05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353,300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276.3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Back-to-school demand; Promotion (37% demand lift)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2026-01-12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248,100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Back-to-school demand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2026-01-19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232,400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2026-01-26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259,900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2026-02-02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228,800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2026-02-09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226,000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2026-02-16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277,400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2026-02-23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333,100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287.8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stock-up; Promotion (21%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2026-03-02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301,100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303.3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2026-03-09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294,900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stock-up; Price increase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2026-03-16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360,000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Ramadan - higher oral care stock-up; Eid-ul-Fitr week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2026-03-23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294,300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Eid-ul-Fitr week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2026-03-30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265,200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2026-04-06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235,700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2026-04-13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231,900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2026-04-20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240,300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2026-04-27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230,800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2026-05-04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268,800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301.0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(15% demand lift)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2026-05-11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313,100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293.0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Promotion (36% demand lift)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2026-05-18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227,900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2026-05-25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256,100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Eid-ul-Adha week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2026-06-01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274,100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Eid-ul-Adha week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2026-06-08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234,300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2026-06-15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223,700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2026-06-22</w:t>
            </w:r>
          </w:p>
        </w:tc>
        <w:tc>
          <w:tcPr>
            <w:tcW w:type="dxa" w:w="17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248,800</w:t>
            </w:r>
          </w:p>
        </w:tc>
        <w:tc>
          <w:tcPr>
            <w:tcW w:type="dxa" w:w="18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326.6</w:t>
            </w:r>
          </w:p>
        </w:tc>
        <w:tc>
          <w:tcPr>
            <w:tcW w:type="dxa" w:w="16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100"/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2026-09-08T12:20:29.823Z</dcterms:created>
  <dcterms:modified xsi:type="dcterms:W3CDTF">2026-09-08T12:20:29.824Z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