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Colgate Total Advanced Health</w:t>
        <w:br/>
      </w:r>
      <w:r>
        <w:rPr>
          <w:b/>
          <w:sz w:val="26"/>
        </w:rPr>
        <w:t>Synthetic Weekly Demand Dataset — 104 Weeks</w:t>
      </w:r>
    </w:p>
    <w:p>
      <w:pPr>
        <w:jc w:val="center"/>
      </w:pPr>
      <w:r>
        <w:rPr>
          <w:i/>
          <w:sz w:val="18"/>
        </w:rPr>
        <w:t>Illustrative data, calibrated to Colgate-Palmolive (Pakistan) Limited's disclosed scale — not actual company figures.</w:t>
      </w:r>
    </w:p>
    <w:p>
      <w:pPr>
        <w:pStyle w:val="Heading1"/>
      </w:pPr>
      <w:r>
        <w:t>Scale Calibration</w:t>
      </w:r>
    </w:p>
    <w:p>
      <w:r>
        <w:t>Colgate-Palmolive (Pakistan) Limited's latest disclosed annual sales used for calibration are PKR 125.220 billion for FY2026, with a June 30 fiscal year-end. For this illustrative exercise, Colgate Total Advanced Health is assumed to represent a relatively small share of the company's portfolio. An initial demand level of approximately 100,000 tubes per week is therefore used, rather than attributing the company's total revenue to one product.</w:t>
      </w:r>
    </w:p>
    <w:p>
      <w:pPr>
        <w:pStyle w:val="Heading1"/>
      </w:pPr>
      <w:r>
        <w:t>Dataset</w:t>
      </w:r>
    </w:p>
    <w:p>
      <w:r>
        <w:t>The following table contains 104 consecutive weekly observations from September 2, 2024 through August 24, 2026. Units Sold is the main demand variable; price, promotion status, and notes are included as explanatory variables for forecasting practice.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512"/>
            <w:vAlign w:val="center"/>
          </w:tcPr>
          <w:p>
            <w:r>
              <w:rPr>
                <w:b/>
                <w:sz w:val="15"/>
              </w:rPr>
              <w:t>Week_Start_Date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5"/>
              </w:rPr>
              <w:t>Units_Sold</w:t>
            </w:r>
          </w:p>
        </w:tc>
        <w:tc>
          <w:tcPr>
            <w:tcW w:type="dxa" w:w="1368"/>
            <w:vAlign w:val="center"/>
          </w:tcPr>
          <w:p>
            <w:r>
              <w:rPr>
                <w:b/>
                <w:sz w:val="15"/>
              </w:rPr>
              <w:t>Unit_Price_PKR</w:t>
            </w:r>
          </w:p>
        </w:tc>
        <w:tc>
          <w:tcPr>
            <w:tcW w:type="dxa" w:w="1080"/>
            <w:vAlign w:val="center"/>
          </w:tcPr>
          <w:p>
            <w:r>
              <w:rPr>
                <w:b/>
                <w:sz w:val="15"/>
              </w:rPr>
              <w:t>Promotion_Flag</w:t>
            </w:r>
          </w:p>
        </w:tc>
        <w:tc>
          <w:tcPr>
            <w:tcW w:type="dxa" w:w="3888"/>
            <w:vAlign w:val="center"/>
          </w:tcPr>
          <w:p>
            <w:r>
              <w:rPr>
                <w:b/>
                <w:sz w:val="15"/>
              </w:rPr>
              <w:t>Notes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2024-09-02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101,443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470.00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2024-09-09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98,094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470.59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2024-09-16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102,393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471.19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2024-09-23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107,088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471.78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2024-09-30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97,394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472.37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2024-10-07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97,169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472.97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2024-10-14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106,665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473.56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2024-10-21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101,924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474.15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2024-10-28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104,500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441.12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Retail promotion/discount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2024-11-04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94,265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475.34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2024-11-11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98,034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475.93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2024-11-18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86,342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476.53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2024-11-25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87,209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477.12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2024-12-02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93,354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477.71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2024-12-09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91,098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478.30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2024-12-16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98,452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478.90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2024-12-23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92,408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479.49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2024-12-30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109,942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460.53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Retail promotion/discount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2025-01-06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99,016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480.68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2025-01-13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91,807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481.27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2025-01-20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97,689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481.86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2025-01-27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102,514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482.46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2025-02-03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96,610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483.05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2025-02-10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106,559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483.64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2025-02-17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102,150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484.24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2025-02-24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115,220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484.83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Ramadan/Eid seasonal uplift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2025-03-03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114,259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509.69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Ramadan/Eid seasonal uplift; Illustrative price increase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2025-03-10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146,335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459.17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Retail promotion/discount; Ramadan/Eid seasonal uplift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2025-03-17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125,269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486.61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Ramadan/Eid seasonal uplift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2025-03-24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112,319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487.20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Ramadan/Eid seasonal uplift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2025-03-31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129,467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487.80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Ramadan/Eid seasonal uplift; Eid week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2025-04-07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107,860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488.39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Ramadan/Eid seasonal uplift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2025-04-14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102,383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488.98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2025-04-21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111,377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489.58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2025-04-28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114,210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490.17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2025-05-05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110,215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490.76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2025-05-12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107,829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491.36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2025-05-19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106,007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491.95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2025-05-26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131,453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461.92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Retail promotion/discount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2025-06-02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103,159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493.13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2025-06-09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107,615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493.73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2025-06-16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94,830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494.32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2025-06-23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106,370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494.91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2025-06-30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101,915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495.51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2025-07-07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99,990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496.10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2025-07-14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107,207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496.69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2025-07-21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109,571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497.29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2025-07-28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109,079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497.88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2025-08-04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99,116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498.47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2025-08-11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132,519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474.70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Retail promotion/discount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2025-08-18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101,580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499.66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2025-08-25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103,474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500.25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2025-09-01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98,348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525.89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Illustrative price increase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2025-09-08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97,942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501.44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2025-09-15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109,570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502.03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2025-09-22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112,659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502.63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2025-09-29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104,288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503.22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2025-10-06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110,244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503.81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2025-10-13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122,908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478.21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Retail promotion/discount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2025-10-20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108,358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505.00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2025-10-27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103,219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505.59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2025-11-03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111,895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506.19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2025-11-10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87,873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506.78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2025-11-17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106,996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507.37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2025-11-24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102,661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507.97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2025-12-01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100,426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508.56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2025-12-08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102,712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509.15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2025-12-15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91,262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509.74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2025-12-22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130,733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488.79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Retail promotion/discount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2025-12-29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95,046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510.93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2026-01-05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99,746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511.52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2026-01-12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102,471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512.12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2026-01-19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111,874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512.71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2026-01-26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109,699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513.30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2026-02-02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105,880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513.90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2026-02-09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113,506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514.49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2026-02-16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123,239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515.08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Ramadan/Eid seasonal uplift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2026-02-23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130,437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515.68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Ramadan/Eid seasonal uplift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2026-03-02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120,159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542.08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Ramadan/Eid seasonal uplift; Illustrative price increase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2026-03-09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142,626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486.55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Retail promotion/discount; Ramadan/Eid seasonal uplift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2026-03-16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136,639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517.46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Ramadan/Eid seasonal uplift; Eid week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2026-03-23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129,238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518.05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Ramadan/Eid seasonal uplift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2026-03-30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127,838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518.64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Ramadan/Eid seasonal uplift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2026-04-06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115,495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519.24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2026-04-13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107,841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519.83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2026-04-20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113,983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520.42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2026-04-27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114,051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521.02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2026-05-04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110,550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521.61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2026-05-11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113,934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522.20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2026-05-18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116,720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522.80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2026-05-25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131,780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506.95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Retail promotion/discount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2026-06-01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121,286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523.98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2026-06-08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100,046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524.57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2026-06-15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111,026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525.17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2026-06-22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110,997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525.76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2026-06-29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125,124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526.35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2026-07-06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108,729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526.95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2026-07-13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111,538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527.54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2026-07-20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109,459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528.13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2026-07-27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102,672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528.73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2026-08-03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116,771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529.32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2026-08-10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131,374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506.82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  <w:t>Retail promotion/discount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2026-08-17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118,795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530.51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14"/>
              </w:rPr>
              <w:t>2026-08-24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101,987</w:t>
            </w:r>
          </w:p>
        </w:tc>
        <w:tc>
          <w:tcPr>
            <w:tcW w:type="dxa" w:w="1368"/>
            <w:vAlign w:val="center"/>
          </w:tcPr>
          <w:p>
            <w:r>
              <w:rPr>
                <w:sz w:val="14"/>
              </w:rPr>
              <w:t>531.10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3888"/>
            <w:vAlign w:val="center"/>
          </w:tcPr>
          <w:p>
            <w:r>
              <w:rPr>
                <w:sz w:val="14"/>
              </w:rPr>
            </w:r>
          </w:p>
        </w:tc>
      </w:tr>
    </w:tbl>
    <w:p>
      <w:pPr>
        <w:pStyle w:val="Heading1"/>
      </w:pPr>
      <w:r>
        <w:t>Assumptions</w:t>
      </w:r>
    </w:p>
    <w:p>
      <w:r>
        <w:t>The starting weekly demand is assumed at approximately 100,000 tubes, which is a deliberately small fraction of Colgate-Palmolive Pakistan's total annual sales and is appropriate for a single SKU rather than the company's entire toothpaste portfolio. The dataset incorporates approximately 12% underlying growth over the two-year period, reflecting a reasonable illustrative growth assumption for an established FMCG personal-care product. Seasonality is concentrated around Ramadan and Eid, when household purchasing and personal-care consumption can increase, while normal weekly variation is retained throughout the series. Promotional weeks generate roughly 10–32% additional demand and also show a temporary price reduction. The dataset does not represent actual SKU-level sales, inventory, distributor shipments, stock-outs, regional differences, competitor activity, advertising expenditure, or the company's actual promotional calendar; it is designed solely for forecasting practice.</w:t>
      </w:r>
    </w:p>
    <w:p>
      <w:pPr>
        <w:pStyle w:val="Heading1"/>
      </w:pPr>
      <w:r>
        <w:t>Suggested Forecasting Use</w:t>
      </w:r>
    </w:p>
    <w:p>
      <w:r>
        <w:t>For the Supply Chain Analytics project, the Units_Sold column can be used as the dependent demand series. The Promotion_Flag and Unit_Price_PKR columns can be incorporated into regression or causal forecasting models, while Week_Start_Date can be used to derive week-of-year or other seasonal features. A practical exercise is to use the first 80–90 weeks for model training and reserve the remaining weeks for out-of-sample forecast evaluation.</w:t>
      </w:r>
    </w:p>
    <w:sectPr w:rsidR="00FC693F" w:rsidRPr="0006063C" w:rsidSect="00034616">
      <w:footerReference w:type="default" r:id="rId9"/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/ Illustrative Dataset — For Academic Forecasting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