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A291C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FFFFFF"/>
                <w:sz w:val="32"/>
              </w:rPr>
              <w:t>COLGATE MAXFRESH FORECASTING MEMO</w:t>
            </w:r>
          </w:p>
          <w:p>
            <w:pPr>
              <w:spacing w:after="0"/>
            </w:pPr>
            <w:r>
              <w:rPr>
                <w:color w:val="FFFFFF"/>
                <w:sz w:val="18"/>
              </w:rPr>
              <w:t>Colgate MaxFresh Red Gel 125g | 12-Week Supply &amp; Replenishment Decision</w:t>
            </w:r>
          </w:p>
        </w:tc>
      </w:tr>
    </w:tbl>
    <w:p>
      <w:pPr>
        <w:spacing w:before="80" w:after="80"/>
        <w:jc w:val="right"/>
      </w:pPr>
      <w:r>
        <w:rPr>
          <w:color w:val="667085"/>
          <w:sz w:val="15"/>
        </w:rPr>
        <w:t>Mustafa Arif | MGT-353 Supply Chain Analytics | Portfolio Milestone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0E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left w:val="single" w:sz="18" w:color="DA291C"/>
            </w:tcBorders>
          </w:tcPr>
          <w:p>
            <w:r>
              <w:rPr>
                <w:b/>
                <w:color w:val="667085"/>
                <w:sz w:val="15"/>
              </w:rPr>
              <w:t>RECOMMENDATION</w:t>
            </w:r>
          </w:p>
          <w:p>
            <w:r>
              <w:rPr>
                <w:b/>
                <w:color w:val="1F3864"/>
                <w:sz w:val="25"/>
              </w:rPr>
              <w:t>Commit 3.49M tubes now; retain 388K tubes flexible; maintain separate 647K-tube severe-disruption cover.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tcBorders>
              <w:top w:val="single" w:sz="12" w:color="DA291C"/>
              <w:left w:val="single" w:sz="4" w:color="DDE1E6"/>
              <w:right w:val="single" w:sz="4" w:color="DDE1E6"/>
              <w:bottom w:val="single" w:sz="4" w:color="DDE1E6"/>
            </w:tcBorders>
          </w:tcPr>
          <w:p>
            <w:r>
              <w:rPr>
                <w:b/>
                <w:color w:val="667085"/>
                <w:sz w:val="13"/>
              </w:rPr>
              <w:t>NEXT 12 WEEKS</w:t>
            </w:r>
          </w:p>
          <w:p>
            <w:r>
              <w:rPr>
                <w:b/>
                <w:color w:val="DA291C"/>
                <w:sz w:val="26"/>
              </w:rPr>
              <w:t>3.88M</w:t>
            </w:r>
          </w:p>
          <w:p>
            <w:r>
              <w:rPr>
                <w:color w:val="667085"/>
                <w:sz w:val="13"/>
              </w:rPr>
              <w:t>tubes</w:t>
            </w:r>
          </w:p>
        </w:tc>
        <w:tc>
          <w:tcPr>
            <w:tcW w:type="dxa" w:w="266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tcBorders>
              <w:top w:val="single" w:sz="12" w:color="1F3864"/>
              <w:left w:val="single" w:sz="4" w:color="DDE1E6"/>
              <w:right w:val="single" w:sz="4" w:color="DDE1E6"/>
              <w:bottom w:val="single" w:sz="4" w:color="DDE1E6"/>
            </w:tcBorders>
          </w:tcPr>
          <w:p>
            <w:r>
              <w:rPr>
                <w:b/>
                <w:color w:val="667085"/>
                <w:sz w:val="13"/>
              </w:rPr>
              <w:t>AVG / WEEK</w:t>
            </w:r>
          </w:p>
          <w:p>
            <w:r>
              <w:rPr>
                <w:b/>
                <w:color w:val="1F3864"/>
                <w:sz w:val="26"/>
              </w:rPr>
              <w:t>324K</w:t>
            </w:r>
          </w:p>
          <w:p>
            <w:r>
              <w:rPr>
                <w:color w:val="667085"/>
                <w:sz w:val="13"/>
              </w:rPr>
              <w:t>tubes</w:t>
            </w:r>
          </w:p>
        </w:tc>
        <w:tc>
          <w:tcPr>
            <w:tcW w:type="dxa" w:w="266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tcBorders>
              <w:top w:val="single" w:sz="12" w:color="2F80ED"/>
              <w:left w:val="single" w:sz="4" w:color="DDE1E6"/>
              <w:right w:val="single" w:sz="4" w:color="DDE1E6"/>
              <w:bottom w:val="single" w:sz="4" w:color="DDE1E6"/>
            </w:tcBorders>
          </w:tcPr>
          <w:p>
            <w:r>
              <w:rPr>
                <w:b/>
                <w:color w:val="667085"/>
                <w:sz w:val="13"/>
              </w:rPr>
              <w:t>BEST MODEL</w:t>
            </w:r>
          </w:p>
          <w:p>
            <w:r>
              <w:rPr>
                <w:b/>
                <w:color w:val="2F80ED"/>
                <w:sz w:val="19"/>
              </w:rPr>
              <w:t>Event+Promo Holt</w:t>
            </w:r>
          </w:p>
          <w:p>
            <w:r>
              <w:rPr>
                <w:color w:val="667085"/>
                <w:sz w:val="13"/>
              </w:rPr>
              <w:t>WAPE 4.43%</w:t>
            </w:r>
          </w:p>
        </w:tc>
        <w:tc>
          <w:tcPr>
            <w:tcW w:type="dxa" w:w="266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tcBorders>
              <w:top w:val="single" w:sz="12" w:color="F08A5D"/>
              <w:left w:val="single" w:sz="4" w:color="DDE1E6"/>
              <w:right w:val="single" w:sz="4" w:color="DDE1E6"/>
              <w:bottom w:val="single" w:sz="4" w:color="DDE1E6"/>
            </w:tcBorders>
          </w:tcPr>
          <w:p>
            <w:r>
              <w:rPr>
                <w:b/>
                <w:color w:val="667085"/>
                <w:sz w:val="13"/>
              </w:rPr>
              <w:t>TRACKING SIGNAL</w:t>
            </w:r>
          </w:p>
          <w:p>
            <w:r>
              <w:rPr>
                <w:b/>
                <w:color w:val="F08A5D"/>
                <w:sz w:val="26"/>
              </w:rPr>
              <w:t>-0.86</w:t>
            </w:r>
          </w:p>
          <w:p>
            <w:r>
              <w:rPr>
                <w:color w:val="667085"/>
                <w:sz w:val="13"/>
              </w:rPr>
              <w:t>bias acceptable</w:t>
            </w:r>
          </w:p>
        </w:tc>
      </w:tr>
    </w:tbl>
    <w:p>
      <w:pPr>
        <w:spacing w:before="120" w:after="40"/>
      </w:pPr>
      <w:r>
        <w:rPr>
          <w:b/>
          <w:color w:val="1F3864"/>
          <w:sz w:val="20"/>
        </w:rPr>
        <w:t>1. Decision Context</w:t>
      </w:r>
    </w:p>
    <w:p>
      <w:pPr>
        <w:spacing w:after="60" w:line="240" w:lineRule="auto"/>
      </w:pPr>
      <w:r>
        <w:rPr>
          <w:b w:val="0"/>
          <w:color w:val="172033"/>
          <w:sz w:val="16"/>
        </w:rPr>
        <w:t>Colgate-Palmolive Pakistan needs a 12-week supply and distributor-replenishment plan for Colgate MaxFresh Red Gel 125g. The final forward forecast projects 3,883,026 tubes over the next 12 weeks, with average weekly demand of 323,586 tubes and a peak week of 388,735 tubes on 19 Oct 2026.</w:t>
      </w:r>
    </w:p>
    <w:p>
      <w:pPr>
        <w:spacing w:before="120" w:after="40"/>
      </w:pPr>
      <w:r>
        <w:rPr>
          <w:b/>
          <w:color w:val="1F3864"/>
          <w:sz w:val="20"/>
        </w:rPr>
        <w:t>2. Why the Forecast Is Credible</w:t>
      </w:r>
    </w:p>
    <w:p>
      <w:pPr>
        <w:spacing w:after="60" w:line="240" w:lineRule="auto"/>
      </w:pPr>
      <w:r>
        <w:rPr>
          <w:b w:val="0"/>
          <w:color w:val="172033"/>
          <w:sz w:val="16"/>
        </w:rPr>
        <w:t>The selected Event+Promo-adjusted Holt model performed best on the untouched 12-week holdout, with WAPE 4.43%, MAPE 4.40%, MAD 14,269 tubes and Tracking Signal -0.86. The model is strong but not perfect, and its accuracy depends on treating planned promotion and event calendars as known before forecast origin, not as revealed future demand.</w:t>
      </w:r>
    </w:p>
    <w:p>
      <w:pPr>
        <w:spacing w:before="120" w:after="40"/>
      </w:pPr>
      <w:r>
        <w:rPr>
          <w:b/>
          <w:color w:val="1F3864"/>
          <w:sz w:val="20"/>
        </w:rPr>
        <w:t>3. What Appears to Drive Demand</w:t>
      </w:r>
    </w:p>
    <w:p>
      <w:pPr>
        <w:spacing w:after="60" w:line="240" w:lineRule="auto"/>
      </w:pPr>
      <w:r>
        <w:rPr>
          <w:b w:val="0"/>
          <w:color w:val="172033"/>
          <w:sz w:val="16"/>
        </w:rPr>
        <w:t>The regression explains 64.4% of weekly demand variation (Adjusted R² 63.4%). Promotion weeks are associated with approximately +89K tubes/week, Ramadan/Eid weeks with +15K tubes/week, and +5K distribution points with +7K tubes/week. Price shows a small negative association, but the results should be treated as associations rather than causal effects.</w:t>
      </w:r>
    </w:p>
    <w:p>
      <w:pPr>
        <w:spacing w:before="120" w:after="40"/>
      </w:pPr>
      <w:r>
        <w:rPr>
          <w:b/>
          <w:color w:val="1F3864"/>
          <w:sz w:val="20"/>
        </w:rPr>
        <w:t>4. Operating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3864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3552"/>
            <w:shd w:fill="1F3864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3552"/>
            <w:shd w:fill="1F3864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Decision implication</w:t>
            </w:r>
          </w:p>
        </w:tc>
      </w:tr>
      <w:tr>
        <w:tc>
          <w:tcPr>
            <w:tcW w:type="dxa" w:w="35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tcBorders>
              <w:bottom w:val="single" w:sz="3" w:color="DDE1E6"/>
            </w:tcBorders>
          </w:tcPr>
          <w:p>
            <w:r>
              <w:rPr>
                <w:b/>
                <w:color w:val="172033"/>
                <w:sz w:val="14"/>
              </w:rPr>
              <w:t>90% committed</w:t>
            </w:r>
          </w:p>
        </w:tc>
        <w:tc>
          <w:tcPr>
            <w:tcW w:type="dxa" w:w="35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tcBorders>
              <w:bottom w:val="single" w:sz="3" w:color="DDE1E6"/>
            </w:tcBorders>
          </w:tcPr>
          <w:p>
            <w:r>
              <w:rPr>
                <w:b w:val="0"/>
                <w:color w:val="172033"/>
                <w:sz w:val="14"/>
              </w:rPr>
              <w:t>3.49M tubes</w:t>
            </w:r>
          </w:p>
        </w:tc>
        <w:tc>
          <w:tcPr>
            <w:tcW w:type="dxa" w:w="35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tcBorders>
              <w:bottom w:val="single" w:sz="3" w:color="DDE1E6"/>
            </w:tcBorders>
          </w:tcPr>
          <w:p>
            <w:r>
              <w:rPr>
                <w:b w:val="0"/>
                <w:color w:val="172033"/>
                <w:sz w:val="14"/>
              </w:rPr>
              <w:t>Base procurement / replenishment commitment</w:t>
            </w:r>
          </w:p>
        </w:tc>
      </w:tr>
      <w:tr>
        <w:tc>
          <w:tcPr>
            <w:tcW w:type="dxa" w:w="3552"/>
            <w:shd w:fill="F6F7F9"/>
            <w:tcMar>
              <w:top w:w="45" w:type="dxa"/>
              <w:start w:w="55" w:type="dxa"/>
              <w:bottom w:w="45" w:type="dxa"/>
              <w:end w:w="55" w:type="dxa"/>
            </w:tcMar>
            <w:tcBorders>
              <w:bottom w:val="single" w:sz="3" w:color="DDE1E6"/>
            </w:tcBorders>
          </w:tcPr>
          <w:p>
            <w:r>
              <w:rPr>
                <w:b/>
                <w:color w:val="172033"/>
                <w:sz w:val="14"/>
              </w:rPr>
              <w:t>10% flexible</w:t>
            </w:r>
          </w:p>
        </w:tc>
        <w:tc>
          <w:tcPr>
            <w:tcW w:type="dxa" w:w="3552"/>
            <w:shd w:fill="F6F7F9"/>
            <w:tcMar>
              <w:top w:w="45" w:type="dxa"/>
              <w:start w:w="55" w:type="dxa"/>
              <w:bottom w:w="45" w:type="dxa"/>
              <w:end w:w="55" w:type="dxa"/>
            </w:tcMar>
            <w:tcBorders>
              <w:bottom w:val="single" w:sz="3" w:color="DDE1E6"/>
            </w:tcBorders>
          </w:tcPr>
          <w:p>
            <w:r>
              <w:rPr>
                <w:b w:val="0"/>
                <w:color w:val="172033"/>
                <w:sz w:val="14"/>
              </w:rPr>
              <w:t>388K tubes</w:t>
            </w:r>
          </w:p>
        </w:tc>
        <w:tc>
          <w:tcPr>
            <w:tcW w:type="dxa" w:w="3552"/>
            <w:shd w:fill="F6F7F9"/>
            <w:tcMar>
              <w:top w:w="45" w:type="dxa"/>
              <w:start w:w="55" w:type="dxa"/>
              <w:bottom w:w="45" w:type="dxa"/>
              <w:end w:w="55" w:type="dxa"/>
            </w:tcMar>
            <w:tcBorders>
              <w:bottom w:val="single" w:sz="3" w:color="DDE1E6"/>
            </w:tcBorders>
          </w:tcPr>
          <w:p>
            <w:r>
              <w:rPr>
                <w:b w:val="0"/>
                <w:color w:val="172033"/>
                <w:sz w:val="14"/>
              </w:rPr>
              <w:t>Covers approximately +10% demand upside</w:t>
            </w:r>
          </w:p>
        </w:tc>
      </w:tr>
      <w:tr>
        <w:tc>
          <w:tcPr>
            <w:tcW w:type="dxa" w:w="35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tcBorders>
              <w:bottom w:val="single" w:sz="3" w:color="DDE1E6"/>
            </w:tcBorders>
          </w:tcPr>
          <w:p>
            <w:r>
              <w:rPr>
                <w:b/>
                <w:color w:val="172033"/>
                <w:sz w:val="14"/>
              </w:rPr>
              <w:t>2-week disruption</w:t>
            </w:r>
          </w:p>
        </w:tc>
        <w:tc>
          <w:tcPr>
            <w:tcW w:type="dxa" w:w="35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tcBorders>
              <w:bottom w:val="single" w:sz="3" w:color="DDE1E6"/>
            </w:tcBorders>
          </w:tcPr>
          <w:p>
            <w:r>
              <w:rPr>
                <w:b w:val="0"/>
                <w:color w:val="172033"/>
                <w:sz w:val="14"/>
              </w:rPr>
              <w:t>647K tubes</w:t>
            </w:r>
          </w:p>
        </w:tc>
        <w:tc>
          <w:tcPr>
            <w:tcW w:type="dxa" w:w="35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tcBorders>
              <w:bottom w:val="single" w:sz="3" w:color="DDE1E6"/>
            </w:tcBorders>
          </w:tcPr>
          <w:p>
            <w:r>
              <w:rPr>
                <w:b w:val="0"/>
                <w:color w:val="172033"/>
                <w:sz w:val="14"/>
              </w:rPr>
              <w:t>Requires separate safety-stock or alternate-supply contingency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FF4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16" w:color="2F80ED"/>
            </w:tcBorders>
          </w:tcPr>
          <w:p>
            <w:r>
              <w:rPr>
                <w:b/>
                <w:color w:val="2F80ED"/>
                <w:sz w:val="15"/>
              </w:rPr>
              <w:t xml:space="preserve">ACTION &amp; REVIEW TRIGGER  </w:t>
            </w:r>
            <w:r>
              <w:rPr>
                <w:color w:val="172033"/>
                <w:sz w:val="15"/>
              </w:rPr>
              <w:t>Reforecast if either of the first two actual weeks deviates from forecast by more than 10%, if Tracking Signal deteriorates materially, or if supply disruption threatens more than one week of planned supply.</w:t>
            </w:r>
          </w:p>
        </w:tc>
      </w:tr>
    </w:tbl>
    <w:p>
      <w:pPr>
        <w:jc w:val="center"/>
      </w:pPr>
      <w:r>
        <w:rPr>
          <w:i/>
          <w:color w:val="667085"/>
          <w:sz w:val="12"/>
        </w:rPr>
        <w:t>Company-Calibrated Synthetic Dataset for Academic Analysis — illustrative figures, calibrated to Colgate-Palmolive (Pakistan)'s disclosed scale, not actual company records.</w:t>
      </w:r>
    </w:p>
    <w:sectPr w:rsidR="00FC693F" w:rsidRPr="0006063C" w:rsidSect="00034616">
      <w:pgSz w:w="12240" w:h="15840"/>
      <w:pgMar w:top="648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033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