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DA291C"/>
            <w:tcMar>
              <w:top w:w="150" w:type="dxa"/>
              <w:start w:w="170" w:type="dxa"/>
              <w:bottom w:w="140" w:type="dxa"/>
              <w:end w:w="170" w:type="dxa"/>
            </w:tcMar>
          </w:tcPr>
          <w:p>
            <w:r>
              <w:rPr>
                <w:b/>
                <w:color w:val="FFFFFF"/>
                <w:sz w:val="32"/>
              </w:rPr>
              <w:t>FORECAST VALIDATION NOTE</w:t>
            </w:r>
          </w:p>
          <w:p>
            <w:pPr>
              <w:spacing w:after="0"/>
            </w:pPr>
            <w:r>
              <w:rPr>
                <w:color w:val="FFFFFF"/>
                <w:sz w:val="18"/>
              </w:rPr>
              <w:t>Colgate MaxFresh Red Gel 125g | Holdout Integrity, Error Diagnosis &amp; Forward Refit</w:t>
            </w:r>
          </w:p>
        </w:tc>
      </w:tr>
    </w:tbl>
    <w:p>
      <w:pPr>
        <w:spacing w:before="80" w:after="80"/>
        <w:jc w:val="right"/>
      </w:pPr>
      <w:r>
        <w:rPr>
          <w:color w:val="667085"/>
          <w:sz w:val="15"/>
        </w:rPr>
        <w:t>Mustafa Arif | MGT-353 Supply Chain Analytics | Portfolio Milestone 1</w:t>
      </w:r>
    </w:p>
    <w:tbl>
      <w:tblPr>
        <w:tblW w:type="auto" w:w="0"/>
        <w:jc w:val="center"/>
        <w:tblLook w:firstColumn="1" w:firstRow="1" w:lastColumn="0" w:lastRow="0" w:noHBand="0" w:noVBand="1" w:val="04A0"/>
      </w:tblPr>
      <w:tblGrid>
        <w:gridCol w:w="2664"/>
        <w:gridCol w:w="2664"/>
        <w:gridCol w:w="2664"/>
        <w:gridCol w:w="2664"/>
      </w:tblGrid>
      <w:tr>
        <w:tc>
          <w:tcPr>
            <w:tcW w:type="dxa" w:w="2664"/>
            <w:shd w:fill="FFFFFF"/>
            <w:tcMar>
              <w:top w:w="65" w:type="dxa"/>
              <w:start w:w="60" w:type="dxa"/>
              <w:bottom w:w="65" w:type="dxa"/>
              <w:end w:w="60" w:type="dxa"/>
            </w:tcMar>
            <w:tcBorders>
              <w:top w:val="single" w:sz="12" w:color="1F3864"/>
              <w:bottom w:val="single" w:sz="4" w:color="DDE1E6"/>
              <w:left w:val="single" w:sz="4" w:color="DDE1E6"/>
              <w:right w:val="single" w:sz="4" w:color="DDE1E6"/>
            </w:tcBorders>
          </w:tcPr>
          <w:p>
            <w:r>
              <w:rPr>
                <w:b/>
                <w:color w:val="667085"/>
                <w:sz w:val="13"/>
              </w:rPr>
              <w:t>TRAINING</w:t>
            </w:r>
          </w:p>
          <w:p>
            <w:r>
              <w:rPr>
                <w:b/>
                <w:color w:val="1F3864"/>
                <w:sz w:val="22"/>
              </w:rPr>
              <w:t>144 weeks</w:t>
            </w:r>
          </w:p>
          <w:p>
            <w:r>
              <w:rPr>
                <w:color w:val="667085"/>
                <w:sz w:val="13"/>
              </w:rPr>
              <w:t>fit only</w:t>
            </w:r>
          </w:p>
        </w:tc>
        <w:tc>
          <w:tcPr>
            <w:tcW w:type="dxa" w:w="2664"/>
            <w:shd w:fill="FFFFFF"/>
            <w:tcMar>
              <w:top w:w="65" w:type="dxa"/>
              <w:start w:w="60" w:type="dxa"/>
              <w:bottom w:w="65" w:type="dxa"/>
              <w:end w:w="60" w:type="dxa"/>
            </w:tcMar>
            <w:tcBorders>
              <w:top w:val="single" w:sz="12" w:color="2F80ED"/>
              <w:bottom w:val="single" w:sz="4" w:color="DDE1E6"/>
              <w:left w:val="single" w:sz="4" w:color="DDE1E6"/>
              <w:right w:val="single" w:sz="4" w:color="DDE1E6"/>
            </w:tcBorders>
          </w:tcPr>
          <w:p>
            <w:r>
              <w:rPr>
                <w:b/>
                <w:color w:val="667085"/>
                <w:sz w:val="13"/>
              </w:rPr>
              <w:t>HOLDOUT</w:t>
            </w:r>
          </w:p>
          <w:p>
            <w:r>
              <w:rPr>
                <w:b/>
                <w:color w:val="2F80ED"/>
                <w:sz w:val="22"/>
              </w:rPr>
              <w:t>12 weeks</w:t>
            </w:r>
          </w:p>
          <w:p>
            <w:r>
              <w:rPr>
                <w:color w:val="667085"/>
                <w:sz w:val="13"/>
              </w:rPr>
              <w:t>unseen validation</w:t>
            </w:r>
          </w:p>
        </w:tc>
        <w:tc>
          <w:tcPr>
            <w:tcW w:type="dxa" w:w="2664"/>
            <w:shd w:fill="FFFFFF"/>
            <w:tcMar>
              <w:top w:w="65" w:type="dxa"/>
              <w:start w:w="60" w:type="dxa"/>
              <w:bottom w:w="65" w:type="dxa"/>
              <w:end w:w="60" w:type="dxa"/>
            </w:tcMar>
            <w:tcBorders>
              <w:top w:val="single" w:sz="12" w:color="DA291C"/>
              <w:bottom w:val="single" w:sz="4" w:color="DDE1E6"/>
              <w:left w:val="single" w:sz="4" w:color="DDE1E6"/>
              <w:right w:val="single" w:sz="4" w:color="DDE1E6"/>
            </w:tcBorders>
          </w:tcPr>
          <w:p>
            <w:r>
              <w:rPr>
                <w:b/>
                <w:color w:val="667085"/>
                <w:sz w:val="13"/>
              </w:rPr>
              <w:t>BEST MODEL</w:t>
            </w:r>
          </w:p>
          <w:p>
            <w:r>
              <w:rPr>
                <w:b/>
                <w:color w:val="DA291C"/>
                <w:sz w:val="22"/>
              </w:rPr>
              <w:t>Event+Promo Holt</w:t>
            </w:r>
          </w:p>
          <w:p>
            <w:r>
              <w:rPr>
                <w:color w:val="667085"/>
                <w:sz w:val="13"/>
              </w:rPr>
              <w:t>WAPE 4.43%</w:t>
            </w:r>
          </w:p>
        </w:tc>
        <w:tc>
          <w:tcPr>
            <w:tcW w:type="dxa" w:w="2664"/>
            <w:shd w:fill="FFFFFF"/>
            <w:tcMar>
              <w:top w:w="65" w:type="dxa"/>
              <w:start w:w="60" w:type="dxa"/>
              <w:bottom w:w="65" w:type="dxa"/>
              <w:end w:w="60" w:type="dxa"/>
            </w:tcMar>
            <w:tcBorders>
              <w:top w:val="single" w:sz="12" w:color="F08A5D"/>
              <w:bottom w:val="single" w:sz="4" w:color="DDE1E6"/>
              <w:left w:val="single" w:sz="4" w:color="DDE1E6"/>
              <w:right w:val="single" w:sz="4" w:color="DDE1E6"/>
            </w:tcBorders>
          </w:tcPr>
          <w:p>
            <w:r>
              <w:rPr>
                <w:b/>
                <w:color w:val="667085"/>
                <w:sz w:val="13"/>
              </w:rPr>
              <w:t>TRACKING SIGNAL</w:t>
            </w:r>
          </w:p>
          <w:p>
            <w:r>
              <w:rPr>
                <w:b/>
                <w:color w:val="F08A5D"/>
                <w:sz w:val="22"/>
              </w:rPr>
              <w:t>-0.86</w:t>
            </w:r>
          </w:p>
          <w:p>
            <w:r>
              <w:rPr>
                <w:color w:val="667085"/>
                <w:sz w:val="13"/>
              </w:rPr>
              <w:t>acceptable</w:t>
            </w:r>
          </w:p>
        </w:tc>
      </w:tr>
    </w:tbl>
    <w:p>
      <w:pPr>
        <w:spacing w:before="120" w:after="40"/>
      </w:pPr>
      <w:r>
        <w:rPr>
          <w:b/>
          <w:color w:val="1F3864"/>
          <w:sz w:val="20"/>
        </w:rPr>
        <w:t>1. Validation Design &amp; Leakage Audit</w:t>
      </w:r>
    </w:p>
    <w:p>
      <w:pPr>
        <w:spacing w:after="60" w:line="240" w:lineRule="auto"/>
      </w:pPr>
      <w:r>
        <w:rPr>
          <w:b w:val="0"/>
          <w:color w:val="172033"/>
          <w:sz w:val="16"/>
        </w:rPr>
        <w:t>The final 12 weeks were held out as unseen validation data. All candidate forecasting models were fitted only on the first 144 observations. The Moving Average forecast was recursive and appended its own forecasts rather than using holdout actuals. The Event+Promo-adjusted Holt model uses only planned calendar/promotion inputs treated as known at forecast origin; future Actual_Demand is never used for fitting.</w:t>
      </w:r>
    </w:p>
    <w:p>
      <w:pPr>
        <w:spacing w:before="120" w:after="40"/>
      </w:pPr>
      <w:r>
        <w:rPr>
          <w:b/>
          <w:color w:val="1F3864"/>
          <w:sz w:val="20"/>
        </w:rPr>
        <w:t>2. Holdout Performance</w:t>
      </w:r>
    </w:p>
    <w:p>
      <w:pPr>
        <w:spacing w:after="60" w:line="240" w:lineRule="auto"/>
      </w:pPr>
      <w:r>
        <w:rPr>
          <w:b w:val="0"/>
          <w:color w:val="172033"/>
          <w:sz w:val="16"/>
        </w:rPr>
        <w:t>Event+Promo-adjusted Holt was selected because it achieved the lowest holdout error: WAPE 4.43%, MAPE 4.40%, MAD 14,269 tubes and Tracking Signal -0.86. Accuracy is strong but not suspiciously perfect because material weekly misses remain visible and diagnosable.</w:t>
      </w:r>
    </w:p>
    <w:p>
      <w:pPr>
        <w:spacing w:before="120" w:after="40"/>
      </w:pPr>
      <w:r>
        <w:rPr>
          <w:b/>
          <w:color w:val="1F3864"/>
          <w:sz w:val="20"/>
        </w:rPr>
        <w:t>3. Five Largest Holdout Misses</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fill="1F3864"/>
            <w:tcMar>
              <w:top w:w="45" w:type="dxa"/>
              <w:start w:w="50" w:type="dxa"/>
              <w:bottom w:w="45" w:type="dxa"/>
              <w:end w:w="50" w:type="dxa"/>
            </w:tcMar>
          </w:tcPr>
          <w:p>
            <w:r>
              <w:rPr>
                <w:b/>
                <w:color w:val="FFFFFF"/>
                <w:sz w:val="13"/>
              </w:rPr>
              <w:t>Week</w:t>
            </w:r>
          </w:p>
        </w:tc>
        <w:tc>
          <w:tcPr>
            <w:tcW w:type="dxa" w:w="2131"/>
            <w:shd w:fill="1F3864"/>
            <w:tcMar>
              <w:top w:w="45" w:type="dxa"/>
              <w:start w:w="50" w:type="dxa"/>
              <w:bottom w:w="45" w:type="dxa"/>
              <w:end w:w="50" w:type="dxa"/>
            </w:tcMar>
          </w:tcPr>
          <w:p>
            <w:r>
              <w:rPr>
                <w:b/>
                <w:color w:val="FFFFFF"/>
                <w:sz w:val="13"/>
              </w:rPr>
              <w:t>Actual</w:t>
            </w:r>
          </w:p>
        </w:tc>
        <w:tc>
          <w:tcPr>
            <w:tcW w:type="dxa" w:w="2131"/>
            <w:shd w:fill="1F3864"/>
            <w:tcMar>
              <w:top w:w="45" w:type="dxa"/>
              <w:start w:w="50" w:type="dxa"/>
              <w:bottom w:w="45" w:type="dxa"/>
              <w:end w:w="50" w:type="dxa"/>
            </w:tcMar>
          </w:tcPr>
          <w:p>
            <w:r>
              <w:rPr>
                <w:b/>
                <w:color w:val="FFFFFF"/>
                <w:sz w:val="13"/>
              </w:rPr>
              <w:t>Forecast</w:t>
            </w:r>
          </w:p>
        </w:tc>
        <w:tc>
          <w:tcPr>
            <w:tcW w:type="dxa" w:w="2131"/>
            <w:shd w:fill="1F3864"/>
            <w:tcMar>
              <w:top w:w="45" w:type="dxa"/>
              <w:start w:w="50" w:type="dxa"/>
              <w:bottom w:w="45" w:type="dxa"/>
              <w:end w:w="50" w:type="dxa"/>
            </w:tcMar>
          </w:tcPr>
          <w:p>
            <w:r>
              <w:rPr>
                <w:b/>
                <w:color w:val="FFFFFF"/>
                <w:sz w:val="13"/>
              </w:rPr>
              <w:t>Error</w:t>
            </w:r>
          </w:p>
        </w:tc>
        <w:tc>
          <w:tcPr>
            <w:tcW w:type="dxa" w:w="2131"/>
            <w:shd w:fill="1F3864"/>
            <w:tcMar>
              <w:top w:w="45" w:type="dxa"/>
              <w:start w:w="50" w:type="dxa"/>
              <w:bottom w:w="45" w:type="dxa"/>
              <w:end w:w="50" w:type="dxa"/>
            </w:tcMar>
          </w:tcPr>
          <w:p>
            <w:r>
              <w:rPr>
                <w:b/>
                <w:color w:val="FFFFFF"/>
                <w:sz w:val="13"/>
              </w:rPr>
              <w:t>Diagnosis</w:t>
            </w:r>
          </w:p>
        </w:tc>
      </w:tr>
      <w:tr>
        <w:tc>
          <w:tcPr>
            <w:tcW w:type="dxa" w:w="2131"/>
            <w:shd w:fill="FFFFFF"/>
            <w:tcMar>
              <w:top w:w="40" w:type="dxa"/>
              <w:start w:w="45" w:type="dxa"/>
              <w:bottom w:w="40" w:type="dxa"/>
              <w:end w:w="45" w:type="dxa"/>
            </w:tcMar>
            <w:tcBorders>
              <w:bottom w:val="single" w:sz="3" w:color="DDE1E6"/>
            </w:tcBorders>
          </w:tcPr>
          <w:p>
            <w:r>
              <w:rPr>
                <w:b/>
                <w:color w:val="172033"/>
                <w:sz w:val="12"/>
              </w:rPr>
              <w:t>2026-07-20</w:t>
            </w:r>
          </w:p>
        </w:tc>
        <w:tc>
          <w:tcPr>
            <w:tcW w:type="dxa" w:w="2131"/>
            <w:shd w:fill="FFFFFF"/>
            <w:tcMar>
              <w:top w:w="40" w:type="dxa"/>
              <w:start w:w="45" w:type="dxa"/>
              <w:bottom w:w="40" w:type="dxa"/>
              <w:end w:w="45" w:type="dxa"/>
            </w:tcMar>
            <w:tcBorders>
              <w:bottom w:val="single" w:sz="3" w:color="DDE1E6"/>
            </w:tcBorders>
          </w:tcPr>
          <w:p>
            <w:r>
              <w:rPr>
                <w:b w:val="0"/>
                <w:color w:val="172033"/>
                <w:sz w:val="12"/>
              </w:rPr>
              <w:t>434,028</w:t>
            </w:r>
          </w:p>
        </w:tc>
        <w:tc>
          <w:tcPr>
            <w:tcW w:type="dxa" w:w="2131"/>
            <w:shd w:fill="FFFFFF"/>
            <w:tcMar>
              <w:top w:w="40" w:type="dxa"/>
              <w:start w:w="45" w:type="dxa"/>
              <w:bottom w:w="40" w:type="dxa"/>
              <w:end w:w="45" w:type="dxa"/>
            </w:tcMar>
            <w:tcBorders>
              <w:bottom w:val="single" w:sz="3" w:color="DDE1E6"/>
            </w:tcBorders>
          </w:tcPr>
          <w:p>
            <w:r>
              <w:rPr>
                <w:b w:val="0"/>
                <w:color w:val="172033"/>
                <w:sz w:val="12"/>
              </w:rPr>
              <w:t>388,077</w:t>
            </w:r>
          </w:p>
        </w:tc>
        <w:tc>
          <w:tcPr>
            <w:tcW w:type="dxa" w:w="2131"/>
            <w:shd w:fill="FFFFFF"/>
            <w:tcMar>
              <w:top w:w="40" w:type="dxa"/>
              <w:start w:w="45" w:type="dxa"/>
              <w:bottom w:w="40" w:type="dxa"/>
              <w:end w:w="45" w:type="dxa"/>
            </w:tcMar>
            <w:tcBorders>
              <w:bottom w:val="single" w:sz="3" w:color="DDE1E6"/>
            </w:tcBorders>
          </w:tcPr>
          <w:p>
            <w:r>
              <w:rPr>
                <w:b/>
                <w:color w:val="172033"/>
                <w:sz w:val="12"/>
              </w:rPr>
              <w:t>+45,951</w:t>
            </w:r>
          </w:p>
        </w:tc>
        <w:tc>
          <w:tcPr>
            <w:tcW w:type="dxa" w:w="2131"/>
            <w:shd w:fill="FFFFFF"/>
            <w:tcMar>
              <w:top w:w="40" w:type="dxa"/>
              <w:start w:w="45" w:type="dxa"/>
              <w:bottom w:w="40" w:type="dxa"/>
              <w:end w:w="45" w:type="dxa"/>
            </w:tcMar>
            <w:tcBorders>
              <w:bottom w:val="single" w:sz="3" w:color="DDE1E6"/>
            </w:tcBorders>
          </w:tcPr>
          <w:p>
            <w:r>
              <w:rPr>
                <w:b w:val="0"/>
                <w:color w:val="172033"/>
                <w:sz w:val="12"/>
              </w:rPr>
              <w:t>Promotion uplift exceeded forecast.</w:t>
            </w:r>
          </w:p>
        </w:tc>
      </w:tr>
      <w:tr>
        <w:tc>
          <w:tcPr>
            <w:tcW w:type="dxa" w:w="2131"/>
            <w:shd w:fill="F6F7F9"/>
            <w:tcMar>
              <w:top w:w="40" w:type="dxa"/>
              <w:start w:w="45" w:type="dxa"/>
              <w:bottom w:w="40" w:type="dxa"/>
              <w:end w:w="45" w:type="dxa"/>
            </w:tcMar>
            <w:tcBorders>
              <w:bottom w:val="single" w:sz="3" w:color="DDE1E6"/>
            </w:tcBorders>
          </w:tcPr>
          <w:p>
            <w:r>
              <w:rPr>
                <w:b/>
                <w:color w:val="172033"/>
                <w:sz w:val="12"/>
              </w:rPr>
              <w:t>2026-08-10</w:t>
            </w:r>
          </w:p>
        </w:tc>
        <w:tc>
          <w:tcPr>
            <w:tcW w:type="dxa" w:w="2131"/>
            <w:shd w:fill="F6F7F9"/>
            <w:tcMar>
              <w:top w:w="40" w:type="dxa"/>
              <w:start w:w="45" w:type="dxa"/>
              <w:bottom w:w="40" w:type="dxa"/>
              <w:end w:w="45" w:type="dxa"/>
            </w:tcMar>
            <w:tcBorders>
              <w:bottom w:val="single" w:sz="3" w:color="DDE1E6"/>
            </w:tcBorders>
          </w:tcPr>
          <w:p>
            <w:r>
              <w:rPr>
                <w:b w:val="0"/>
                <w:color w:val="172033"/>
                <w:sz w:val="12"/>
              </w:rPr>
              <w:t>267,142</w:t>
            </w:r>
          </w:p>
        </w:tc>
        <w:tc>
          <w:tcPr>
            <w:tcW w:type="dxa" w:w="2131"/>
            <w:shd w:fill="F6F7F9"/>
            <w:tcMar>
              <w:top w:w="40" w:type="dxa"/>
              <w:start w:w="45" w:type="dxa"/>
              <w:bottom w:w="40" w:type="dxa"/>
              <w:end w:w="45" w:type="dxa"/>
            </w:tcMar>
            <w:tcBorders>
              <w:bottom w:val="single" w:sz="3" w:color="DDE1E6"/>
            </w:tcBorders>
          </w:tcPr>
          <w:p>
            <w:r>
              <w:rPr>
                <w:b w:val="0"/>
                <w:color w:val="172033"/>
                <w:sz w:val="12"/>
              </w:rPr>
              <w:t>301,871</w:t>
            </w:r>
          </w:p>
        </w:tc>
        <w:tc>
          <w:tcPr>
            <w:tcW w:type="dxa" w:w="2131"/>
            <w:shd w:fill="F6F7F9"/>
            <w:tcMar>
              <w:top w:w="40" w:type="dxa"/>
              <w:start w:w="45" w:type="dxa"/>
              <w:bottom w:w="40" w:type="dxa"/>
              <w:end w:w="45" w:type="dxa"/>
            </w:tcMar>
            <w:tcBorders>
              <w:bottom w:val="single" w:sz="3" w:color="DDE1E6"/>
            </w:tcBorders>
          </w:tcPr>
          <w:p>
            <w:r>
              <w:rPr>
                <w:b/>
                <w:color w:val="172033"/>
                <w:sz w:val="12"/>
              </w:rPr>
              <w:t>-34,729</w:t>
            </w:r>
          </w:p>
        </w:tc>
        <w:tc>
          <w:tcPr>
            <w:tcW w:type="dxa" w:w="2131"/>
            <w:shd w:fill="F6F7F9"/>
            <w:tcMar>
              <w:top w:w="40" w:type="dxa"/>
              <w:start w:w="45" w:type="dxa"/>
              <w:bottom w:w="40" w:type="dxa"/>
              <w:end w:w="45" w:type="dxa"/>
            </w:tcMar>
            <w:tcBorders>
              <w:bottom w:val="single" w:sz="3" w:color="DDE1E6"/>
            </w:tcBorders>
          </w:tcPr>
          <w:p>
            <w:r>
              <w:rPr>
                <w:b w:val="0"/>
                <w:color w:val="172033"/>
                <w:sz w:val="12"/>
              </w:rPr>
              <w:t>Stockout constrained observed demand.</w:t>
            </w:r>
          </w:p>
        </w:tc>
      </w:tr>
      <w:tr>
        <w:tc>
          <w:tcPr>
            <w:tcW w:type="dxa" w:w="2131"/>
            <w:shd w:fill="FFFFFF"/>
            <w:tcMar>
              <w:top w:w="40" w:type="dxa"/>
              <w:start w:w="45" w:type="dxa"/>
              <w:bottom w:w="40" w:type="dxa"/>
              <w:end w:w="45" w:type="dxa"/>
            </w:tcMar>
            <w:tcBorders>
              <w:bottom w:val="single" w:sz="3" w:color="DDE1E6"/>
            </w:tcBorders>
          </w:tcPr>
          <w:p>
            <w:r>
              <w:rPr>
                <w:b/>
                <w:color w:val="172033"/>
                <w:sz w:val="12"/>
              </w:rPr>
              <w:t>2026-07-27</w:t>
            </w:r>
          </w:p>
        </w:tc>
        <w:tc>
          <w:tcPr>
            <w:tcW w:type="dxa" w:w="2131"/>
            <w:shd w:fill="FFFFFF"/>
            <w:tcMar>
              <w:top w:w="40" w:type="dxa"/>
              <w:start w:w="45" w:type="dxa"/>
              <w:bottom w:w="40" w:type="dxa"/>
              <w:end w:w="45" w:type="dxa"/>
            </w:tcMar>
            <w:tcBorders>
              <w:bottom w:val="single" w:sz="3" w:color="DDE1E6"/>
            </w:tcBorders>
          </w:tcPr>
          <w:p>
            <w:r>
              <w:rPr>
                <w:b w:val="0"/>
                <w:color w:val="172033"/>
                <w:sz w:val="12"/>
              </w:rPr>
              <w:t>283,072</w:t>
            </w:r>
          </w:p>
        </w:tc>
        <w:tc>
          <w:tcPr>
            <w:tcW w:type="dxa" w:w="2131"/>
            <w:shd w:fill="FFFFFF"/>
            <w:tcMar>
              <w:top w:w="40" w:type="dxa"/>
              <w:start w:w="45" w:type="dxa"/>
              <w:bottom w:w="40" w:type="dxa"/>
              <w:end w:w="45" w:type="dxa"/>
            </w:tcMar>
            <w:tcBorders>
              <w:bottom w:val="single" w:sz="3" w:color="DDE1E6"/>
            </w:tcBorders>
          </w:tcPr>
          <w:p>
            <w:r>
              <w:rPr>
                <w:b w:val="0"/>
                <w:color w:val="172033"/>
                <w:sz w:val="12"/>
              </w:rPr>
              <w:t>301,871</w:t>
            </w:r>
          </w:p>
        </w:tc>
        <w:tc>
          <w:tcPr>
            <w:tcW w:type="dxa" w:w="2131"/>
            <w:shd w:fill="FFFFFF"/>
            <w:tcMar>
              <w:top w:w="40" w:type="dxa"/>
              <w:start w:w="45" w:type="dxa"/>
              <w:bottom w:w="40" w:type="dxa"/>
              <w:end w:w="45" w:type="dxa"/>
            </w:tcMar>
            <w:tcBorders>
              <w:bottom w:val="single" w:sz="3" w:color="DDE1E6"/>
            </w:tcBorders>
          </w:tcPr>
          <w:p>
            <w:r>
              <w:rPr>
                <w:b/>
                <w:color w:val="172033"/>
                <w:sz w:val="12"/>
              </w:rPr>
              <w:t>-18,799</w:t>
            </w:r>
          </w:p>
        </w:tc>
        <w:tc>
          <w:tcPr>
            <w:tcW w:type="dxa" w:w="2131"/>
            <w:shd w:fill="FFFFFF"/>
            <w:tcMar>
              <w:top w:w="40" w:type="dxa"/>
              <w:start w:w="45" w:type="dxa"/>
              <w:bottom w:w="40" w:type="dxa"/>
              <w:end w:w="45" w:type="dxa"/>
            </w:tcMar>
            <w:tcBorders>
              <w:bottom w:val="single" w:sz="3" w:color="DDE1E6"/>
            </w:tcBorders>
          </w:tcPr>
          <w:p>
            <w:r>
              <w:rPr>
                <w:b w:val="0"/>
                <w:color w:val="172033"/>
                <w:sz w:val="12"/>
              </w:rPr>
              <w:t>Promotion or residual variation; inspect campaign lift and availability.</w:t>
            </w:r>
          </w:p>
        </w:tc>
      </w:tr>
      <w:tr>
        <w:tc>
          <w:tcPr>
            <w:tcW w:type="dxa" w:w="2131"/>
            <w:shd w:fill="F6F7F9"/>
            <w:tcMar>
              <w:top w:w="40" w:type="dxa"/>
              <w:start w:w="45" w:type="dxa"/>
              <w:bottom w:w="40" w:type="dxa"/>
              <w:end w:w="45" w:type="dxa"/>
            </w:tcMar>
            <w:tcBorders>
              <w:bottom w:val="single" w:sz="3" w:color="DDE1E6"/>
            </w:tcBorders>
          </w:tcPr>
          <w:p>
            <w:r>
              <w:rPr>
                <w:b/>
                <w:color w:val="172033"/>
                <w:sz w:val="12"/>
              </w:rPr>
              <w:t>2026-07-13</w:t>
            </w:r>
          </w:p>
        </w:tc>
        <w:tc>
          <w:tcPr>
            <w:tcW w:type="dxa" w:w="2131"/>
            <w:shd w:fill="F6F7F9"/>
            <w:tcMar>
              <w:top w:w="40" w:type="dxa"/>
              <w:start w:w="45" w:type="dxa"/>
              <w:bottom w:w="40" w:type="dxa"/>
              <w:end w:w="45" w:type="dxa"/>
            </w:tcMar>
            <w:tcBorders>
              <w:bottom w:val="single" w:sz="3" w:color="DDE1E6"/>
            </w:tcBorders>
          </w:tcPr>
          <w:p>
            <w:r>
              <w:rPr>
                <w:b w:val="0"/>
                <w:color w:val="172033"/>
                <w:sz w:val="12"/>
              </w:rPr>
              <w:t>315,945</w:t>
            </w:r>
          </w:p>
        </w:tc>
        <w:tc>
          <w:tcPr>
            <w:tcW w:type="dxa" w:w="2131"/>
            <w:shd w:fill="F6F7F9"/>
            <w:tcMar>
              <w:top w:w="40" w:type="dxa"/>
              <w:start w:w="45" w:type="dxa"/>
              <w:bottom w:w="40" w:type="dxa"/>
              <w:end w:w="45" w:type="dxa"/>
            </w:tcMar>
            <w:tcBorders>
              <w:bottom w:val="single" w:sz="3" w:color="DDE1E6"/>
            </w:tcBorders>
          </w:tcPr>
          <w:p>
            <w:r>
              <w:rPr>
                <w:b w:val="0"/>
                <w:color w:val="172033"/>
                <w:sz w:val="12"/>
              </w:rPr>
              <w:t>301,871</w:t>
            </w:r>
          </w:p>
        </w:tc>
        <w:tc>
          <w:tcPr>
            <w:tcW w:type="dxa" w:w="2131"/>
            <w:shd w:fill="F6F7F9"/>
            <w:tcMar>
              <w:top w:w="40" w:type="dxa"/>
              <w:start w:w="45" w:type="dxa"/>
              <w:bottom w:w="40" w:type="dxa"/>
              <w:end w:w="45" w:type="dxa"/>
            </w:tcMar>
            <w:tcBorders>
              <w:bottom w:val="single" w:sz="3" w:color="DDE1E6"/>
            </w:tcBorders>
          </w:tcPr>
          <w:p>
            <w:r>
              <w:rPr>
                <w:b/>
                <w:color w:val="172033"/>
                <w:sz w:val="12"/>
              </w:rPr>
              <w:t>+14,074</w:t>
            </w:r>
          </w:p>
        </w:tc>
        <w:tc>
          <w:tcPr>
            <w:tcW w:type="dxa" w:w="2131"/>
            <w:shd w:fill="F6F7F9"/>
            <w:tcMar>
              <w:top w:w="40" w:type="dxa"/>
              <w:start w:w="45" w:type="dxa"/>
              <w:bottom w:w="40" w:type="dxa"/>
              <w:end w:w="45" w:type="dxa"/>
            </w:tcMar>
            <w:tcBorders>
              <w:bottom w:val="single" w:sz="3" w:color="DDE1E6"/>
            </w:tcBorders>
          </w:tcPr>
          <w:p>
            <w:r>
              <w:rPr>
                <w:b w:val="0"/>
                <w:color w:val="172033"/>
                <w:sz w:val="12"/>
              </w:rPr>
              <w:t>Promotion or residual variation; inspect campaign lift and availability.</w:t>
            </w:r>
          </w:p>
        </w:tc>
      </w:tr>
      <w:tr>
        <w:tc>
          <w:tcPr>
            <w:tcW w:type="dxa" w:w="2131"/>
            <w:shd w:fill="FFFFFF"/>
            <w:tcMar>
              <w:top w:w="40" w:type="dxa"/>
              <w:start w:w="45" w:type="dxa"/>
              <w:bottom w:w="40" w:type="dxa"/>
              <w:end w:w="45" w:type="dxa"/>
            </w:tcMar>
            <w:tcBorders>
              <w:bottom w:val="single" w:sz="3" w:color="DDE1E6"/>
            </w:tcBorders>
          </w:tcPr>
          <w:p>
            <w:r>
              <w:rPr>
                <w:b/>
                <w:color w:val="172033"/>
                <w:sz w:val="12"/>
              </w:rPr>
              <w:t>2026-09-28</w:t>
            </w:r>
          </w:p>
        </w:tc>
        <w:tc>
          <w:tcPr>
            <w:tcW w:type="dxa" w:w="2131"/>
            <w:shd w:fill="FFFFFF"/>
            <w:tcMar>
              <w:top w:w="40" w:type="dxa"/>
              <w:start w:w="45" w:type="dxa"/>
              <w:bottom w:w="40" w:type="dxa"/>
              <w:end w:w="45" w:type="dxa"/>
            </w:tcMar>
            <w:tcBorders>
              <w:bottom w:val="single" w:sz="3" w:color="DDE1E6"/>
            </w:tcBorders>
          </w:tcPr>
          <w:p>
            <w:r>
              <w:rPr>
                <w:b w:val="0"/>
                <w:color w:val="172033"/>
                <w:sz w:val="12"/>
              </w:rPr>
              <w:t>313,792</w:t>
            </w:r>
          </w:p>
        </w:tc>
        <w:tc>
          <w:tcPr>
            <w:tcW w:type="dxa" w:w="2131"/>
            <w:shd w:fill="FFFFFF"/>
            <w:tcMar>
              <w:top w:w="40" w:type="dxa"/>
              <w:start w:w="45" w:type="dxa"/>
              <w:bottom w:w="40" w:type="dxa"/>
              <w:end w:w="45" w:type="dxa"/>
            </w:tcMar>
            <w:tcBorders>
              <w:bottom w:val="single" w:sz="3" w:color="DDE1E6"/>
            </w:tcBorders>
          </w:tcPr>
          <w:p>
            <w:r>
              <w:rPr>
                <w:b w:val="0"/>
                <w:color w:val="172033"/>
                <w:sz w:val="12"/>
              </w:rPr>
              <w:t>301,871</w:t>
            </w:r>
          </w:p>
        </w:tc>
        <w:tc>
          <w:tcPr>
            <w:tcW w:type="dxa" w:w="2131"/>
            <w:shd w:fill="FFFFFF"/>
            <w:tcMar>
              <w:top w:w="40" w:type="dxa"/>
              <w:start w:w="45" w:type="dxa"/>
              <w:bottom w:w="40" w:type="dxa"/>
              <w:end w:w="45" w:type="dxa"/>
            </w:tcMar>
            <w:tcBorders>
              <w:bottom w:val="single" w:sz="3" w:color="DDE1E6"/>
            </w:tcBorders>
          </w:tcPr>
          <w:p>
            <w:r>
              <w:rPr>
                <w:b/>
                <w:color w:val="172033"/>
                <w:sz w:val="12"/>
              </w:rPr>
              <w:t>+11,921</w:t>
            </w:r>
          </w:p>
        </w:tc>
        <w:tc>
          <w:tcPr>
            <w:tcW w:type="dxa" w:w="2131"/>
            <w:shd w:fill="FFFFFF"/>
            <w:tcMar>
              <w:top w:w="40" w:type="dxa"/>
              <w:start w:w="45" w:type="dxa"/>
              <w:bottom w:w="40" w:type="dxa"/>
              <w:end w:w="45" w:type="dxa"/>
            </w:tcMar>
            <w:tcBorders>
              <w:bottom w:val="single" w:sz="3" w:color="DDE1E6"/>
            </w:tcBorders>
          </w:tcPr>
          <w:p>
            <w:r>
              <w:rPr>
                <w:b w:val="0"/>
                <w:color w:val="172033"/>
                <w:sz w:val="12"/>
              </w:rPr>
              <w:t>Promotion or residual variation; inspect campaign lift and availability.</w:t>
            </w:r>
          </w:p>
        </w:tc>
      </w:tr>
    </w:tbl>
    <w:p>
      <w:pPr>
        <w:spacing w:before="120" w:after="40"/>
      </w:pPr>
      <w:r>
        <w:rPr>
          <w:b/>
          <w:color w:val="1F3864"/>
          <w:sz w:val="20"/>
        </w:rPr>
        <w:t>4. Forward Refit &amp; Decision Use</w:t>
      </w:r>
    </w:p>
    <w:p>
      <w:pPr>
        <w:spacing w:after="60" w:line="240" w:lineRule="auto"/>
      </w:pPr>
      <w:r>
        <w:rPr>
          <w:b w:val="0"/>
          <w:color w:val="172033"/>
          <w:sz w:val="16"/>
        </w:rPr>
        <w:t>After model selection on the untouched holdout, the selected model was refitted on all 156 observed weeks to produce the true next-12-week operating forecast. This post-validation refit does not constitute leakage because model selection had already been completed. The resulting forecast is 3.88M tubes, supporting a 90% commitment and 10% flexible-volume policy.</w:t>
      </w:r>
    </w:p>
    <w:tbl>
      <w:tblPr>
        <w:tblW w:type="auto" w:w="0"/>
        <w:tblLook w:firstColumn="1" w:firstRow="1" w:lastColumn="0" w:lastRow="0" w:noHBand="0" w:noVBand="1" w:val="04A0"/>
      </w:tblPr>
      <w:tblGrid>
        <w:gridCol w:w="10656"/>
      </w:tblGrid>
      <w:tr>
        <w:tc>
          <w:tcPr>
            <w:tcW w:type="dxa" w:w="10656"/>
            <w:shd w:fill="FFF0EF"/>
            <w:tcMar>
              <w:top w:w="80" w:type="dxa"/>
              <w:start w:w="100" w:type="dxa"/>
              <w:bottom w:w="80" w:type="dxa"/>
              <w:end w:w="100" w:type="dxa"/>
            </w:tcMar>
            <w:tcBorders>
              <w:left w:val="single" w:sz="16" w:color="DA291C"/>
            </w:tcBorders>
          </w:tcPr>
          <w:p>
            <w:r>
              <w:rPr>
                <w:b/>
                <w:color w:val="DA291C"/>
                <w:sz w:val="14"/>
              </w:rPr>
              <w:t xml:space="preserve">VALIDATION CONCLUSION  </w:t>
            </w:r>
            <w:r>
              <w:rPr>
                <w:color w:val="172033"/>
                <w:sz w:val="15"/>
              </w:rPr>
              <w:t>The workflow is leakage-controlled and decision-usable. The selected model is accurate enough for planning, but the final decision still preserves flexibility and separates normal demand upside from severe supply-disruption contingency.</w:t>
            </w:r>
          </w:p>
        </w:tc>
      </w:tr>
    </w:tbl>
    <w:p>
      <w:pPr>
        <w:jc w:val="center"/>
      </w:pPr>
      <w:r>
        <w:rPr>
          <w:i/>
          <w:color w:val="667085"/>
          <w:sz w:val="12"/>
        </w:rPr>
        <w:t>Company-Calibrated Synthetic Dataset for Academic Analysis — illustrative figures, calibrated to Colgate-Palmolive (Pakistan)'s disclosed scale, not actual company records.</w:t>
      </w:r>
    </w:p>
    <w:sectPr w:rsidR="00FC693F" w:rsidRPr="0006063C" w:rsidSect="00034616">
      <w:pgSz w:w="12240" w:h="15840"/>
      <w:pgMar w:top="648"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033"/>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