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0" w:right="0" w:hanging="10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Mustafa Steven Ascha</w:t>
      </w:r>
    </w:p>
    <w:p>
      <w:pPr>
        <w:pStyle w:val="Normal"/>
        <w:spacing w:before="0" w:after="0"/>
        <w:ind w:left="0" w:right="0" w:hanging="1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pBdr>
          <w:bottom w:val="single" w:sz="4" w:space="1" w:color="00000A"/>
        </w:pBdr>
        <w:spacing w:before="0" w:after="0"/>
        <w:ind w:left="0" w:right="6" w:hanging="1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Center for Clinical Investigation</w:t>
      </w:r>
    </w:p>
    <w:p>
      <w:pPr>
        <w:pStyle w:val="Normal"/>
        <w:pBdr>
          <w:bottom w:val="single" w:sz="4" w:space="1" w:color="00000A"/>
        </w:pBdr>
        <w:spacing w:before="0" w:after="0"/>
        <w:ind w:left="0" w:right="6" w:hanging="1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Case Western Reserve University</w:t>
      </w:r>
    </w:p>
    <w:p>
      <w:pPr>
        <w:pStyle w:val="Normal"/>
        <w:pBdr>
          <w:bottom w:val="single" w:sz="4" w:space="1" w:color="00000A"/>
        </w:pBdr>
        <w:spacing w:before="0" w:after="0"/>
        <w:ind w:left="0" w:right="6" w:hanging="1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2103 Cornell Road, Room 6133</w:t>
      </w:r>
    </w:p>
    <w:p>
      <w:pPr>
        <w:pStyle w:val="Normal"/>
        <w:pBdr>
          <w:bottom w:val="single" w:sz="4" w:space="1" w:color="00000A"/>
        </w:pBdr>
        <w:spacing w:before="0" w:after="0"/>
        <w:ind w:left="0" w:right="6" w:hanging="1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Cleveland, OH 44106-7291</w:t>
      </w:r>
    </w:p>
    <w:p>
      <w:pPr>
        <w:pStyle w:val="Normal"/>
        <w:pBdr>
          <w:bottom w:val="single" w:sz="4" w:space="1" w:color="00000A"/>
        </w:pBdr>
        <w:spacing w:before="0" w:after="0"/>
        <w:ind w:left="0" w:right="6" w:hanging="1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pBdr>
          <w:bottom w:val="single" w:sz="4" w:space="1" w:color="00000A"/>
        </w:pBdr>
        <w:spacing w:before="0" w:after="0"/>
        <w:ind w:left="0" w:right="6" w:hanging="10"/>
        <w:jc w:val="center"/>
        <w:rPr/>
      </w:pPr>
      <w:hyperlink r:id="rId2">
        <w:r>
          <w:rPr>
            <w:rStyle w:val="InternetLink"/>
            <w:rFonts w:eastAsia="Times New Roman" w:cs="Times New Roman" w:ascii="Times New Roman" w:hAnsi="Times New Roman"/>
            <w:sz w:val="20"/>
            <w:szCs w:val="20"/>
          </w:rPr>
          <w:t>http://github.com/mustafaascha</w:t>
        </w:r>
      </w:hyperlink>
      <w:r>
        <w:rPr>
          <w:rFonts w:eastAsia="Times New Roman" w:cs="Times New Roman" w:ascii="Times New Roman" w:hAnsi="Times New Roman"/>
          <w:sz w:val="20"/>
          <w:szCs w:val="20"/>
        </w:rPr>
        <w:t xml:space="preserve"> – </w:t>
      </w:r>
      <w:hyperlink r:id="rId3">
        <w:r>
          <w:rPr>
            <w:rStyle w:val="InternetLink"/>
            <w:rFonts w:eastAsia="Times New Roman" w:cs="Times New Roman" w:ascii="Times New Roman" w:hAnsi="Times New Roman"/>
            <w:sz w:val="20"/>
            <w:szCs w:val="20"/>
          </w:rPr>
          <w:t>http://mustafa.fyi</w:t>
        </w:r>
      </w:hyperlink>
      <w:r>
        <w:rPr>
          <w:rFonts w:eastAsia="Times New Roman" w:cs="Times New Roman" w:ascii="Times New Roman" w:hAnsi="Times New Roman"/>
          <w:sz w:val="20"/>
          <w:szCs w:val="20"/>
        </w:rPr>
        <w:t xml:space="preserve"> – </w:t>
      </w:r>
      <w:hyperlink r:id="rId4">
        <w:r>
          <w:rPr>
            <w:rStyle w:val="InternetLink"/>
            <w:rFonts w:eastAsia="Times New Roman" w:cs="Times New Roman" w:ascii="Times New Roman" w:hAnsi="Times New Roman"/>
            <w:sz w:val="20"/>
            <w:szCs w:val="20"/>
          </w:rPr>
          <w:t>mustafa.ascha@gmail.com</w:t>
        </w:r>
      </w:hyperlink>
    </w:p>
    <w:p>
      <w:pPr>
        <w:pStyle w:val="Normal"/>
        <w:pBdr>
          <w:bottom w:val="single" w:sz="4" w:space="1" w:color="00000A"/>
        </w:pBdr>
        <w:spacing w:before="0" w:after="0"/>
        <w:ind w:left="0" w:right="6" w:hanging="1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pBdr>
          <w:bottom w:val="single" w:sz="4" w:space="1" w:color="00000A"/>
        </w:pBdr>
        <w:spacing w:before="0" w:after="0"/>
        <w:ind w:left="0" w:right="6" w:hanging="1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EDUCATION</w:t>
      </w:r>
    </w:p>
    <w:p>
      <w:pPr>
        <w:pStyle w:val="Normal"/>
        <w:spacing w:before="0" w:after="0"/>
        <w:ind w:left="0" w:right="6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before="0" w:after="0"/>
        <w:ind w:left="0" w:right="6" w:hanging="1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2016-2019 </w:t>
        <w:tab/>
        <w:tab/>
        <w:t>Case Western Reserve University</w:t>
      </w:r>
    </w:p>
    <w:p>
      <w:pPr>
        <w:pStyle w:val="Normal"/>
        <w:spacing w:before="0" w:after="0"/>
        <w:ind w:left="1800" w:right="6" w:firstLine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Center for Clinical Investigation</w:t>
      </w:r>
    </w:p>
    <w:p>
      <w:pPr>
        <w:pStyle w:val="Normal"/>
        <w:spacing w:before="0" w:after="0"/>
        <w:ind w:left="2160" w:right="6" w:firstLine="36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Department of Epidemiology and Biostatistics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PhD, Clinical and Translational Science</w:t>
      </w:r>
    </w:p>
    <w:p>
      <w:pPr>
        <w:pStyle w:val="Normal"/>
        <w:spacing w:before="0" w:after="0"/>
        <w:ind w:left="1440" w:right="0" w:hanging="14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before="0" w:after="0"/>
        <w:ind w:left="0" w:right="6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2014-2016 </w:t>
        <w:tab/>
        <w:tab/>
        <w:t>Case Western Reserve University</w:t>
      </w:r>
    </w:p>
    <w:p>
      <w:pPr>
        <w:pStyle w:val="ListParagraph"/>
        <w:spacing w:before="0" w:after="0"/>
        <w:ind w:left="2520" w:right="6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Center for Clinical Investigation</w:t>
      </w:r>
    </w:p>
    <w:p>
      <w:pPr>
        <w:pStyle w:val="ListParagraph"/>
        <w:spacing w:before="0" w:after="0"/>
        <w:ind w:left="2520" w:right="6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Department of Epidemiology and Biostatistics</w:t>
      </w:r>
    </w:p>
    <w:p>
      <w:pPr>
        <w:pStyle w:val="ListParagraph"/>
        <w:numPr>
          <w:ilvl w:val="0"/>
          <w:numId w:val="2"/>
        </w:numPr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Graduate Certificate in Clinical Research</w:t>
      </w:r>
    </w:p>
    <w:p>
      <w:pPr>
        <w:pStyle w:val="ListParagraph"/>
        <w:numPr>
          <w:ilvl w:val="0"/>
          <w:numId w:val="2"/>
        </w:numPr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GPA: 4.00</w:t>
      </w:r>
    </w:p>
    <w:p>
      <w:pPr>
        <w:pStyle w:val="Normal"/>
        <w:spacing w:before="0" w:after="0"/>
        <w:ind w:left="1440" w:right="0" w:hanging="1440"/>
        <w:rPr>
          <w:rFonts w:ascii="Times New Roman" w:hAnsi="Times New Roman" w:cs="Times New Roman"/>
          <w:sz w:val="20"/>
          <w:szCs w:val="20"/>
        </w:rPr>
      </w:pPr>
      <w:bookmarkStart w:id="0" w:name="_GoBack"/>
      <w:bookmarkStart w:id="1" w:name="_GoBack"/>
      <w:bookmarkEnd w:id="1"/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before="0" w:after="0"/>
        <w:ind w:left="0" w:right="6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2014-2016 </w:t>
        <w:tab/>
        <w:tab/>
        <w:t>Case Western Reserve University</w:t>
      </w:r>
    </w:p>
    <w:p>
      <w:pPr>
        <w:pStyle w:val="ListParagraph"/>
        <w:spacing w:before="0" w:after="0"/>
        <w:ind w:left="2520" w:right="6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Department of Physiology and Biophysics</w:t>
      </w:r>
    </w:p>
    <w:p>
      <w:pPr>
        <w:pStyle w:val="ListParagraph"/>
        <w:numPr>
          <w:ilvl w:val="0"/>
          <w:numId w:val="2"/>
        </w:numPr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Master’s of the Sciences, Medical Physiology</w:t>
      </w:r>
    </w:p>
    <w:p>
      <w:pPr>
        <w:pStyle w:val="ListParagraph"/>
        <w:numPr>
          <w:ilvl w:val="0"/>
          <w:numId w:val="2"/>
        </w:numPr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GPA: 3.95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2007 – 2011</w:t>
        <w:tab/>
        <w:tab/>
        <w:t>Case Western Reserve University</w:t>
      </w:r>
    </w:p>
    <w:p>
      <w:pPr>
        <w:pStyle w:val="ListParagraph"/>
        <w:numPr>
          <w:ilvl w:val="0"/>
          <w:numId w:val="2"/>
        </w:numPr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Bachelor’s of the Arts, Economics</w:t>
      </w:r>
    </w:p>
    <w:p>
      <w:pPr>
        <w:pStyle w:val="ListParagraph"/>
        <w:numPr>
          <w:ilvl w:val="0"/>
          <w:numId w:val="2"/>
        </w:numPr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Minor, Philosophy</w:t>
      </w:r>
    </w:p>
    <w:p>
      <w:pPr>
        <w:pStyle w:val="ListParagraph"/>
        <w:numPr>
          <w:ilvl w:val="0"/>
          <w:numId w:val="2"/>
        </w:numPr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GPA: 3.04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pBdr>
          <w:bottom w:val="single" w:sz="4" w:space="1" w:color="00000A"/>
        </w:pBdr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WORK AND RESEARCH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2016 - present</w:t>
        <w:tab/>
        <w:tab/>
        <w:t>University Hospitals Case Medical Center, Cleveland, Ohio</w:t>
      </w:r>
    </w:p>
    <w:p>
      <w:pPr>
        <w:pStyle w:val="ListParagraph"/>
        <w:spacing w:before="0" w:after="0"/>
        <w:ind w:left="2520" w:right="6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Ear, Nose, and Throat Institute</w:t>
      </w:r>
    </w:p>
    <w:p>
      <w:pPr>
        <w:pStyle w:val="ListParagraph"/>
        <w:spacing w:before="0" w:after="0"/>
        <w:ind w:left="2520" w:right="6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Department of Otolaryngology – Head &amp; Neck Surgery</w:t>
      </w:r>
    </w:p>
    <w:p>
      <w:pPr>
        <w:pStyle w:val="Normal"/>
        <w:spacing w:before="0" w:after="3"/>
        <w:ind w:left="1440" w:right="0" w:firstLine="7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Supervisor: Todd D. Otteson, MD, MPH</w:t>
        <w:br/>
        <w:tab/>
        <w:t>Donor Funded -- Enlarged Vestibular Aqueduct Research Program</w:t>
      </w:r>
    </w:p>
    <w:p>
      <w:pPr>
        <w:pStyle w:val="ListParagraph"/>
        <w:numPr>
          <w:ilvl w:val="0"/>
          <w:numId w:val="3"/>
        </w:numPr>
        <w:spacing w:before="0" w:after="3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Study director, Enlarged Vestibular Aqueduct Registry (EVAR)</w:t>
      </w:r>
    </w:p>
    <w:p>
      <w:pPr>
        <w:pStyle w:val="ListParagraph"/>
        <w:numPr>
          <w:ilvl w:val="0"/>
          <w:numId w:val="3"/>
        </w:numPr>
        <w:spacing w:before="0" w:after="3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Wrote and submitted an IRB application for EVAR</w:t>
      </w:r>
    </w:p>
    <w:p>
      <w:pPr>
        <w:pStyle w:val="ListParagraph"/>
        <w:numPr>
          <w:ilvl w:val="0"/>
          <w:numId w:val="3"/>
        </w:numPr>
        <w:spacing w:before="0" w:after="3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Ensured timely launch of EVAR by coordinating IRB interaction, website development, EVAR marketing, and supervisor input</w:t>
      </w:r>
    </w:p>
    <w:p>
      <w:pPr>
        <w:pStyle w:val="ListParagraph"/>
        <w:numPr>
          <w:ilvl w:val="0"/>
          <w:numId w:val="3"/>
        </w:numPr>
        <w:spacing w:before="0" w:after="3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Submitted and earned approval for EVAR to be listed on ClinicalTrials.gov</w:t>
      </w:r>
    </w:p>
    <w:p>
      <w:pPr>
        <w:pStyle w:val="ListParagraph"/>
        <w:numPr>
          <w:ilvl w:val="1"/>
          <w:numId w:val="3"/>
        </w:numPr>
        <w:spacing w:before="0" w:after="3"/>
        <w:rPr/>
      </w:pPr>
      <w:hyperlink r:id="rId5">
        <w:r>
          <w:rPr>
            <w:rStyle w:val="InternetLink"/>
            <w:rFonts w:cs="Times New Roman" w:ascii="Times New Roman" w:hAnsi="Times New Roman"/>
            <w:sz w:val="20"/>
            <w:szCs w:val="20"/>
          </w:rPr>
          <w:t>https://clinicaltrials.gov/ct2/show/study/NCT02798783</w:t>
        </w:r>
      </w:hyperlink>
    </w:p>
    <w:p>
      <w:pPr>
        <w:pStyle w:val="ListParagraph"/>
        <w:numPr>
          <w:ilvl w:val="0"/>
          <w:numId w:val="3"/>
        </w:numPr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Authored and submitted manuscripts and abstracts for publication and presentation</w:t>
      </w:r>
    </w:p>
    <w:p>
      <w:pPr>
        <w:pStyle w:val="ListParagraph"/>
        <w:numPr>
          <w:ilvl w:val="0"/>
          <w:numId w:val="3"/>
        </w:numPr>
        <w:spacing w:before="0" w:after="3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Wrote update letters to donors</w:t>
      </w:r>
    </w:p>
    <w:p>
      <w:pPr>
        <w:pStyle w:val="ListParagraph"/>
        <w:numPr>
          <w:ilvl w:val="0"/>
          <w:numId w:val="3"/>
        </w:numPr>
        <w:spacing w:before="0" w:after="3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Conceived, implemented, and wrote manuscript for a retrospective study of hearing loss in EVA patients</w:t>
      </w:r>
    </w:p>
    <w:p>
      <w:pPr>
        <w:pStyle w:val="ListParagraph"/>
        <w:numPr>
          <w:ilvl w:val="1"/>
          <w:numId w:val="3"/>
        </w:numPr>
        <w:spacing w:before="0" w:after="3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Designed study to reflect longitudinal nature of hearing loss progression</w:t>
      </w:r>
    </w:p>
    <w:p>
      <w:pPr>
        <w:pStyle w:val="ListParagraph"/>
        <w:numPr>
          <w:ilvl w:val="1"/>
          <w:numId w:val="3"/>
        </w:numPr>
        <w:spacing w:before="0" w:after="3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Used repeated measures of hearing to construct linear mixed-effects models </w:t>
      </w:r>
    </w:p>
    <w:p>
      <w:pPr>
        <w:pStyle w:val="ListParagraph"/>
        <w:numPr>
          <w:ilvl w:val="1"/>
          <w:numId w:val="3"/>
        </w:numPr>
        <w:spacing w:before="0" w:after="3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Examined the impact of inner ear morphology on hearing loss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2014 - present</w:t>
        <w:tab/>
        <w:tab/>
        <w:t>Cleveland Clinic Foundation, Digestive Disease Institute, Cleveland, Ohio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PI: Ibrahim Hanouneh, MD</w:t>
      </w:r>
    </w:p>
    <w:p>
      <w:pPr>
        <w:pStyle w:val="ListParagraph"/>
        <w:numPr>
          <w:ilvl w:val="0"/>
          <w:numId w:val="4"/>
        </w:numPr>
        <w:spacing w:before="0" w:after="0"/>
        <w:ind w:left="2520" w:right="0" w:hanging="36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Authored and submitted manuscripts and abstracts for publication and presentation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before="0" w:after="0"/>
        <w:ind w:left="0" w:right="6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2010-2011</w:t>
        <w:tab/>
        <w:tab/>
        <w:t>Louis Stokes Veterans Affairs Medical Center, Cleveland, Ohio</w:t>
      </w:r>
    </w:p>
    <w:p>
      <w:pPr>
        <w:pStyle w:val="ListParagraph"/>
        <w:spacing w:before="0" w:after="0"/>
        <w:ind w:left="2520" w:right="6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Spinal Cord Injury and Disorders Department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Supervisor: Christine Woo, MS</w:t>
      </w:r>
    </w:p>
    <w:p>
      <w:pPr>
        <w:pStyle w:val="ListParagraph"/>
        <w:numPr>
          <w:ilvl w:val="0"/>
          <w:numId w:val="5"/>
        </w:numPr>
        <w:spacing w:before="0" w:after="0"/>
        <w:ind w:left="2520" w:right="0" w:hanging="36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Developed telehealth program materials</w:t>
      </w:r>
    </w:p>
    <w:p>
      <w:pPr>
        <w:pStyle w:val="ListParagraph"/>
        <w:numPr>
          <w:ilvl w:val="0"/>
          <w:numId w:val="5"/>
        </w:numPr>
        <w:spacing w:before="0" w:after="0"/>
        <w:ind w:left="2520" w:right="0" w:hanging="36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Participated in manuscript revision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ListParagraph"/>
        <w:spacing w:before="0" w:after="0"/>
        <w:ind w:left="180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2008 - 2010</w:t>
        <w:tab/>
        <w:tab/>
        <w:t>Cleveland Clinic Foundation, Digestive Disease Institute, Cleveland, Ohio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PI: Nizar Zein, MD</w:t>
      </w:r>
    </w:p>
    <w:p>
      <w:pPr>
        <w:pStyle w:val="ListParagraph"/>
        <w:numPr>
          <w:ilvl w:val="0"/>
          <w:numId w:val="4"/>
        </w:numPr>
        <w:spacing w:before="0" w:after="0"/>
        <w:ind w:left="2520" w:right="0" w:hanging="36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Designed experiments based on questions discovered during literature search</w:t>
      </w:r>
    </w:p>
    <w:p>
      <w:pPr>
        <w:pStyle w:val="ListParagraph"/>
        <w:numPr>
          <w:ilvl w:val="0"/>
          <w:numId w:val="4"/>
        </w:numPr>
        <w:spacing w:before="0" w:after="0"/>
        <w:ind w:left="2520" w:right="0" w:hanging="36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Retrieved and pre-processed data</w:t>
      </w:r>
    </w:p>
    <w:p>
      <w:pPr>
        <w:pStyle w:val="ListParagraph"/>
        <w:numPr>
          <w:ilvl w:val="0"/>
          <w:numId w:val="4"/>
        </w:numPr>
        <w:spacing w:before="0" w:after="0"/>
        <w:ind w:left="2520" w:right="0" w:hanging="36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Authored and submitted manuscripts and abstracts for publication and presentation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pBdr>
          <w:bottom w:val="single" w:sz="4" w:space="1" w:color="00000A"/>
        </w:pBdr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BIBLIOGRAPHY</w:t>
      </w:r>
    </w:p>
    <w:p>
      <w:pPr>
        <w:pStyle w:val="Normal"/>
        <w:spacing w:before="0" w:after="0"/>
        <w:rPr>
          <w:rFonts w:ascii="Times New Roman" w:hAnsi="Times New Roman" w:cs="Times New Roman"/>
          <w:i/>
          <w:i/>
          <w:color w:val="FF0000"/>
          <w:sz w:val="20"/>
          <w:szCs w:val="20"/>
        </w:rPr>
      </w:pPr>
      <w:r>
        <w:rPr>
          <w:rFonts w:cs="Times New Roman" w:ascii="Times New Roman" w:hAnsi="Times New Roman"/>
          <w:i/>
          <w:color w:val="FF0000"/>
          <w:sz w:val="20"/>
          <w:szCs w:val="20"/>
        </w:rPr>
      </w:r>
    </w:p>
    <w:p>
      <w:pPr>
        <w:pStyle w:val="Normal"/>
        <w:spacing w:before="0" w:after="3"/>
        <w:ind w:left="720" w:right="0" w:hanging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  <w:t>Peer Reviewed Articles</w:t>
      </w:r>
    </w:p>
    <w:p>
      <w:pPr>
        <w:pStyle w:val="ListParagraph"/>
        <w:numPr>
          <w:ilvl w:val="0"/>
          <w:numId w:val="9"/>
        </w:numPr>
        <w:spacing w:lineRule="auto" w:line="240" w:before="0" w:after="144"/>
        <w:rPr/>
      </w:pPr>
      <w:r>
        <w:rPr>
          <w:rFonts w:eastAsia="Caladea-Regular" w:cs="Times New Roman" w:ascii="Times New Roman" w:hAnsi="Times New Roman"/>
          <w:b/>
          <w:bCs/>
          <w:sz w:val="20"/>
          <w:szCs w:val="20"/>
        </w:rPr>
        <w:t>Ascha MS</w:t>
      </w:r>
      <w:r>
        <w:rPr>
          <w:rFonts w:eastAsia="Caladea-Regular" w:cs="Times New Roman" w:ascii="Times New Roman" w:hAnsi="Times New Roman"/>
          <w:sz w:val="20"/>
          <w:szCs w:val="20"/>
        </w:rPr>
        <w:t>, Hanouneh IA, Lopez R, Tamimi TA, Feldstein AF, Zein NN. The incidence and risk factors of hepatocellular carcinoma in patients with nonalcoholic steatohepatitis. Hepatology. 2010;51(6):1972-8. doi: 10.1002/hep.23527.PMID: 20209604.</w:t>
      </w:r>
    </w:p>
    <w:p>
      <w:pPr>
        <w:pStyle w:val="ListParagraph"/>
        <w:numPr>
          <w:ilvl w:val="0"/>
          <w:numId w:val="9"/>
        </w:numPr>
        <w:spacing w:lineRule="auto" w:line="240" w:before="0" w:after="144"/>
        <w:rPr/>
      </w:pPr>
      <w:r>
        <w:rPr>
          <w:rFonts w:eastAsia="Caladea-Regular" w:cs="Times New Roman" w:ascii="Times New Roman" w:hAnsi="Times New Roman"/>
          <w:b/>
          <w:bCs/>
          <w:sz w:val="20"/>
          <w:szCs w:val="20"/>
        </w:rPr>
        <w:t>Ascha MS</w:t>
      </w:r>
      <w:r>
        <w:rPr>
          <w:rFonts w:eastAsia="Caladea-Regular" w:cs="Times New Roman" w:ascii="Times New Roman" w:hAnsi="Times New Roman"/>
          <w:sz w:val="20"/>
          <w:szCs w:val="20"/>
        </w:rPr>
        <w:t>, Ascha ML, Zein NN, et al. Treatment of Recurrent Hepatitis C Genotype 4 Post-Liver Transplantation with Sofosbuvir plus Simeprevir. Int J Organ Transplant Med. 2015;6(2):86-90. PMID: 26082832. PMCID: PMC4464282</w:t>
      </w:r>
    </w:p>
    <w:p>
      <w:pPr>
        <w:pStyle w:val="ListParagraph"/>
        <w:numPr>
          <w:ilvl w:val="0"/>
          <w:numId w:val="9"/>
        </w:numPr>
        <w:spacing w:lineRule="auto" w:line="240" w:before="0" w:after="144"/>
        <w:rPr/>
      </w:pPr>
      <w:r>
        <w:rPr>
          <w:rFonts w:eastAsia="Caladea-Regular" w:cs="Times New Roman" w:ascii="Times New Roman" w:hAnsi="Times New Roman"/>
          <w:b/>
          <w:bCs/>
          <w:sz w:val="20"/>
          <w:szCs w:val="20"/>
        </w:rPr>
        <w:t>Ascha MS</w:t>
      </w:r>
      <w:r>
        <w:rPr>
          <w:rFonts w:eastAsia="Caladea-Regular" w:cs="Times New Roman" w:ascii="Times New Roman" w:hAnsi="Times New Roman"/>
          <w:sz w:val="20"/>
          <w:szCs w:val="20"/>
        </w:rPr>
        <w:t>, Ascha ML, Hanouneh IA. Management of immunosuppressant agents following liver transplantation: Less is more. World J Hepatol 2016;8(3): 148-161. doi:10.4254/wjh.v8.i3.148. PMID: 26839639. PMCID: PMC4724578.</w:t>
      </w:r>
    </w:p>
    <w:p>
      <w:pPr>
        <w:pStyle w:val="ListParagraph"/>
        <w:numPr>
          <w:ilvl w:val="0"/>
          <w:numId w:val="9"/>
        </w:numPr>
        <w:spacing w:lineRule="auto" w:line="240" w:before="0" w:after="144"/>
        <w:rPr/>
      </w:pPr>
      <w:r>
        <w:rPr>
          <w:rFonts w:eastAsia="Caladea-Regular" w:cs="Times New Roman" w:ascii="Times New Roman" w:hAnsi="Times New Roman"/>
          <w:sz w:val="20"/>
          <w:szCs w:val="20"/>
        </w:rPr>
        <w:t xml:space="preserve">Ascha M, Wang Z, </w:t>
      </w:r>
      <w:r>
        <w:rPr>
          <w:rFonts w:eastAsia="Caladea-Regular" w:cs="Times New Roman" w:ascii="Times New Roman" w:hAnsi="Times New Roman"/>
          <w:b/>
          <w:bCs/>
          <w:sz w:val="20"/>
          <w:szCs w:val="20"/>
        </w:rPr>
        <w:t>Ascha MS</w:t>
      </w:r>
      <w:r>
        <w:rPr>
          <w:rFonts w:eastAsia="Caladea-Regular" w:cs="Times New Roman" w:ascii="Times New Roman" w:hAnsi="Times New Roman"/>
          <w:sz w:val="20"/>
          <w:szCs w:val="20"/>
        </w:rPr>
        <w:t>, Dweik R, Zein NN, Grove D, Brown JM, Marshall S, Lopez R, Hanouneh IA. Metabolomics studies identify novel diagnostic and prognostic indicators in patients with alcoholic hepatitis. World J Hepatol. 2016;8(10):499-508. doi: 10.4254/wjh.v8.i10.499. PMID: 27057307. PMCID: PMC4820641.</w:t>
      </w:r>
    </w:p>
    <w:p>
      <w:pPr>
        <w:pStyle w:val="ListParagraph"/>
        <w:numPr>
          <w:ilvl w:val="0"/>
          <w:numId w:val="9"/>
        </w:numPr>
        <w:spacing w:lineRule="auto" w:line="240" w:before="0" w:after="144"/>
        <w:rPr/>
      </w:pPr>
      <w:r>
        <w:rPr>
          <w:rFonts w:eastAsia="Caladea-Regular" w:cs="Times New Roman" w:ascii="Times New Roman" w:hAnsi="Times New Roman"/>
          <w:sz w:val="20"/>
          <w:szCs w:val="20"/>
        </w:rPr>
        <w:t xml:space="preserve">Ascha M, Hanouneh M, </w:t>
      </w:r>
      <w:r>
        <w:rPr>
          <w:rFonts w:eastAsia="Caladea-Regular" w:cs="Times New Roman" w:ascii="Times New Roman" w:hAnsi="Times New Roman"/>
          <w:b/>
          <w:bCs/>
          <w:sz w:val="20"/>
          <w:szCs w:val="20"/>
        </w:rPr>
        <w:t>Ascha MS</w:t>
      </w:r>
      <w:r>
        <w:rPr>
          <w:rFonts w:eastAsia="Caladea-Regular" w:cs="Times New Roman" w:ascii="Times New Roman" w:hAnsi="Times New Roman"/>
          <w:sz w:val="20"/>
          <w:szCs w:val="20"/>
        </w:rPr>
        <w:t>, Zein NN, Sands M, Lopez R, Hanouneh IA. Transjugular Intrahepatic Porto-Systemic Shunt in Patients with Liver Cirrhosis and Model for End-Stage Liver Disease ≥15. Dig Dis Sci. 2016 May 6; Epub ahead of print. PMID: 27154510</w:t>
      </w:r>
      <w:r>
        <w:rPr>
          <w:rFonts w:eastAsia="Caladea-Regular" w:cs="Times New Roman" w:ascii="Times New Roman" w:hAnsi="Times New Roman"/>
          <w:color w:val="575757"/>
          <w:sz w:val="20"/>
          <w:szCs w:val="20"/>
        </w:rPr>
        <w:t>.</w:t>
      </w:r>
    </w:p>
    <w:p>
      <w:pPr>
        <w:pStyle w:val="ListParagraph"/>
        <w:numPr>
          <w:ilvl w:val="0"/>
          <w:numId w:val="9"/>
        </w:numPr>
        <w:spacing w:lineRule="auto" w:line="240" w:before="0" w:after="144"/>
        <w:rPr/>
      </w:pPr>
      <w:r>
        <w:rPr>
          <w:rFonts w:eastAsia="Caladea-Regular" w:cs="Times New Roman" w:ascii="Times New Roman" w:hAnsi="Times New Roman"/>
          <w:sz w:val="20"/>
          <w:szCs w:val="20"/>
        </w:rPr>
        <w:t xml:space="preserve">Nayfe R, </w:t>
      </w:r>
      <w:r>
        <w:rPr>
          <w:rFonts w:eastAsia="Caladea-Regular" w:cs="Times New Roman" w:ascii="Times New Roman" w:hAnsi="Times New Roman"/>
          <w:b/>
          <w:sz w:val="20"/>
          <w:szCs w:val="20"/>
        </w:rPr>
        <w:t>Ascha MS</w:t>
      </w:r>
      <w:r>
        <w:rPr>
          <w:rFonts w:eastAsia="Caladea-Regular" w:cs="Times New Roman" w:ascii="Times New Roman" w:hAnsi="Times New Roman"/>
          <w:sz w:val="20"/>
          <w:szCs w:val="20"/>
        </w:rPr>
        <w:t>, Ismail M, Salvino R. Gastrocolic Fistula as a Presentation of Concomitant Gastric and Colon Cancer in a Patient with a History of Metastatic Pancreatic Adenocarcinoma. J Gastrointest Cancer. 2016; Epub ahead of print. PMID: 27251299.</w:t>
      </w:r>
    </w:p>
    <w:p>
      <w:pPr>
        <w:pStyle w:val="ListParagraph"/>
        <w:numPr>
          <w:ilvl w:val="0"/>
          <w:numId w:val="9"/>
        </w:numPr>
        <w:spacing w:before="0" w:after="144"/>
        <w:rPr/>
      </w:pPr>
      <w:r>
        <w:rPr>
          <w:rFonts w:cs="Times New Roman" w:ascii="Times New Roman" w:hAnsi="Times New Roman"/>
          <w:b/>
          <w:color w:val="00000A"/>
          <w:sz w:val="20"/>
          <w:szCs w:val="20"/>
        </w:rPr>
        <w:t>Ascha MS</w:t>
      </w:r>
      <w:r>
        <w:rPr>
          <w:rFonts w:cs="Times New Roman" w:ascii="Times New Roman" w:hAnsi="Times New Roman"/>
          <w:color w:val="00000A"/>
          <w:sz w:val="20"/>
          <w:szCs w:val="20"/>
        </w:rPr>
        <w:t xml:space="preserve">, Ascha ML, Hanouneh IA. Black Ascites: An interesting presentation of pancreatic duct leak. 2016: 3(4):18-21. doi: 10.5430/crim.v3n4p18. </w:t>
      </w:r>
    </w:p>
    <w:p>
      <w:pPr>
        <w:pStyle w:val="ListParagraph"/>
        <w:numPr>
          <w:ilvl w:val="0"/>
          <w:numId w:val="9"/>
        </w:numPr>
        <w:spacing w:before="0" w:after="144"/>
        <w:rPr/>
      </w:pPr>
      <w:r>
        <w:rPr>
          <w:rFonts w:cs="Times New Roman" w:ascii="Times New Roman" w:hAnsi="Times New Roman"/>
          <w:b/>
          <w:bCs/>
          <w:color w:val="00000A"/>
          <w:sz w:val="20"/>
          <w:szCs w:val="20"/>
        </w:rPr>
        <w:t>Ascha MS</w:t>
      </w:r>
      <w:r>
        <w:rPr>
          <w:rFonts w:cs="Times New Roman" w:ascii="Times New Roman" w:hAnsi="Times New Roman"/>
          <w:color w:val="00000A"/>
          <w:sz w:val="20"/>
          <w:szCs w:val="20"/>
        </w:rPr>
        <w:t xml:space="preserve">, Manzoor N, Gupta A, Semaan M, Megerian C, Otteson TD. Vestibular Aqueduct Midpoint Width and Hearing Loss in Patients With an Enlarged Vestibular Aqueduct. JAMA Otolaryngol Head Neck </w:t>
      </w:r>
      <w:r>
        <w:rPr>
          <w:rFonts w:cs="Times New Roman" w:ascii="Times New Roman" w:hAnsi="Times New Roman"/>
          <w:b w:val="false"/>
          <w:bCs w:val="false"/>
          <w:color w:val="00000A"/>
          <w:sz w:val="20"/>
          <w:szCs w:val="20"/>
        </w:rPr>
        <w:t xml:space="preserve">Surg. 2017 </w:t>
      </w:r>
      <w:r>
        <w:rPr>
          <w:rFonts w:cs="Times New Roman" w:ascii="Times New Roman" w:hAnsi="Times New Roman"/>
          <w:b w:val="false"/>
          <w:bCs w:val="false"/>
          <w:color w:val="00000A"/>
          <w:sz w:val="20"/>
          <w:szCs w:val="20"/>
        </w:rPr>
        <w:t>March 23</w:t>
      </w:r>
      <w:r>
        <w:rPr>
          <w:rFonts w:cs="Times New Roman" w:ascii="Times New Roman" w:hAnsi="Times New Roman"/>
          <w:b w:val="false"/>
          <w:bCs w:val="false"/>
          <w:color w:val="00000A"/>
          <w:sz w:val="20"/>
          <w:szCs w:val="20"/>
        </w:rPr>
        <w:t xml:space="preserve">; </w:t>
      </w:r>
      <w:r>
        <w:rPr>
          <w:rFonts w:cs="Times New Roman" w:ascii="Times New Roman" w:hAnsi="Times New Roman"/>
          <w:b w:val="false"/>
          <w:bCs w:val="false"/>
          <w:color w:val="00000A"/>
          <w:sz w:val="20"/>
          <w:szCs w:val="20"/>
        </w:rPr>
        <w:t>Epub ahead of print. doi: 10.1001/jamaoto.2016.4522 PMID: 28334328</w:t>
      </w:r>
    </w:p>
    <w:p>
      <w:pPr>
        <w:pStyle w:val="Normal"/>
        <w:spacing w:before="0" w:after="3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</w:r>
    </w:p>
    <w:p>
      <w:pPr>
        <w:pStyle w:val="Normal"/>
        <w:spacing w:before="0" w:after="3"/>
        <w:ind w:left="720" w:right="0" w:hanging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  <w:t>Oral Presentations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rPr/>
      </w:pPr>
      <w:r>
        <w:rPr>
          <w:rFonts w:eastAsia="Caladea-Regular" w:cs="Times New Roman" w:ascii="Times New Roman" w:hAnsi="Times New Roman"/>
          <w:b/>
          <w:bCs/>
          <w:sz w:val="20"/>
          <w:szCs w:val="20"/>
        </w:rPr>
        <w:t>Ascha MS</w:t>
      </w:r>
      <w:r>
        <w:rPr>
          <w:rFonts w:eastAsia="Caladea-Regular" w:cs="Times New Roman" w:ascii="Times New Roman" w:hAnsi="Times New Roman"/>
          <w:sz w:val="20"/>
          <w:szCs w:val="20"/>
        </w:rPr>
        <w:t xml:space="preserve">, Hanouneh IA, Lopez R, Abu-Rajab Tamimi TI, Albeldawi M, Feldstein AE, McCullough AJ, Zein NN. “Cumulative Incidence and Risk Factors of Hepatocellular Carcinoma (HCC) in Patients with END-Stage Liver Disease Secondary to Nonalcoholic Steatohepatitis (NASH).” Gastroenterology, Volume 136, Issue 5, Supplement 1, May 2009, Page A-797, ISSN 0016-5085, </w:t>
      </w:r>
      <w:hyperlink r:id="rId6">
        <w:r>
          <w:rPr>
            <w:rStyle w:val="InternetLink"/>
            <w:rFonts w:eastAsia="Caladea-Regular" w:cs="Times New Roman" w:ascii="Times New Roman" w:hAnsi="Times New Roman"/>
            <w:sz w:val="20"/>
            <w:szCs w:val="20"/>
          </w:rPr>
          <w:t>http://dx.doi.org/10.1016/S0016-5085(09)63676-3</w:t>
        </w:r>
      </w:hyperlink>
      <w:r>
        <w:rPr>
          <w:rFonts w:eastAsia="Caladea-Regular" w:cs="Times New Roman" w:ascii="Times New Roman" w:hAnsi="Times New Roman"/>
          <w:sz w:val="20"/>
          <w:szCs w:val="20"/>
        </w:rPr>
        <w:t>. (</w:t>
      </w:r>
      <w:hyperlink r:id="rId7">
        <w:r>
          <w:rPr>
            <w:rStyle w:val="InternetLink"/>
            <w:rFonts w:eastAsia="Caladea-Regular" w:cs="Times New Roman" w:ascii="Times New Roman" w:hAnsi="Times New Roman"/>
            <w:sz w:val="20"/>
            <w:szCs w:val="20"/>
          </w:rPr>
          <w:t>http://www.sciencedirect.com/science/article/pii/S0016508509636763</w:t>
        </w:r>
      </w:hyperlink>
      <w:r>
        <w:rPr>
          <w:rFonts w:eastAsia="Caladea-Regular" w:cs="Times New Roman" w:ascii="Times New Roman" w:hAnsi="Times New Roman"/>
          <w:sz w:val="20"/>
          <w:szCs w:val="20"/>
        </w:rPr>
        <w:t>)</w:t>
      </w:r>
    </w:p>
    <w:p>
      <w:pPr>
        <w:pStyle w:val="ListParagraph"/>
        <w:numPr>
          <w:ilvl w:val="1"/>
          <w:numId w:val="10"/>
        </w:numPr>
        <w:spacing w:lineRule="auto" w:line="240" w:before="0" w:after="144"/>
        <w:rPr>
          <w:rFonts w:ascii="Times New Roman" w:hAnsi="Times New Roman" w:eastAsia="Caladea-Regular" w:cs="Times New Roman"/>
          <w:bCs/>
          <w:sz w:val="20"/>
          <w:szCs w:val="20"/>
        </w:rPr>
      </w:pPr>
      <w:r>
        <w:rPr>
          <w:rFonts w:eastAsia="Caladea-Regular" w:cs="Times New Roman" w:ascii="Times New Roman" w:hAnsi="Times New Roman"/>
          <w:bCs/>
          <w:sz w:val="20"/>
          <w:szCs w:val="20"/>
        </w:rPr>
        <w:t>Presentation by Ascha MS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rPr/>
      </w:pPr>
      <w:r>
        <w:rPr>
          <w:rFonts w:eastAsia="Caladea-Regular" w:cs="Times New Roman" w:ascii="Times New Roman" w:hAnsi="Times New Roman"/>
          <w:sz w:val="20"/>
          <w:szCs w:val="20"/>
        </w:rPr>
        <w:t xml:space="preserve">Ascha ML, </w:t>
      </w:r>
      <w:r>
        <w:rPr>
          <w:rFonts w:eastAsia="Caladea-Regular" w:cs="Times New Roman" w:ascii="Times New Roman" w:hAnsi="Times New Roman"/>
          <w:b/>
          <w:bCs/>
          <w:sz w:val="20"/>
          <w:szCs w:val="20"/>
        </w:rPr>
        <w:t>Ascha MS</w:t>
      </w:r>
      <w:r>
        <w:rPr>
          <w:rFonts w:eastAsia="Caladea-Regular" w:cs="Times New Roman" w:ascii="Times New Roman" w:hAnsi="Times New Roman"/>
          <w:sz w:val="20"/>
          <w:szCs w:val="20"/>
        </w:rPr>
        <w:t>, Dweik R, Zein NN, Brown M, Marshall S, Hazen S, Wang Z, Grove D, Hanouneh IA. “Metabolomics: Identifying novel prognostic indicators in patients with end-stage liver disease.” Case Western Reserve University QGrad LGBT Symposium. April 23, 2015. Cleveland, Ohio.</w:t>
      </w:r>
    </w:p>
    <w:p>
      <w:pPr>
        <w:pStyle w:val="ListParagraph"/>
        <w:numPr>
          <w:ilvl w:val="1"/>
          <w:numId w:val="10"/>
        </w:numPr>
        <w:spacing w:lineRule="auto" w:line="240" w:before="0" w:after="144"/>
        <w:rPr>
          <w:rFonts w:ascii="Times New Roman" w:hAnsi="Times New Roman" w:eastAsia="Caladea-Regular" w:cs="Times New Roman"/>
          <w:sz w:val="20"/>
          <w:szCs w:val="20"/>
        </w:rPr>
      </w:pPr>
      <w:r>
        <w:rPr>
          <w:rFonts w:eastAsia="Caladea-Regular" w:cs="Times New Roman" w:ascii="Times New Roman" w:hAnsi="Times New Roman"/>
          <w:sz w:val="20"/>
          <w:szCs w:val="20"/>
        </w:rPr>
        <w:t>Presentation by Ascha MS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rPr/>
      </w:pPr>
      <w:r>
        <w:rPr>
          <w:rFonts w:eastAsia="Caladea-Regular" w:cs="Times New Roman" w:ascii="Times New Roman" w:hAnsi="Times New Roman"/>
          <w:sz w:val="20"/>
          <w:szCs w:val="20"/>
        </w:rPr>
        <w:t xml:space="preserve">Ascha ML, </w:t>
      </w:r>
      <w:r>
        <w:rPr>
          <w:rFonts w:eastAsia="Caladea-Regular" w:cs="Times New Roman" w:ascii="Times New Roman" w:hAnsi="Times New Roman"/>
          <w:b/>
          <w:bCs/>
          <w:sz w:val="20"/>
          <w:szCs w:val="20"/>
        </w:rPr>
        <w:t>Ascha MS</w:t>
      </w:r>
      <w:r>
        <w:rPr>
          <w:rFonts w:eastAsia="Caladea-Regular" w:cs="Times New Roman" w:ascii="Times New Roman" w:hAnsi="Times New Roman"/>
          <w:sz w:val="20"/>
          <w:szCs w:val="20"/>
        </w:rPr>
        <w:t>, Hanouneh IA. “Treatment of recurrent hepatitis C genotype 4 post-liver transplantation with sofosbuvir plus simeprevir: a case series.” Case Western Reserve University QGrad LGBT Symposium. April 23, 2015. Cleveland, Ohio.</w:t>
      </w:r>
    </w:p>
    <w:p>
      <w:pPr>
        <w:pStyle w:val="ListParagraph"/>
        <w:numPr>
          <w:ilvl w:val="1"/>
          <w:numId w:val="10"/>
        </w:numPr>
        <w:spacing w:lineRule="auto" w:line="240" w:before="0" w:after="144"/>
        <w:rPr>
          <w:rFonts w:ascii="Times New Roman" w:hAnsi="Times New Roman" w:eastAsia="Caladea-Regular" w:cs="Times New Roman"/>
          <w:sz w:val="20"/>
          <w:szCs w:val="20"/>
        </w:rPr>
      </w:pPr>
      <w:r>
        <w:rPr>
          <w:rFonts w:eastAsia="Caladea-Regular" w:cs="Times New Roman" w:ascii="Times New Roman" w:hAnsi="Times New Roman"/>
          <w:sz w:val="20"/>
          <w:szCs w:val="20"/>
        </w:rPr>
        <w:t>Presentation by Ascha MS</w:t>
      </w:r>
    </w:p>
    <w:p>
      <w:pPr>
        <w:pStyle w:val="ListParagraph"/>
        <w:spacing w:lineRule="auto" w:line="240" w:before="0" w:after="0"/>
        <w:ind w:left="1800" w:right="0" w:hanging="0"/>
        <w:rPr>
          <w:rFonts w:ascii="Times New Roman" w:hAnsi="Times New Roman" w:eastAsia="Caladea-Regular" w:cs="Times New Roman"/>
          <w:sz w:val="20"/>
          <w:szCs w:val="20"/>
        </w:rPr>
      </w:pPr>
      <w:r>
        <w:rPr>
          <w:rFonts w:eastAsia="Caladea-Regular" w:cs="Times New Roman" w:ascii="Times New Roman" w:hAnsi="Times New Roman"/>
          <w:sz w:val="20"/>
          <w:szCs w:val="20"/>
        </w:rPr>
      </w:r>
    </w:p>
    <w:p>
      <w:pPr>
        <w:pStyle w:val="Normal"/>
        <w:spacing w:before="0" w:after="3"/>
        <w:ind w:left="720" w:right="0" w:hanging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</w:r>
    </w:p>
    <w:p>
      <w:pPr>
        <w:pStyle w:val="Normal"/>
        <w:spacing w:before="0" w:after="3"/>
        <w:ind w:left="720" w:right="0" w:hanging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  <w:t>Poster Presentations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rPr/>
      </w:pPr>
      <w:r>
        <w:rPr>
          <w:rFonts w:eastAsia="Caladea-Regular" w:cs="Times New Roman" w:ascii="Times New Roman" w:hAnsi="Times New Roman"/>
          <w:b/>
          <w:bCs/>
          <w:sz w:val="20"/>
          <w:szCs w:val="20"/>
        </w:rPr>
        <w:t>Ascha MS</w:t>
      </w:r>
      <w:r>
        <w:rPr>
          <w:rFonts w:eastAsia="Caladea-Regular" w:cs="Times New Roman" w:ascii="Times New Roman" w:hAnsi="Times New Roman"/>
          <w:sz w:val="20"/>
          <w:szCs w:val="20"/>
        </w:rPr>
        <w:t>, Hanouneh IA, Lopez R, Feldstein AE, Zein NN. "Risk score for predicting the lack of response to antiviral treatment in patients with chronic HCV infection." American College of Gastroenterology, October 3 – 8, 2008. Orlando, Florida</w:t>
      </w:r>
    </w:p>
    <w:p>
      <w:pPr>
        <w:pStyle w:val="ListParagraph"/>
        <w:numPr>
          <w:ilvl w:val="1"/>
          <w:numId w:val="11"/>
        </w:numPr>
        <w:spacing w:lineRule="auto" w:line="240" w:before="0" w:after="144"/>
        <w:rPr>
          <w:rFonts w:ascii="Times New Roman" w:hAnsi="Times New Roman" w:eastAsia="Caladea-Regular" w:cs="Times New Roman"/>
          <w:bCs/>
          <w:sz w:val="20"/>
          <w:szCs w:val="20"/>
        </w:rPr>
      </w:pPr>
      <w:r>
        <w:rPr>
          <w:rFonts w:eastAsia="Caladea-Regular" w:cs="Times New Roman" w:ascii="Times New Roman" w:hAnsi="Times New Roman"/>
          <w:bCs/>
          <w:sz w:val="20"/>
          <w:szCs w:val="20"/>
        </w:rPr>
        <w:t>Presentation by Ascha MS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rPr/>
      </w:pPr>
      <w:r>
        <w:rPr>
          <w:rFonts w:eastAsia="Caladea-Regular" w:cs="Times New Roman" w:ascii="Times New Roman" w:hAnsi="Times New Roman"/>
          <w:b/>
          <w:bCs/>
          <w:sz w:val="20"/>
          <w:szCs w:val="20"/>
        </w:rPr>
        <w:t>Ascha ML</w:t>
      </w:r>
      <w:r>
        <w:rPr>
          <w:rFonts w:eastAsia="Caladea-Regular" w:cs="Times New Roman" w:ascii="Times New Roman" w:hAnsi="Times New Roman"/>
          <w:sz w:val="20"/>
          <w:szCs w:val="20"/>
        </w:rPr>
        <w:t>, Ascha MS, Hanouneh IA. “Treatment of recurrent hepatitis C genotype 4 post-liver transplantation with sofosbuvir plus simeprevir: a case series.” Case Western Reserve University Department of Physiology and Biophysics Retreat. September 25, 2015. Cleveland, Ohio.</w:t>
      </w:r>
    </w:p>
    <w:p>
      <w:pPr>
        <w:pStyle w:val="ListParagraph"/>
        <w:numPr>
          <w:ilvl w:val="1"/>
          <w:numId w:val="11"/>
        </w:numPr>
        <w:spacing w:lineRule="auto" w:line="240" w:before="0" w:after="144"/>
        <w:rPr>
          <w:rFonts w:ascii="Times New Roman" w:hAnsi="Times New Roman" w:eastAsia="Caladea-Regular" w:cs="Times New Roman"/>
          <w:sz w:val="20"/>
          <w:szCs w:val="20"/>
        </w:rPr>
      </w:pPr>
      <w:r>
        <w:rPr>
          <w:rFonts w:eastAsia="Caladea-Regular" w:cs="Times New Roman" w:ascii="Times New Roman" w:hAnsi="Times New Roman"/>
          <w:sz w:val="20"/>
          <w:szCs w:val="20"/>
        </w:rPr>
        <w:t>Presentation by Ascha MS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rPr/>
      </w:pPr>
      <w:r>
        <w:rPr>
          <w:rFonts w:ascii="Times New Roman" w:hAnsi="Times New Roman"/>
          <w:b/>
          <w:bCs/>
          <w:sz w:val="20"/>
          <w:szCs w:val="20"/>
        </w:rPr>
        <w:t>Ascha MS</w:t>
      </w:r>
      <w:r>
        <w:rPr>
          <w:rFonts w:ascii="Times New Roman" w:hAnsi="Times New Roman"/>
          <w:sz w:val="20"/>
          <w:szCs w:val="20"/>
        </w:rPr>
        <w:t xml:space="preserve">, Ascha ML, Hanouneh IA. “Black ascites: an interesting presentation of pancreatic duct leak”. American College of Gastroenterology, October 17, 2016. Las Vegas, Nevada. </w:t>
      </w:r>
    </w:p>
    <w:p>
      <w:pPr>
        <w:pStyle w:val="ListParagraph"/>
        <w:numPr>
          <w:ilvl w:val="1"/>
          <w:numId w:val="11"/>
        </w:numPr>
        <w:spacing w:lineRule="auto" w:line="240" w:before="0" w:after="14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Presentation by Ascha MS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rPr/>
      </w:pPr>
      <w:r>
        <w:rPr>
          <w:rFonts w:ascii="Times New Roman" w:hAnsi="Times New Roman"/>
          <w:sz w:val="20"/>
          <w:szCs w:val="20"/>
        </w:rPr>
        <w:t xml:space="preserve">Ascha ML, Hanouneh M, </w:t>
      </w:r>
      <w:r>
        <w:rPr>
          <w:rFonts w:ascii="Times New Roman" w:hAnsi="Times New Roman"/>
          <w:b/>
          <w:bCs/>
          <w:sz w:val="20"/>
          <w:szCs w:val="20"/>
        </w:rPr>
        <w:t>Ascha MS</w:t>
      </w:r>
      <w:r>
        <w:rPr>
          <w:rFonts w:ascii="Times New Roman" w:hAnsi="Times New Roman"/>
          <w:sz w:val="20"/>
          <w:szCs w:val="20"/>
        </w:rPr>
        <w:t xml:space="preserve">, Zein NN, McCullough A, Hanouneh IA. “The utility of tacrolimus in the management of adults with difficult-to-treat autoimmune hepatitis: review of literature”. American College of Gastroenterology, October 18, 2016, Las Vegas, Nevada. </w:t>
      </w:r>
    </w:p>
    <w:p>
      <w:pPr>
        <w:pStyle w:val="ListParagraph"/>
        <w:numPr>
          <w:ilvl w:val="1"/>
          <w:numId w:val="11"/>
        </w:numPr>
        <w:spacing w:lineRule="auto" w:line="240" w:before="0" w:after="14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Presentation by Ascha MS</w:t>
      </w:r>
    </w:p>
    <w:p>
      <w:pPr>
        <w:pStyle w:val="Normal"/>
        <w:spacing w:before="0" w:after="3"/>
        <w:ind w:left="72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before="0" w:after="0"/>
        <w:ind w:left="720" w:right="0" w:hanging="0"/>
        <w:rPr>
          <w:rFonts w:ascii="Times New Roman" w:hAnsi="Times New Roman" w:cs="Times New Roman"/>
          <w:i/>
          <w:i/>
          <w:color w:val="FF0000"/>
          <w:sz w:val="20"/>
          <w:szCs w:val="20"/>
        </w:rPr>
      </w:pPr>
      <w:r>
        <w:rPr>
          <w:rFonts w:cs="Times New Roman" w:ascii="Times New Roman" w:hAnsi="Times New Roman"/>
          <w:i/>
          <w:color w:val="FF0000"/>
          <w:sz w:val="20"/>
          <w:szCs w:val="20"/>
        </w:rPr>
      </w:r>
    </w:p>
    <w:p>
      <w:pPr>
        <w:pStyle w:val="Normal"/>
        <w:pBdr>
          <w:bottom w:val="single" w:sz="4" w:space="1" w:color="00000A"/>
        </w:pBdr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TEACHING EXPERIENCE</w:t>
        <w:tab/>
        <w:t xml:space="preserve">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Summer 2016</w:t>
        <w:tab/>
        <w:tab/>
        <w:t>Teaching Assistant</w:t>
      </w:r>
    </w:p>
    <w:p>
      <w:pPr>
        <w:pStyle w:val="Normal"/>
        <w:spacing w:before="0" w:after="0"/>
        <w:ind w:left="1440" w:right="0" w:firstLine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Course Title: Introduction to R Programming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Case Western Reserve University, Clinical Research Scholars Program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Course Director: Steven Lewis, MS, MBA</w:t>
      </w:r>
    </w:p>
    <w:p>
      <w:pPr>
        <w:pStyle w:val="ListParagraph"/>
        <w:numPr>
          <w:ilvl w:val="3"/>
          <w:numId w:val="6"/>
        </w:numPr>
        <w:spacing w:before="0" w:after="0"/>
        <w:ind w:left="2520" w:right="0" w:hanging="36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Met with students to review core R Programming concepts</w:t>
      </w:r>
    </w:p>
    <w:p>
      <w:pPr>
        <w:pStyle w:val="ListParagraph"/>
        <w:numPr>
          <w:ilvl w:val="3"/>
          <w:numId w:val="6"/>
        </w:numPr>
        <w:spacing w:before="0" w:after="0"/>
        <w:ind w:left="2520" w:right="0" w:hanging="36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Graded and designed homework assignments</w:t>
      </w:r>
    </w:p>
    <w:p>
      <w:pPr>
        <w:pStyle w:val="ListParagraph"/>
        <w:numPr>
          <w:ilvl w:val="3"/>
          <w:numId w:val="6"/>
        </w:numPr>
        <w:spacing w:before="0" w:after="0"/>
        <w:ind w:left="2520" w:right="0" w:hanging="36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Lectured regarding the use of R Markdown</w:t>
      </w:r>
    </w:p>
    <w:p>
      <w:pPr>
        <w:pStyle w:val="ListParagraph"/>
        <w:numPr>
          <w:ilvl w:val="4"/>
          <w:numId w:val="6"/>
        </w:numPr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https://github.com/mustafaascha/rmarkdownTutorial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Fall 2016</w:t>
        <w:tab/>
        <w:tab/>
        <w:t>Intern, Curriculum Development and Programming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Case Western Reserve University, Department of Epidemiology and Biostatistics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Course Director: Thomas Love, PhD</w:t>
      </w:r>
    </w:p>
    <w:p>
      <w:pPr>
        <w:pStyle w:val="ListParagraph"/>
        <w:numPr>
          <w:ilvl w:val="3"/>
          <w:numId w:val="6"/>
        </w:numPr>
        <w:spacing w:before="0" w:after="0"/>
        <w:ind w:left="2520" w:right="0" w:hanging="36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Updated course notes and assignment solutions to reflect modern R practices</w:t>
      </w:r>
    </w:p>
    <w:p>
      <w:pPr>
        <w:pStyle w:val="ListParagraph"/>
        <w:numPr>
          <w:ilvl w:val="4"/>
          <w:numId w:val="6"/>
        </w:numPr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Re-wrote figures to use the R package ggplot2</w:t>
      </w:r>
    </w:p>
    <w:p>
      <w:pPr>
        <w:pStyle w:val="ListParagraph"/>
        <w:numPr>
          <w:ilvl w:val="4"/>
          <w:numId w:val="6"/>
        </w:numPr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Re-wrote code to use the R package dplyr</w:t>
      </w:r>
    </w:p>
    <w:p>
      <w:pPr>
        <w:pStyle w:val="ListParagraph"/>
        <w:numPr>
          <w:ilvl w:val="3"/>
          <w:numId w:val="6"/>
        </w:numPr>
        <w:spacing w:before="0" w:after="0"/>
        <w:ind w:left="2520" w:right="0" w:hanging="36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Converted R Markdown notes for use with the R package bookdown</w:t>
      </w:r>
    </w:p>
    <w:p>
      <w:pPr>
        <w:pStyle w:val="ListParagraph"/>
        <w:numPr>
          <w:ilvl w:val="4"/>
          <w:numId w:val="6"/>
        </w:numPr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Organized notes for use both in website or PDF format</w:t>
      </w:r>
    </w:p>
    <w:p>
      <w:pPr>
        <w:pStyle w:val="ListParagraph"/>
        <w:numPr>
          <w:ilvl w:val="3"/>
          <w:numId w:val="6"/>
        </w:numPr>
        <w:spacing w:before="0" w:after="0"/>
        <w:ind w:left="2520" w:right="0" w:hanging="36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Wrote exploratory data analysis convenience functions</w:t>
      </w:r>
    </w:p>
    <w:p>
      <w:pPr>
        <w:pStyle w:val="Normal"/>
        <w:spacing w:before="0" w:after="3"/>
        <w:ind w:left="1754" w:right="0" w:hanging="1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before="0" w:after="3"/>
        <w:ind w:left="1754" w:right="0" w:hanging="1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pBdr>
          <w:bottom w:val="single" w:sz="4" w:space="1" w:color="00000A"/>
        </w:pBdr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COMMUNITY SERVICE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Jan. – Jun. 2013</w:t>
        <w:tab/>
        <w:tab/>
        <w:t>Volunteer, Perioperative Care Center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ab/>
        <w:t>Hillcrest Hospital, Cleveland Clinic Health System, Mayfield Heights, Ohio</w:t>
      </w:r>
    </w:p>
    <w:p>
      <w:pPr>
        <w:pStyle w:val="ListParagraph"/>
        <w:numPr>
          <w:ilvl w:val="0"/>
          <w:numId w:val="7"/>
        </w:numPr>
        <w:spacing w:before="0" w:after="3"/>
        <w:ind w:left="2520" w:right="0" w:hanging="36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Prepared rooms for post-surgery patients</w:t>
      </w:r>
    </w:p>
    <w:p>
      <w:pPr>
        <w:pStyle w:val="ListParagraph"/>
        <w:numPr>
          <w:ilvl w:val="0"/>
          <w:numId w:val="7"/>
        </w:numPr>
        <w:spacing w:before="0" w:after="3"/>
        <w:ind w:left="2520" w:right="0" w:hanging="36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Transported patients to hospital exit for pick-up</w:t>
      </w:r>
    </w:p>
    <w:p>
      <w:pPr>
        <w:pStyle w:val="Normal"/>
        <w:spacing w:before="0" w:after="3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before="0" w:after="3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2015</w:t>
        <w:tab/>
        <w:tab/>
        <w:tab/>
        <w:t>Volunteer, Preventing Incident Delirium in the Elderly (PRIDE) Program</w:t>
      </w:r>
    </w:p>
    <w:p>
      <w:pPr>
        <w:pStyle w:val="Normal"/>
        <w:spacing w:before="0" w:after="3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ab/>
        <w:t>University Hospitals Case Medical Center, Cleveland, Ohio</w:t>
      </w:r>
    </w:p>
    <w:p>
      <w:pPr>
        <w:pStyle w:val="ListParagraph"/>
        <w:numPr>
          <w:ilvl w:val="0"/>
          <w:numId w:val="8"/>
        </w:numPr>
        <w:spacing w:before="0" w:after="3"/>
        <w:ind w:left="2520" w:right="0" w:hanging="36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Re-oriented elderly patients to place and time</w:t>
      </w:r>
    </w:p>
    <w:p>
      <w:pPr>
        <w:pStyle w:val="ListParagraph"/>
        <w:numPr>
          <w:ilvl w:val="0"/>
          <w:numId w:val="8"/>
        </w:numPr>
        <w:spacing w:before="0" w:after="3"/>
        <w:ind w:left="2520" w:right="0" w:hanging="36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Spent time in conversation with elderly patients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before="0" w:after="3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spacing w:before="0" w:after="3"/>
        <w:rPr/>
      </w:pP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Languages: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Conversant in French and Syrian Arabic </w:t>
      </w:r>
    </w:p>
    <w:p>
      <w:pPr>
        <w:pStyle w:val="Normal"/>
        <w:spacing w:before="0" w:after="3"/>
        <w:rPr/>
      </w:pP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Interests: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</w:rPr>
        <w:t>Playing guitar</w:t>
      </w:r>
      <w:r>
        <w:rPr>
          <w:rFonts w:eastAsia="Times New Roman" w:cs="Times New Roman" w:ascii="Times New Roman" w:hAnsi="Times New Roman"/>
          <w:sz w:val="20"/>
          <w:szCs w:val="20"/>
        </w:rPr>
        <w:t>, working with electronics, computer science</w:t>
      </w:r>
    </w:p>
    <w:sectPr>
      <w:footerReference w:type="default" r:id="rId8"/>
      <w:type w:val="nextPage"/>
      <w:pgSz w:w="12240" w:h="15840"/>
      <w:pgMar w:left="941" w:right="1646" w:header="0" w:top="1440" w:footer="72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rFonts w:ascii="Times New Roman" w:hAnsi="Times New Roman" w:cs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  <w:t>Ascha</w:t>
    </w:r>
  </w:p>
  <w:p>
    <w:pPr>
      <w:pStyle w:val="Footer"/>
      <w:rPr>
        <w:rFonts w:ascii="Times New Roman" w:hAnsi="Times New Roman" w:cs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  <w:t>October 31, 2016</w:t>
    </w:r>
  </w:p>
  <w:p>
    <w:pPr>
      <w:pStyle w:val="Footer"/>
      <w:rPr/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  <w:p>
    <w:pPr>
      <w:pStyle w:val="Footer"/>
      <w:rPr>
        <w:rFonts w:ascii="Times New Roman" w:hAnsi="Times New Roman" w:cs="Times New Roman"/>
        <w:i/>
        <w:i/>
        <w:color w:val="FF0000"/>
        <w:sz w:val="18"/>
      </w:rPr>
    </w:pPr>
    <w:r>
      <w:rPr>
        <w:rFonts w:cs="Times New Roman" w:ascii="Times New Roman" w:hAnsi="Times New Roman"/>
        <w:i/>
        <w:color w:val="FF0000"/>
        <w:sz w:val="18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010"/>
      <w:pStyle w:val="Heading1"/>
      <w:numFmt w:val="decimal"/>
      <w:lvlText w:val="%1"/>
      <w:lvlJc w:val="left"/>
      <w:pPr>
        <w:ind w:left="0" w:hanging="432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highlight w:val="white"/>
        <w:szCs w:val="24"/>
        <w:rFonts w:eastAsia="Times New Roman" w:cs="Times New Roman"/>
        <w:color w:val="000000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0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decimal"/>
      <w:lvlText w:val="%1."/>
      <w:lvlJc w:val="left"/>
      <w:pPr>
        <w:ind w:left="1080" w:hanging="360"/>
      </w:pPr>
      <w:rPr>
        <w:sz w:val="20"/>
        <w:i w:val="false"/>
        <w:b w:val="false"/>
        <w:bCs w:val="false"/>
        <w:rFonts w:ascii="Times New Roman" w:hAnsi="Times New Roman"/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lvl w:ilvl="0">
      <w:start w:val="1"/>
      <w:numFmt w:val="decimal"/>
      <w:lvlText w:val="%1."/>
      <w:lvlJc w:val="left"/>
      <w:pPr>
        <w:ind w:left="1080" w:hanging="360"/>
      </w:pPr>
      <w:rPr>
        <w:sz w:val="20"/>
        <w:b w:val="fals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DejaVu Sans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Normal"/>
    <w:qFormat/>
    <w:pPr>
      <w:keepNext/>
      <w:keepLines/>
      <w:widowControl/>
      <w:numPr>
        <w:ilvl w:val="0"/>
        <w:numId w:val="1"/>
      </w:numPr>
      <w:bidi w:val="0"/>
      <w:spacing w:before="240" w:after="0"/>
      <w:ind w:left="113" w:right="0" w:hanging="10"/>
      <w:jc w:val="left"/>
      <w:outlineLvl w:val="0"/>
      <w:outlineLvl w:val="0"/>
    </w:pPr>
    <w:rPr>
      <w:rFonts w:ascii="Times New Roman" w:hAnsi="Times New Roman" w:eastAsia="Times New Roman" w:cs="Times New Roman"/>
      <w:b/>
      <w:color w:val="000000"/>
      <w:sz w:val="24"/>
      <w:u w:val="single" w:color="000000"/>
    </w:rPr>
  </w:style>
  <w:style w:type="paragraph" w:styleId="Heading2">
    <w:name w:val="Heading 2"/>
    <w:basedOn w:val="Heading"/>
    <w:next w:val="Normal"/>
    <w:qFormat/>
    <w:pPr>
      <w:keepNext/>
      <w:keepLines/>
      <w:widowControl/>
      <w:numPr>
        <w:ilvl w:val="0"/>
        <w:numId w:val="0"/>
      </w:numPr>
      <w:bidi w:val="0"/>
      <w:spacing w:before="240" w:after="0"/>
      <w:ind w:left="1134" w:right="0" w:hanging="10"/>
      <w:jc w:val="left"/>
      <w:outlineLvl w:val="1"/>
    </w:pPr>
    <w:rPr>
      <w:rFonts w:ascii="Times New Roman" w:hAnsi="Times New Roman" w:eastAsia="Times New Roman" w:cs="Times New Roman"/>
      <w:b/>
      <w:color w:val="000000"/>
      <w:sz w:val="24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Times New Roman" w:hAnsi="Times New Roman" w:eastAsia="Times New Roman" w:cs="Times New Roman"/>
      <w:b/>
      <w:color w:val="000000"/>
      <w:sz w:val="24"/>
      <w:u w:val="single" w:color="000000"/>
    </w:rPr>
  </w:style>
  <w:style w:type="character" w:styleId="Heading2Char">
    <w:name w:val="Heading 2 Char"/>
    <w:qFormat/>
    <w:rPr>
      <w:rFonts w:ascii="Times New Roman" w:hAnsi="Times New Roman" w:eastAsia="Times New Roman" w:cs="Times New Roman"/>
      <w:b/>
      <w:color w:val="000000"/>
      <w:sz w:val="24"/>
    </w:rPr>
  </w:style>
  <w:style w:type="character" w:styleId="BalloonTextChar">
    <w:name w:val="Balloon Text Char"/>
    <w:basedOn w:val="DefaultParagraphFont"/>
    <w:qFormat/>
    <w:rPr>
      <w:rFonts w:ascii="Segoe UI" w:hAnsi="Segoe UI" w:eastAsia="Calibri" w:cs="Segoe UI"/>
      <w:color w:val="000000"/>
      <w:sz w:val="18"/>
      <w:szCs w:val="18"/>
    </w:rPr>
  </w:style>
  <w:style w:type="character" w:styleId="HeaderChar">
    <w:name w:val="Header Char"/>
    <w:basedOn w:val="DefaultParagraphFont"/>
    <w:qFormat/>
    <w:rPr>
      <w:rFonts w:ascii="Calibri" w:hAnsi="Calibri" w:eastAsia="Calibri" w:cs="Calibri"/>
      <w:color w:val="000000"/>
    </w:rPr>
  </w:style>
  <w:style w:type="character" w:styleId="FooterChar">
    <w:name w:val="Footer Char"/>
    <w:basedOn w:val="DefaultParagraphFont"/>
    <w:qFormat/>
    <w:rPr>
      <w:rFonts w:ascii="Calibri" w:hAnsi="Calibri" w:eastAsia="Calibri" w:cs="Calibri"/>
      <w:color w:val="000000"/>
    </w:rPr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ListLabel1">
    <w:name w:val="ListLabel 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/>
      <w:vertAlign w:val="baseline"/>
    </w:rPr>
  </w:style>
  <w:style w:type="character" w:styleId="ListLabel2">
    <w:name w:val="ListLabel 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/>
      <w:vertAlign w:val="baseline"/>
    </w:rPr>
  </w:style>
  <w:style w:type="character" w:styleId="ListLabel3">
    <w:name w:val="ListLabel 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/>
      <w:vertAlign w:val="baseline"/>
    </w:rPr>
  </w:style>
  <w:style w:type="character" w:styleId="ListLabel4">
    <w:name w:val="ListLabel 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/>
      <w:vertAlign w:val="baseline"/>
    </w:rPr>
  </w:style>
  <w:style w:type="character" w:styleId="ListLabel5">
    <w:name w:val="ListLabel 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/>
      <w:vertAlign w:val="baseline"/>
    </w:rPr>
  </w:style>
  <w:style w:type="character" w:styleId="ListLabel6">
    <w:name w:val="ListLabel 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/>
      <w:vertAlign w:val="baseline"/>
    </w:rPr>
  </w:style>
  <w:style w:type="character" w:styleId="ListLabel7">
    <w:name w:val="ListLabel 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/>
      <w:vertAlign w:val="baseline"/>
    </w:rPr>
  </w:style>
  <w:style w:type="character" w:styleId="ListLabel8">
    <w:name w:val="ListLabel 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/>
      <w:vertAlign w:val="baseline"/>
    </w:rPr>
  </w:style>
  <w:style w:type="character" w:styleId="ListLabel9">
    <w:name w:val="ListLabel 9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/>
      <w:vertAlign w:val="baseline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ascii="Times New Roman" w:hAnsi="Times New Roman" w:cs="Courier New"/>
      <w:sz w:val="20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ascii="Times New Roman" w:hAnsi="Times New Roman" w:cs="Courier New"/>
      <w:sz w:val="20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rFonts w:eastAsia="Calibri" w:cs="Times New Roman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ascii="Times New Roman" w:hAnsi="Times New Roman"/>
      <w:b w:val="false"/>
      <w:bCs w:val="false"/>
      <w:i w:val="false"/>
      <w:color w:val="000000"/>
      <w:sz w:val="20"/>
    </w:rPr>
  </w:style>
  <w:style w:type="character" w:styleId="ListLabel69">
    <w:name w:val="ListLabel 69"/>
    <w:qFormat/>
    <w:rPr>
      <w:rFonts w:ascii="Times New Roman" w:hAnsi="Times New Roman"/>
      <w:b w:val="false"/>
      <w:sz w:val="20"/>
    </w:rPr>
  </w:style>
  <w:style w:type="character" w:styleId="ListLabel70">
    <w:name w:val="ListLabel 70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/>
      <w:vertAlign w:val="baseline"/>
    </w:rPr>
  </w:style>
  <w:style w:type="character" w:styleId="ListLabel71">
    <w:name w:val="ListLabel 71"/>
    <w:qFormat/>
    <w:rPr>
      <w:rFonts w:ascii="Times New Roman" w:hAnsi="Times New Roman" w:cs="Symbol"/>
      <w:sz w:val="20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ascii="Times New Roman" w:hAnsi="Times New Roman" w:cs="Symbol"/>
      <w:sz w:val="20"/>
    </w:rPr>
  </w:style>
  <w:style w:type="character" w:styleId="ListLabel81">
    <w:name w:val="ListLabel 81"/>
    <w:qFormat/>
    <w:rPr>
      <w:rFonts w:ascii="Times New Roman" w:hAnsi="Times New Roman" w:cs="Courier New"/>
      <w:sz w:val="20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ascii="Times New Roman" w:hAnsi="Times New Roman" w:cs="Symbol"/>
      <w:sz w:val="20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ascii="Times New Roman" w:hAnsi="Times New Roman" w:cs="Symbol"/>
      <w:sz w:val="20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ascii="Times New Roman" w:hAnsi="Times New Roman" w:cs="Symbol"/>
      <w:sz w:val="20"/>
    </w:rPr>
  </w:style>
  <w:style w:type="character" w:styleId="ListLabel111">
    <w:name w:val="ListLabel 111"/>
    <w:qFormat/>
    <w:rPr>
      <w:rFonts w:ascii="Times New Roman" w:hAnsi="Times New Roman" w:cs="Courier New"/>
      <w:sz w:val="20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ascii="Times New Roman" w:hAnsi="Times New Roman" w:cs="Symbol"/>
      <w:sz w:val="20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ascii="Times New Roman" w:hAnsi="Times New Roman" w:cs="Symbol"/>
      <w:sz w:val="20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ascii="Times New Roman" w:hAnsi="Times New Roman"/>
      <w:b w:val="false"/>
      <w:bCs w:val="false"/>
      <w:i w:val="false"/>
      <w:color w:val="000000"/>
      <w:sz w:val="20"/>
    </w:rPr>
  </w:style>
  <w:style w:type="character" w:styleId="ListLabel135">
    <w:name w:val="ListLabel 135"/>
    <w:qFormat/>
    <w:rPr>
      <w:rFonts w:ascii="Times New Roman" w:hAnsi="Times New Roman"/>
      <w:b w:val="false"/>
      <w:sz w:val="20"/>
    </w:rPr>
  </w:style>
  <w:style w:type="character" w:styleId="ListLabel136">
    <w:name w:val="ListLabel 13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/>
      <w:vertAlign w:val="baseline"/>
    </w:rPr>
  </w:style>
  <w:style w:type="character" w:styleId="ListLabel137">
    <w:name w:val="ListLabel 137"/>
    <w:qFormat/>
    <w:rPr>
      <w:rFonts w:ascii="Times New Roman" w:hAnsi="Times New Roman" w:cs="Symbol"/>
      <w:sz w:val="20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ascii="Times New Roman" w:hAnsi="Times New Roman" w:cs="Symbol"/>
      <w:sz w:val="20"/>
    </w:rPr>
  </w:style>
  <w:style w:type="character" w:styleId="ListLabel147">
    <w:name w:val="ListLabel 147"/>
    <w:qFormat/>
    <w:rPr>
      <w:rFonts w:ascii="Times New Roman" w:hAnsi="Times New Roman" w:cs="Courier New"/>
      <w:sz w:val="20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ascii="Times New Roman" w:hAnsi="Times New Roman" w:cs="Symbol"/>
      <w:sz w:val="20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ascii="Times New Roman" w:hAnsi="Times New Roman" w:cs="Symbol"/>
      <w:sz w:val="20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ascii="Times New Roman" w:hAnsi="Times New Roman" w:cs="Symbol"/>
      <w:sz w:val="20"/>
    </w:rPr>
  </w:style>
  <w:style w:type="character" w:styleId="ListLabel177">
    <w:name w:val="ListLabel 177"/>
    <w:qFormat/>
    <w:rPr>
      <w:rFonts w:ascii="Times New Roman" w:hAnsi="Times New Roman" w:cs="Courier New"/>
      <w:sz w:val="20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Symbol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ascii="Times New Roman" w:hAnsi="Times New Roman" w:cs="Symbol"/>
      <w:sz w:val="20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cs="Symbol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ascii="Times New Roman" w:hAnsi="Times New Roman" w:cs="Symbol"/>
      <w:sz w:val="20"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cs="Symbol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Courier New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ascii="Times New Roman" w:hAnsi="Times New Roman"/>
      <w:b w:val="false"/>
      <w:bCs w:val="false"/>
      <w:i w:val="false"/>
      <w:color w:val="000000"/>
      <w:sz w:val="20"/>
    </w:rPr>
  </w:style>
  <w:style w:type="character" w:styleId="ListLabel201">
    <w:name w:val="ListLabel 201"/>
    <w:qFormat/>
    <w:rPr>
      <w:rFonts w:ascii="Times New Roman" w:hAnsi="Times New Roman"/>
      <w:b w:val="false"/>
      <w:sz w:val="20"/>
    </w:rPr>
  </w:style>
  <w:style w:type="character" w:styleId="ListLabel202">
    <w:name w:val="ListLabel 20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/>
      <w:vertAlign w:val="baseline"/>
    </w:rPr>
  </w:style>
  <w:style w:type="character" w:styleId="ListLabel203">
    <w:name w:val="ListLabel 203"/>
    <w:qFormat/>
    <w:rPr>
      <w:rFonts w:ascii="Times New Roman" w:hAnsi="Times New Roman" w:cs="Symbol"/>
      <w:sz w:val="20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ascii="Times New Roman" w:hAnsi="Times New Roman" w:cs="Symbol"/>
      <w:sz w:val="20"/>
    </w:rPr>
  </w:style>
  <w:style w:type="character" w:styleId="ListLabel213">
    <w:name w:val="ListLabel 213"/>
    <w:qFormat/>
    <w:rPr>
      <w:rFonts w:ascii="Times New Roman" w:hAnsi="Times New Roman" w:cs="Courier New"/>
      <w:sz w:val="20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Courier New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ascii="Times New Roman" w:hAnsi="Times New Roman" w:cs="Symbol"/>
      <w:sz w:val="20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cs="Courier New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ascii="Times New Roman" w:hAnsi="Times New Roman" w:cs="Symbol"/>
      <w:sz w:val="20"/>
    </w:rPr>
  </w:style>
  <w:style w:type="character" w:styleId="ListLabel231">
    <w:name w:val="ListLabel 231"/>
    <w:qFormat/>
    <w:rPr>
      <w:rFonts w:cs="Courier New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Courier New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Courier New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cs="Symbol"/>
    </w:rPr>
  </w:style>
  <w:style w:type="character" w:styleId="ListLabel240">
    <w:name w:val="ListLabel 240"/>
    <w:qFormat/>
    <w:rPr>
      <w:rFonts w:cs="Courier New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ascii="Times New Roman" w:hAnsi="Times New Roman" w:cs="Symbol"/>
      <w:sz w:val="20"/>
    </w:rPr>
  </w:style>
  <w:style w:type="character" w:styleId="ListLabel243">
    <w:name w:val="ListLabel 243"/>
    <w:qFormat/>
    <w:rPr>
      <w:rFonts w:ascii="Times New Roman" w:hAnsi="Times New Roman" w:cs="Courier New"/>
      <w:sz w:val="20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cs="Courier New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ascii="Times New Roman" w:hAnsi="Times New Roman" w:cs="Symbol"/>
      <w:sz w:val="20"/>
    </w:rPr>
  </w:style>
  <w:style w:type="character" w:styleId="ListLabel249">
    <w:name w:val="ListLabel 249"/>
    <w:qFormat/>
    <w:rPr>
      <w:rFonts w:cs="Courier New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cs="Symbol"/>
    </w:rPr>
  </w:style>
  <w:style w:type="character" w:styleId="ListLabel252">
    <w:name w:val="ListLabel 252"/>
    <w:qFormat/>
    <w:rPr>
      <w:rFonts w:cs="Courier New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cs="Symbol"/>
    </w:rPr>
  </w:style>
  <w:style w:type="character" w:styleId="ListLabel255">
    <w:name w:val="ListLabel 255"/>
    <w:qFormat/>
    <w:rPr>
      <w:rFonts w:cs="Courier New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ascii="Times New Roman" w:hAnsi="Times New Roman" w:cs="Symbol"/>
      <w:sz w:val="20"/>
    </w:rPr>
  </w:style>
  <w:style w:type="character" w:styleId="ListLabel258">
    <w:name w:val="ListLabel 258"/>
    <w:qFormat/>
    <w:rPr>
      <w:rFonts w:cs="Courier New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Symbol"/>
    </w:rPr>
  </w:style>
  <w:style w:type="character" w:styleId="ListLabel261">
    <w:name w:val="ListLabel 261"/>
    <w:qFormat/>
    <w:rPr>
      <w:rFonts w:cs="Courier New"/>
    </w:rPr>
  </w:style>
  <w:style w:type="character" w:styleId="ListLabel262">
    <w:name w:val="ListLabel 262"/>
    <w:qFormat/>
    <w:rPr>
      <w:rFonts w:cs="Wingdings"/>
    </w:rPr>
  </w:style>
  <w:style w:type="character" w:styleId="ListLabel263">
    <w:name w:val="ListLabel 263"/>
    <w:qFormat/>
    <w:rPr>
      <w:rFonts w:cs="Symbol"/>
    </w:rPr>
  </w:style>
  <w:style w:type="character" w:styleId="ListLabel264">
    <w:name w:val="ListLabel 264"/>
    <w:qFormat/>
    <w:rPr>
      <w:rFonts w:cs="Courier New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ascii="Times New Roman" w:hAnsi="Times New Roman"/>
      <w:b w:val="false"/>
      <w:bCs w:val="false"/>
      <w:i w:val="false"/>
      <w:color w:val="000000"/>
      <w:sz w:val="20"/>
    </w:rPr>
  </w:style>
  <w:style w:type="character" w:styleId="ListLabel267">
    <w:name w:val="ListLabel 267"/>
    <w:qFormat/>
    <w:rPr>
      <w:rFonts w:ascii="Times New Roman" w:hAnsi="Times New Roman"/>
      <w:b w:val="false"/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ithub.com/mustafaascha" TargetMode="External"/><Relationship Id="rId3" Type="http://schemas.openxmlformats.org/officeDocument/2006/relationships/hyperlink" Target="http://mustafa.fyi/" TargetMode="External"/><Relationship Id="rId4" Type="http://schemas.openxmlformats.org/officeDocument/2006/relationships/hyperlink" Target="mailto:mustafa.ascha@gmail.com" TargetMode="External"/><Relationship Id="rId5" Type="http://schemas.openxmlformats.org/officeDocument/2006/relationships/hyperlink" Target="https://clinicaltrials.gov/ct2/show/study/NCT02798783" TargetMode="External"/><Relationship Id="rId6" Type="http://schemas.openxmlformats.org/officeDocument/2006/relationships/hyperlink" Target="http://dx.doi.org/10.1016/S0016-5085(09)63676-3" TargetMode="External"/><Relationship Id="rId7" Type="http://schemas.openxmlformats.org/officeDocument/2006/relationships/hyperlink" Target="http://www.sciencedirect.com/science/article/pii/S0016508509636763" TargetMode="Externa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LibreOffice/5.1.6.2$Linux_X86_64 LibreOffice_project/10m0$Build-2</Application>
  <Pages>4</Pages>
  <Words>1167</Words>
  <Characters>7195</Characters>
  <CharactersWithSpaces>8248</CharactersWithSpaces>
  <Paragraphs>111</Paragraphs>
  <Company>Case SOM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2016-09-09T14:37:00Z</dcterms:created>
  <dc:creator>ums1</dc:creator>
  <dc:description/>
  <dc:language>en-US</dc:language>
  <cp:lastModifiedBy/>
  <dcterms:modified xsi:type="dcterms:W3CDTF">2017-03-27T00:01:42Z</dcterms:modified>
  <cp:revision>18</cp:revision>
  <dc:subject/>
  <dc:title>Microsoft Word - ResumeExample1.doc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Case SOM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