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Mustafa Steven Ascha </w:t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</w:rPr>
          <w:t>mustafa.fyi</w:t>
        </w:r>
      </w:hyperlink>
      <w:r>
        <w:rPr>
          <w:rStyle w:val="InternetLink"/>
          <w:b/>
        </w:rPr>
        <w:t xml:space="preserve"> – </w:t>
      </w:r>
      <w:hyperlink r:id="rId3">
        <w:r>
          <w:rPr>
            <w:rStyle w:val="InternetLink"/>
            <w:b/>
          </w:rPr>
          <w:t>github.com/mustafaascha</w:t>
        </w:r>
      </w:hyperlink>
      <w:r>
        <w:rPr>
          <w:rStyle w:val="InternetLink"/>
          <w:b/>
        </w:rPr>
        <w:t xml:space="preserve"> - </w:t>
      </w:r>
      <w:hyperlink r:id="rId4">
        <w:r>
          <w:rPr>
            <w:rStyle w:val="InternetLink"/>
            <w:rFonts w:cs="Arial"/>
            <w:b/>
            <w:highlight w:val="white"/>
          </w:rPr>
          <w:t>mustafa.ascha@gmail.com</w:t>
        </w:r>
      </w:hyperlink>
      <w:r>
        <w:rPr>
          <w:rFonts w:cs="Arial"/>
          <w:b/>
          <w:color w:val="777777"/>
          <w:shd w:fill="FFFFFF" w:val="clear"/>
        </w:rPr>
        <w:t xml:space="preserve"> </w:t>
      </w:r>
      <w:r>
        <w:rPr>
          <w:b/>
        </w:rPr>
        <w:t>- 440-724-8448</w:t>
      </w:r>
    </w:p>
    <w:p>
      <w:pPr>
        <w:pStyle w:val="Normal"/>
        <w:pBdr>
          <w:bottom w:val="single" w:sz="12" w:space="1" w:color="00000A"/>
        </w:pBdr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A"/>
        </w:pBdr>
        <w:rPr>
          <w:b/>
          <w:b/>
        </w:rPr>
      </w:pPr>
      <w:bookmarkStart w:id="0" w:name="_GoBack"/>
      <w:bookmarkEnd w:id="0"/>
      <w:r>
        <w:rPr>
          <w:b/>
        </w:rPr>
        <w:t>EDUCATION</w:t>
      </w:r>
    </w:p>
    <w:p>
      <w:pPr>
        <w:pStyle w:val="Normal"/>
        <w:rPr/>
      </w:pPr>
      <w:r>
        <w:rPr/>
        <w:t xml:space="preserve">Case Western Reserve University – B.A. </w:t>
      </w:r>
      <w:r>
        <w:rPr>
          <w:b/>
        </w:rPr>
        <w:t>Economics</w:t>
      </w:r>
      <w:r>
        <w:rPr/>
        <w:t>, Minor Philosophy – June 2011</w:t>
        <w:br/>
        <w:t xml:space="preserve">Case Western Reserve University – M.S. </w:t>
      </w:r>
      <w:r>
        <w:rPr>
          <w:b/>
        </w:rPr>
        <w:t>Medical Physiology</w:t>
      </w:r>
      <w:r>
        <w:rPr/>
        <w:t xml:space="preserve"> – June 2016</w:t>
        <w:br/>
        <w:t xml:space="preserve">Case Western Reserve University – Ph.D. </w:t>
      </w:r>
      <w:r>
        <w:rPr>
          <w:b/>
        </w:rPr>
        <w:t>Clinical and Translational Science</w:t>
      </w:r>
      <w:r>
        <w:rPr/>
        <w:t xml:space="preserve"> – May 2019</w:t>
      </w:r>
    </w:p>
    <w:p>
      <w:pPr>
        <w:pStyle w:val="Normal"/>
        <w:pBdr>
          <w:bottom w:val="single" w:sz="12" w:space="1" w:color="00000A"/>
        </w:pBdr>
        <w:rPr/>
      </w:pPr>
      <w:r>
        <w:rPr>
          <w:b/>
        </w:rPr>
        <w:t>SKILLSET</w:t>
      </w:r>
    </w:p>
    <w:p>
      <w:pPr>
        <w:pStyle w:val="Normal"/>
        <w:jc w:val="both"/>
        <w:rPr/>
      </w:pPr>
      <w:r>
        <w:rPr/>
        <w:t>R - Python - BASH – SQL – git – tidyverse – SLURM HPC - experiment design - clinical research consulting</w:t>
      </w:r>
    </w:p>
    <w:p>
      <w:pPr>
        <w:pStyle w:val="Normal"/>
        <w:pBdr>
          <w:bottom w:val="single" w:sz="12" w:space="1" w:color="00000A"/>
        </w:pBdr>
        <w:jc w:val="both"/>
        <w:rPr>
          <w:b/>
          <w:b/>
        </w:rPr>
      </w:pPr>
      <w:r>
        <w:rPr>
          <w:b/>
        </w:rPr>
        <w:t xml:space="preserve">WORK </w:t>
      </w:r>
    </w:p>
    <w:p>
      <w:pPr>
        <w:pStyle w:val="Normal"/>
        <w:rPr>
          <w:rFonts w:ascii="Calibri" w:hAnsi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Biomedical and Patient-Centric Data ETL Specialist: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March 2018 – present</w:t>
        <w:br/>
        <w:t>Cleveland Institute for Computational Biology</w:t>
        <w:br/>
        <w:t xml:space="preserve">Case Western Reserve University School of Medicine, Cleveland, OH. Supervisor: Mark Beno, MSM </w:t>
      </w:r>
    </w:p>
    <w:p>
      <w:pPr>
        <w:pStyle w:val="Normal"/>
        <w:rPr/>
      </w:pPr>
      <w:r>
        <w:rPr>
          <w:b/>
        </w:rPr>
        <w:t>Clinical Research Specialist</w:t>
      </w:r>
      <w:r>
        <w:rPr/>
        <w:t>, March 2016 – present</w:t>
        <w:br/>
        <w:t>University Hospitals Cleveland Medical Center</w:t>
        <w:br/>
        <w:t>Department of Otolaryngology and Head &amp; Neck Surgery. Supervisor: Todd D Otteson, MD MPH</w:t>
        <w:br/>
        <w:t xml:space="preserve">    - Obtained institutional and federal approval for an Enlarged Vestibular Aqueduct (EVA) patient registry (see: </w:t>
      </w:r>
      <w:hyperlink r:id="rId5">
        <w:r>
          <w:rPr>
            <w:rStyle w:val="InternetLink"/>
          </w:rPr>
          <w:t>rainbow.org/EVAResearch</w:t>
        </w:r>
      </w:hyperlink>
      <w:r>
        <w:rPr/>
        <w:t xml:space="preserve"> or </w:t>
      </w:r>
      <w:hyperlink r:id="rId6">
        <w:r>
          <w:rPr>
            <w:rStyle w:val="InternetLink"/>
          </w:rPr>
          <w:t>clinicaltrials.gov/ct2/show/study/NCT02798783</w:t>
        </w:r>
      </w:hyperlink>
      <w:r>
        <w:rPr/>
        <w:t xml:space="preserve">) </w:t>
      </w:r>
    </w:p>
    <w:p>
      <w:pPr>
        <w:pStyle w:val="Normal"/>
        <w:rPr/>
      </w:pPr>
      <w:r>
        <w:rPr>
          <w:b w:val="false"/>
          <w:bCs w:val="false"/>
        </w:rPr>
        <w:t xml:space="preserve">Teaching Assistant, </w:t>
      </w:r>
      <w:r>
        <w:rPr>
          <w:b/>
          <w:bCs/>
        </w:rPr>
        <w:t>Statistical Methods I and Statistical Methods II</w:t>
      </w:r>
      <w:r>
        <w:rPr>
          <w:b w:val="false"/>
          <w:bCs w:val="false"/>
        </w:rPr>
        <w:t xml:space="preserve">, Fall 2016 and Spring 2017 </w:t>
        <w:br/>
        <w:t>Department of Epidemiology and Biostatistics, CWRU, Instructor: Thomas E Love, PhD</w:t>
      </w:r>
    </w:p>
    <w:p>
      <w:pPr>
        <w:pStyle w:val="Normal"/>
        <w:pBdr>
          <w:bottom w:val="single" w:sz="12" w:space="1" w:color="00000A"/>
        </w:pBdr>
        <w:rPr>
          <w:b/>
          <w:b/>
        </w:rPr>
      </w:pPr>
      <w:r>
        <w:rPr>
          <w:b/>
        </w:rPr>
        <w:t xml:space="preserve">RESEARCH </w:t>
      </w:r>
    </w:p>
    <w:p>
      <w:pPr>
        <w:pStyle w:val="Normal"/>
        <w:rPr/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  <w:t>Ascha, MS, Manzoor, N., Gupta, A., Semaan, M., Megerian, C. and Otteson, T.D., 2017. Vestibular aqueduct midpoint width and hearing loss in patients with an enlarged vestibular aqueduct. </w:t>
      </w:r>
      <w:r>
        <w:rPr>
          <w:rFonts w:cs="Arial" w:ascii="Arial" w:hAnsi="Arial"/>
          <w:i/>
          <w:iCs/>
          <w:color w:val="222222"/>
          <w:sz w:val="20"/>
          <w:szCs w:val="20"/>
          <w:shd w:fill="FFFFFF" w:val="clear"/>
        </w:rPr>
        <w:t>JAMA Otolaryngology–Head &amp; Neck Surgery</w:t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, </w:t>
      </w:r>
      <w:r>
        <w:rPr>
          <w:rFonts w:cs="Arial" w:ascii="Arial" w:hAnsi="Arial"/>
          <w:i/>
          <w:iCs/>
          <w:color w:val="222222"/>
          <w:sz w:val="20"/>
          <w:szCs w:val="20"/>
          <w:shd w:fill="FFFFFF" w:val="clear"/>
        </w:rPr>
        <w:t>143</w:t>
      </w:r>
      <w:r>
        <w:rPr>
          <w:rFonts w:cs="Arial" w:ascii="Arial" w:hAnsi="Arial"/>
          <w:color w:val="222222"/>
          <w:sz w:val="20"/>
          <w:szCs w:val="20"/>
          <w:shd w:fill="FFFFFF" w:val="clear"/>
        </w:rPr>
        <w:t>(6), pp.601-608.</w:t>
      </w:r>
    </w:p>
    <w:p>
      <w:pPr>
        <w:pStyle w:val="Normal"/>
        <w:rPr/>
      </w:pPr>
      <w:r>
        <w:rPr/>
        <w:t>- Hearing loss progression is difficult to predict in patients with EVA because EVA is rare and fluctuates enough that advanced modeling approaches are required to achieve statistical significance</w:t>
        <w:br/>
        <w:t xml:space="preserve">- I </w:t>
      </w:r>
      <w:r>
        <w:rPr>
          <w:b/>
        </w:rPr>
        <w:t>designed this study</w:t>
      </w:r>
      <w:r>
        <w:rPr/>
        <w:t xml:space="preserve"> and collected an average of 5 hearing tests for 53 patients and </w:t>
      </w:r>
      <w:r>
        <w:rPr>
          <w:b/>
        </w:rPr>
        <w:t>used mixed-effects models to identify relationships between inner ear anatomy and hearing loss</w:t>
      </w:r>
      <w:r>
        <w:rPr/>
        <w:t>.</w:t>
      </w:r>
    </w:p>
    <w:p>
      <w:pPr>
        <w:pStyle w:val="Normal"/>
        <w:rPr/>
      </w:pPr>
      <w:r>
        <w:rPr>
          <w:rFonts w:cs="Arial" w:ascii="Arial" w:hAnsi="Arial"/>
          <w:color w:val="222222"/>
          <w:sz w:val="20"/>
          <w:szCs w:val="20"/>
          <w:shd w:fill="FFFFFF" w:val="clear"/>
        </w:rPr>
        <w:t>Ascha MS, Ostrom QT, Wright J, Kumthekar P, Bordeaux JS, Sloan AE, Schumacher FS, Kruchko C, Barnholtz-Sloan JS. Lifetime Occurrence of Brain Metastases Arising from Lung, Breast, and Skin Cancers in the Elderly: A SEER-Medicare Study. Cancer Epidemiol Biomarkers Prev May 1 2019 (28) (5) 917-925; DOI: 10.1158/1055-9965.EPI-18-1116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- I </w:t>
      </w:r>
      <w:r>
        <w:rPr>
          <w:b/>
          <w:bCs/>
        </w:rPr>
        <w:t xml:space="preserve">designed this study </w:t>
      </w:r>
      <w:r>
        <w:rPr>
          <w:b w:val="false"/>
          <w:bCs w:val="false"/>
        </w:rPr>
        <w:t xml:space="preserve">and </w:t>
      </w:r>
      <w:r>
        <w:rPr>
          <w:b/>
        </w:rPr>
        <w:t>processed about 100GB of Medicare insurance claims records</w:t>
      </w:r>
      <w:r>
        <w:rPr/>
        <w:t xml:space="preserve"> to identify patients with a diagnosis of brain metastases, and evaluated that identification procedure with respect to a more limited cancer registry gold-standard data element.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a5d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0492b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779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fyi" TargetMode="External"/><Relationship Id="rId3" Type="http://schemas.openxmlformats.org/officeDocument/2006/relationships/hyperlink" Target="http://github.com/mustafaascha" TargetMode="External"/><Relationship Id="rId4" Type="http://schemas.openxmlformats.org/officeDocument/2006/relationships/hyperlink" Target="mailto:mustafa.ascha@gmail.com" TargetMode="External"/><Relationship Id="rId5" Type="http://schemas.openxmlformats.org/officeDocument/2006/relationships/hyperlink" Target="file:///\\usershare\Users$\maschax1\rainbow.org\EVAResearch" TargetMode="External"/><Relationship Id="rId6" Type="http://schemas.openxmlformats.org/officeDocument/2006/relationships/hyperlink" Target="https://clinicaltrials.gov/ct2/show/study/NCT02798783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LibreOffice/5.1.6.2$Linux_X86_64 LibreOffice_project/10m0$Build-2</Application>
  <Pages>1</Pages>
  <Words>337</Words>
  <Characters>2114</Characters>
  <CharactersWithSpaces>2458</CharactersWithSpaces>
  <Paragraphs>15</Paragraphs>
  <Company>UHHS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2018-03-13T16:49:00Z</dcterms:created>
  <dc:creator>Ascha, Mustafa (maschax1)</dc:creator>
  <dc:description/>
  <dc:language>en-US</dc:language>
  <cp:lastModifiedBy/>
  <cp:lastPrinted>2017-02-03T16:43:00Z</cp:lastPrinted>
  <dcterms:modified xsi:type="dcterms:W3CDTF">2019-05-06T09:53:08Z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UHHS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