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spacing w:before="0" w:after="200" w:line="276"/>
        <w:ind w:right="0" w:left="0" w:firstLine="0"/>
        <w:jc w:val="center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36"/>
          <w:shd w:fill="auto" w:val="clear"/>
        </w:rPr>
        <w:t xml:space="preserve">MUSTAFA BASAR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mustafa.r.basar@gmail.com | +90 552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565 38 88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| Istanbul, TR | linkedin.com/in/mustafa-basar7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PROFESSIONAL SUMMARY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AI Solutions Engineer focused on agentic orchestration and governance. Builds state-aware multi-agent systems with LangGraph, integrating HITL controls for auditability and safety, and drives token efficiency through prompt caching and SLM offloading.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EXPERIENCE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AI Solutions Engineer, Turkuvaz Medya Grubu  |  Feb 2023 - Present</w:t>
      </w:r>
    </w:p>
    <w:p>
      <w:pPr>
        <w:numPr>
          <w:ilvl w:val="0"/>
          <w:numId w:val="3"/>
        </w:numPr>
        <w:tabs>
          <w:tab w:val="left" w:pos="360" w:leader="none"/>
        </w:tabs>
        <w:spacing w:before="0" w:after="200" w:line="276"/>
        <w:ind w:right="0" w:left="36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Built an interactive knowledge layer across multiple media brands via a LangGraph-based multi-agent ecosystem.</w:t>
      </w:r>
    </w:p>
    <w:p>
      <w:pPr>
        <w:numPr>
          <w:ilvl w:val="0"/>
          <w:numId w:val="3"/>
        </w:numPr>
        <w:tabs>
          <w:tab w:val="left" w:pos="360" w:leader="none"/>
        </w:tabs>
        <w:spacing w:before="0" w:after="200" w:line="276"/>
        <w:ind w:right="0" w:left="36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Improved cost efficiency using prompt caching and SLM offloading token optimization strategies.</w:t>
      </w:r>
    </w:p>
    <w:p>
      <w:pPr>
        <w:numPr>
          <w:ilvl w:val="0"/>
          <w:numId w:val="3"/>
        </w:numPr>
        <w:tabs>
          <w:tab w:val="left" w:pos="360" w:leader="none"/>
        </w:tabs>
        <w:spacing w:before="0" w:after="200" w:line="276"/>
        <w:ind w:right="0" w:left="36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Delivered production-grade state-machine orchestration for multi-step agent workflows.</w:t>
      </w:r>
    </w:p>
    <w:p>
      <w:pPr>
        <w:numPr>
          <w:ilvl w:val="0"/>
          <w:numId w:val="3"/>
        </w:numPr>
        <w:tabs>
          <w:tab w:val="left" w:pos="360" w:leader="none"/>
        </w:tabs>
        <w:spacing w:before="0" w:after="200" w:line="276"/>
        <w:ind w:right="0" w:left="36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Implemented HITL governance nodes to enforce auditability in autonomous agent workflows.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AI Solutions Engineer, Neural Intelligence Labs  |  Jan 2021 - Feb 2023</w:t>
      </w:r>
    </w:p>
    <w:p>
      <w:pPr>
        <w:numPr>
          <w:ilvl w:val="0"/>
          <w:numId w:val="5"/>
        </w:numPr>
        <w:tabs>
          <w:tab w:val="left" w:pos="360" w:leader="none"/>
        </w:tabs>
        <w:spacing w:before="0" w:after="200" w:line="276"/>
        <w:ind w:right="0" w:left="36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Built retrieval-augmented architectures and semantic indexing for enterprise document intelligence.</w:t>
      </w:r>
    </w:p>
    <w:p>
      <w:pPr>
        <w:numPr>
          <w:ilvl w:val="0"/>
          <w:numId w:val="5"/>
        </w:numPr>
        <w:tabs>
          <w:tab w:val="left" w:pos="360" w:leader="none"/>
        </w:tabs>
        <w:spacing w:before="0" w:after="200" w:line="276"/>
        <w:ind w:right="0" w:left="36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Designed state-aware agent components for complex reasoning and scalable production usage.</w:t>
      </w:r>
    </w:p>
    <w:p>
      <w:pPr>
        <w:numPr>
          <w:ilvl w:val="0"/>
          <w:numId w:val="5"/>
        </w:numPr>
        <w:tabs>
          <w:tab w:val="left" w:pos="360" w:leader="none"/>
        </w:tabs>
        <w:spacing w:before="0" w:after="200" w:line="276"/>
        <w:ind w:right="0" w:left="36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Deployed durable ingestion pipelines with Temporal for consistency across distributed sources.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EDUCATION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Marmara University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—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Information and Records Management (Bilgi ve Belge Yonetimi)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SKILLS</w:t>
      </w:r>
    </w:p>
    <w:p>
      <w:pPr>
        <w:numPr>
          <w:ilvl w:val="0"/>
          <w:numId w:val="7"/>
        </w:numPr>
        <w:tabs>
          <w:tab w:val="left" w:pos="360" w:leader="none"/>
        </w:tabs>
        <w:spacing w:before="0" w:after="200" w:line="276"/>
        <w:ind w:right="0" w:left="36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LangGraph, LangChain, Multi-Agent Systems, HITL Governance, State Machines</w:t>
      </w:r>
    </w:p>
    <w:p>
      <w:pPr>
        <w:numPr>
          <w:ilvl w:val="0"/>
          <w:numId w:val="7"/>
        </w:numPr>
        <w:tabs>
          <w:tab w:val="left" w:pos="360" w:leader="none"/>
        </w:tabs>
        <w:spacing w:before="0" w:after="200" w:line="276"/>
        <w:ind w:right="0" w:left="36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Prompt Caching, Context Optimization, SLM Offloading</w:t>
      </w:r>
    </w:p>
    <w:p>
      <w:pPr>
        <w:numPr>
          <w:ilvl w:val="0"/>
          <w:numId w:val="7"/>
        </w:numPr>
        <w:tabs>
          <w:tab w:val="left" w:pos="360" w:leader="none"/>
        </w:tabs>
        <w:spacing w:before="0" w:after="200" w:line="276"/>
        <w:ind w:right="0" w:left="36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Also used: OpenAI Agents SDK, Vercel AI SDK, Haystack, LiteLLM, Langfuse, OpenTelemetry, Temporal, FastAPI, Next.js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SELECTED PROJECTS</w:t>
      </w:r>
    </w:p>
    <w:p>
      <w:pPr>
        <w:numPr>
          <w:ilvl w:val="0"/>
          <w:numId w:val="9"/>
        </w:numPr>
        <w:tabs>
          <w:tab w:val="left" w:pos="360" w:leader="none"/>
        </w:tabs>
        <w:spacing w:before="0" w:after="200" w:line="276"/>
        <w:ind w:right="0" w:left="36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Human-in-the-Loop (HITL) Control: Safety-focused interruption patterns for agent execution.</w:t>
      </w:r>
    </w:p>
    <w:p>
      <w:pPr>
        <w:numPr>
          <w:ilvl w:val="0"/>
          <w:numId w:val="9"/>
        </w:numPr>
        <w:tabs>
          <w:tab w:val="left" w:pos="360" w:leader="none"/>
        </w:tabs>
        <w:spacing w:before="0" w:after="200" w:line="276"/>
        <w:ind w:right="0" w:left="36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Autonomous Multi-Agent Orchestration: Supervisor-driven task decomposition patterns.</w:t>
      </w:r>
    </w:p>
    <w:p>
      <w:pPr>
        <w:numPr>
          <w:ilvl w:val="0"/>
          <w:numId w:val="9"/>
        </w:numPr>
        <w:tabs>
          <w:tab w:val="left" w:pos="360" w:leader="none"/>
        </w:tabs>
        <w:spacing w:before="0" w:after="200" w:line="276"/>
        <w:ind w:right="0" w:left="36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Context-Aware Dynamic Tool Routing: Real-time routing logic based on state and user intent.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Portfolio: </w:t>
      </w:r>
      <w:hyperlink xmlns:r="http://schemas.openxmlformats.org/officeDocument/2006/relationships" r:id="docRId0">
        <w:r>
          <w:rPr>
            <w:rFonts w:ascii="Calibri" w:hAnsi="Calibri" w:cs="Calibri" w:eastAsia="Calibri"/>
            <w:color w:val="0000FF"/>
            <w:spacing w:val="0"/>
            <w:position w:val="0"/>
            <w:sz w:val="22"/>
            <w:u w:val="single"/>
            <w:shd w:fill="auto" w:val="clear"/>
          </w:rPr>
          <w:t xml:space="preserve">github.com/mustafabasar7/Portfolio</w:t>
        </w:r>
      </w:hyperlink>
    </w:p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</w:lvl>
  </w:abstractNum>
  <w:abstractNum w:abstractNumId="6">
    <w:lvl w:ilvl="0">
      <w:start w:val="1"/>
      <w:numFmt w:val="bullet"/>
      <w:lvlText w:val="•"/>
    </w:lvl>
  </w:abstractNum>
  <w:abstractNum w:abstractNumId="12">
    <w:lvl w:ilvl="0">
      <w:start w:val="1"/>
      <w:numFmt w:val="bullet"/>
      <w:lvlText w:val="•"/>
    </w:lvl>
  </w:abstractNum>
  <w:abstractNum w:abstractNumId="18">
    <w:lvl w:ilvl="0">
      <w:start w:val="1"/>
      <w:numFmt w:val="bullet"/>
      <w:lvlText w:val="•"/>
    </w:lvl>
  </w:abstractNum>
  <w:num w:numId="3">
    <w:abstractNumId w:val="18"/>
  </w:num>
  <w:num w:numId="5">
    <w:abstractNumId w:val="12"/>
  </w:num>
  <w:num w:numId="7">
    <w:abstractNumId w:val="6"/>
  </w:num>
  <w:num w:numId="9">
    <w:abstractNumId w:val="0"/>
  </w:num>
</w:numbering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Mode="External" Target="https://github.com/mustafabasar7/Portfolio" Id="docRId0" Type="http://schemas.openxmlformats.org/officeDocument/2006/relationships/hyperlink" /><Relationship Target="numbering.xml" Id="docRId1" Type="http://schemas.openxmlformats.org/officeDocument/2006/relationships/numbering" /><Relationship Target="styles.xml" Id="docRId2" Type="http://schemas.openxmlformats.org/officeDocument/2006/relationships/styles" /></Relationships>
</file>