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b/>
          <w:bCs/>
          <w:sz w:val="28"/>
          <w:szCs w:val="28"/>
        </w:rPr>
        <w:t xml:space="preserve">SELÇUK ÜNİVERSİTESİ</w:t>
      </w:r>
    </w:p>
    <w:p>
      <w:pPr>
        <w:spacing w:after="1400"/>
        <w:jc w:val="center"/>
      </w:pPr>
      <w:r>
        <w:rPr>
          <w:sz w:val="24"/>
          <w:szCs w:val="24"/>
        </w:rPr>
        <w:t xml:space="preserve">Mühendislik Fakültesi</w:t>
      </w:r>
    </w:p>
    <w:p>
      <w:pPr>
        <w:spacing w:after="200"/>
        <w:jc w:val="center"/>
      </w:pPr>
      <w:r>
        <w:rPr>
          <w:b/>
          <w:bCs/>
          <w:sz w:val="34"/>
          <w:szCs w:val="34"/>
        </w:rPr>
        <w:t xml:space="preserve">Türkçe Afet Tweet Sınıflandırması için QLoRA Tabanlı İnce Ayar:</w:t>
      </w:r>
    </w:p>
    <w:p>
      <w:pPr>
        <w:spacing w:after="1200"/>
        <w:jc w:val="center"/>
      </w:pPr>
      <w:r>
        <w:rPr>
          <w:b/>
          <w:bCs/>
          <w:sz w:val="28"/>
          <w:szCs w:val="28"/>
        </w:rPr>
        <w:t xml:space="preserve">Küçük Dil Modelleri Üzerinde Karşılaştırmalı Bir Benchmark Çalışması</w:t>
      </w:r>
    </w:p>
    <w:p>
      <w:pPr>
        <w:spacing w:after="800"/>
        <w:jc w:val="center"/>
      </w:pPr>
      <w:r>
        <w:rPr>
          <w:b/>
          <w:bCs/>
          <w:sz w:val="24"/>
          <w:szCs w:val="24"/>
        </w:rPr>
        <w:t xml:space="preserve">BÜYÜK DİL MODELLERİ (BDM) — Dönem Projesi Final Raporu</w:t>
      </w:r>
    </w:p>
    <w:p>
      <w:pPr>
        <w:spacing w:after="100"/>
        <w:jc w:val="center"/>
      </w:pPr>
      <w:r>
        <w:rPr>
          <w:b/>
          <w:bCs/>
          <w:sz w:val="24"/>
          <w:szCs w:val="24"/>
        </w:rPr>
        <w:t xml:space="preserve">Hazırlayan: Mustafa Kırpık</w:t>
      </w:r>
    </w:p>
    <w:p>
      <w:pPr>
        <w:spacing w:after="80"/>
        <w:jc w:val="center"/>
      </w:pPr>
      <w:r>
        <w:rPr>
          <w:sz w:val="22"/>
          <w:szCs w:val="22"/>
        </w:rPr>
        <w:t xml:space="preserve">Koordinasyon: Saliha Göçergi (LoRA çalışması)</w:t>
      </w:r>
    </w:p>
    <w:p>
      <w:pPr>
        <w:jc w:val="center"/>
      </w:pPr>
      <w:r>
        <w:rPr>
          <w:sz w:val="22"/>
          <w:szCs w:val="22"/>
        </w:rPr>
        <w:t xml:space="preserve">Mayıs 2026</w:t>
      </w:r>
    </w:p>
    <w:p>
      <w:pPr>
        <w:pageBreakBefore/>
      </w:pPr>
    </w:p>
    <w:p>
      <w:pPr>
        <w:pStyle w:val="Heading1"/>
        <w:spacing w:after="200" w:before="360"/>
      </w:pPr>
      <w:r>
        <w:t xml:space="preserve">Özet</w:t>
      </w:r>
    </w:p>
    <w:p>
      <w:pPr>
        <w:spacing w:after="120" w:line="360"/>
        <w:jc w:val="both"/>
      </w:pPr>
      <w:r>
        <w:t xml:space="preserve">Bu çalışma, 2023 Kahramanmaraş depremleri sırasında paylaşılan Türkçe tweet'lerin beş operasyonel sınıfa (yardım talebi, kayıp bildirimi, altyapı hasarı, bağış/koordinasyon, diğer/ilgisiz) otomatik olarak ayrılması problemini ele almaktadır. Çalışmada 793 adet elle etiketlenmiş gerçek tweet'ten oluşan bir veri seti kullanılmış; sınırlı donanımda çalışabilen üç Küçük Dil Modeli (SmolLM2-360M, TinyLlama-1.1B, Qwen2.5-1.5B) QLoRA (4-bit NormalFloat) yöntemiyle ince ayarlanmıştır. Sonuçlar, zero-shot temel çizginin görevde tamamen başarısız olduğunu (Macro-F1 0.094), QLoRA ince ayarının ise performansı çarpıcı biçimde artırdığını göstermektedir (en yüksek Macro-F1 0.914, Qwen2.5). Modeller arasında belirgin bir ölçek etkisi gözlenmiş, ancak ~1 milyar parametre civarında getirinin azaldığı saptanmıştır. QLoRA'nın tepe GPU bellek kullanımı 1.81–5.07 GB aralığında kalmıştır. Çalışma, Saliha Göçergi'nin LoRA çalışmasıyla koordineli yürütülmüş olup, LoRA–QLoRA karşılaştırması da kapsama dahildir.</w:t>
      </w:r>
    </w:p>
    <w:p>
      <w:pPr>
        <w:spacing w:after="120" w:line="360"/>
        <w:jc w:val="both"/>
      </w:pPr>
      <w:r>
        <w:rPr>
          <w:b w:val="false"/>
          <w:bCs w:val="false"/>
        </w:rPr>
        <w:t xml:space="preserve">Anahtar Kelimeler: QLoRA, Türkçe NLP, afet bilişimi, küçük dil modelleri, parametre verimli ince ayar.</w:t>
      </w:r>
    </w:p>
    <w:p>
      <w:pPr>
        <w:pageBreakBefore/>
      </w:pPr>
    </w:p>
    <w:p>
      <w:pPr>
        <w:pStyle w:val="Heading1"/>
        <w:spacing w:after="200" w:before="360"/>
      </w:pPr>
      <w:r>
        <w:t xml:space="preserve">1. Giriş ve Problem Tanımı</w:t>
      </w:r>
    </w:p>
    <w:p>
      <w:pPr>
        <w:spacing w:after="120" w:line="360"/>
        <w:jc w:val="both"/>
      </w:pPr>
      <w:r>
        <w:t xml:space="preserve">Afet yönetiminde bilgi akışının hızı ve doğruluğu hayati önem taşır. 2023 Kahramanmaraş depremleri sırasında Twitter (X) platformu, etkilenen bireylerin acil yardım taleplerini ilettiği, kayıp bildirimlerinin yapıldığı ve lojistik koordinasyonun sağlandığı kritik bir kanal hâline gelmiştir. Paylaşılan verinin muazzam hacmi, bu bilgilerin manuel analiz edilmesini imkânsız kılar; otomatik sınıflandırma bir karar destek ihtiyacı olarak ortaya çıkar.</w:t>
      </w:r>
    </w:p>
    <w:p>
      <w:pPr>
        <w:spacing w:after="120" w:line="360"/>
        <w:jc w:val="both"/>
      </w:pPr>
      <w:r>
        <w:t xml:space="preserve">Bu projenin amacı, kısıtlı donanım kaynaklarında çalışabilen Küçük Dil Modellerini (SLM) QLoRA ile ince ayarlayarak Türkçe afet tweet'lerini yüksek doğrulukla sınıflandırmaktır. QLoRA; 4-bit NormalFloat kuantizasyonu, çift kuantizasyon ve sayfalı optimizasyon teknikleriyle, düşük maliyetli GPU'larda dahi yüksek performans elde etmeyi hedefler.</w:t>
      </w:r>
    </w:p>
    <w:p>
      <w:pPr>
        <w:pStyle w:val="Heading2"/>
        <w:spacing w:after="160" w:before="240"/>
      </w:pPr>
      <w:r>
        <w:t xml:space="preserve">1.1. Araştırma Soruları</w:t>
      </w:r>
    </w:p>
    <w:p>
      <w:pPr>
        <w:pStyle w:val="ListParagraph"/>
        <w:numPr>
          <w:ilvl w:val="0"/>
          <w:numId w:val="2"/>
        </w:numPr>
        <w:spacing w:after="80"/>
      </w:pPr>
      <w:r>
        <w:t xml:space="preserve">1B–1.5B parametre aralığındaki SLM'ler, QLoRA ile ince ayarlandığında Türkçe afet metinlerinde pratikte yeterli doğruluğa ulaşır mı?</w:t>
      </w:r>
    </w:p>
    <w:p>
      <w:pPr>
        <w:pStyle w:val="ListParagraph"/>
        <w:numPr>
          <w:ilvl w:val="0"/>
          <w:numId w:val="2"/>
        </w:numPr>
        <w:spacing w:after="80"/>
      </w:pPr>
      <w:r>
        <w:t xml:space="preserve">Model boyutu ile sınıflandırma başarısı arasındaki ilişki nedir; ölçek getirisi nerede doygunlaşır?</w:t>
      </w:r>
    </w:p>
    <w:p>
      <w:pPr>
        <w:pStyle w:val="ListParagraph"/>
        <w:numPr>
          <w:ilvl w:val="0"/>
          <w:numId w:val="2"/>
        </w:numPr>
        <w:spacing w:after="80"/>
      </w:pPr>
      <w:r>
        <w:t xml:space="preserve">Aynı ortam ve veriyle LoRA ile QLoRA arasındaki doğruluk–bellek dengesi nasıldır?</w:t>
      </w:r>
    </w:p>
    <w:p>
      <w:pPr>
        <w:pStyle w:val="Heading2"/>
        <w:spacing w:after="160" w:before="240"/>
      </w:pPr>
      <w:r>
        <w:t xml:space="preserve">1.2. Katkılar</w:t>
      </w:r>
    </w:p>
    <w:p>
      <w:pPr>
        <w:pStyle w:val="ListParagraph"/>
        <w:numPr>
          <w:ilvl w:val="0"/>
          <w:numId w:val="2"/>
        </w:numPr>
        <w:spacing w:after="80"/>
      </w:pPr>
      <w:r>
        <w:t xml:space="preserve">793 örneklik, beş sınıfa elle etiketlenmiş Türkçe deprem tweet veri seti.</w:t>
      </w:r>
    </w:p>
    <w:p>
      <w:pPr>
        <w:pStyle w:val="ListParagraph"/>
        <w:numPr>
          <w:ilvl w:val="0"/>
          <w:numId w:val="2"/>
        </w:numPr>
        <w:spacing w:after="80"/>
      </w:pPr>
      <w:r>
        <w:t xml:space="preserve">Üç SLM üzerinde zero-shot ve QLoRA performanslarını içeren karşılaştırmalı benchmark.</w:t>
      </w:r>
    </w:p>
    <w:p>
      <w:pPr>
        <w:pStyle w:val="ListParagraph"/>
        <w:numPr>
          <w:ilvl w:val="0"/>
          <w:numId w:val="2"/>
        </w:numPr>
        <w:spacing w:after="80"/>
      </w:pPr>
      <w:r>
        <w:t xml:space="preserve">Model boyutu–başarı ilişkisine dair ampirik bulgular ve sınıf bazlı hata analizi.</w:t>
      </w:r>
    </w:p>
    <w:p>
      <w:pPr>
        <w:pStyle w:val="ListParagraph"/>
        <w:numPr>
          <w:ilvl w:val="0"/>
          <w:numId w:val="2"/>
        </w:numPr>
        <w:spacing w:after="80"/>
      </w:pPr>
      <w:r>
        <w:t xml:space="preserve">Saliha Göçergi'nin LoRA çalışmasıyla doğrudan LoRA–QLoRA karşılaştırması.</w:t>
      </w:r>
    </w:p>
    <w:p>
      <w:pPr>
        <w:pageBreakBefore/>
      </w:pPr>
    </w:p>
    <w:p>
      <w:pPr>
        <w:pStyle w:val="Heading1"/>
        <w:spacing w:after="200" w:before="360"/>
      </w:pPr>
      <w:r>
        <w:t xml:space="preserve">2. Literatür Özeti</w:t>
      </w:r>
    </w:p>
    <w:p>
      <w:pPr>
        <w:spacing w:after="120" w:line="360"/>
        <w:jc w:val="both"/>
      </w:pPr>
      <w:r>
        <w:t xml:space="preserve">Afet bilişimi (crisis informatics), bilişim teknolojilerinin afet hazırlık, müdahale ve iyileştirme süreçlerine entegrasyonunu inceleyen çok disiplinli bir alandır. Erken çalışmalar anahtar kelime tabanlı filtreleme ve istatistiksel yöntemlere dayanırken, güncel araştırmalar Transformer tabanlı mimarilerin bağlamsal temsil gücünden yararlanır.</w:t>
      </w:r>
    </w:p>
    <w:p>
      <w:pPr>
        <w:pStyle w:val="Heading2"/>
        <w:spacing w:after="160" w:before="240"/>
      </w:pPr>
      <w:r>
        <w:t xml:space="preserve">2.1. Türkiye Odaklı Çalışmalar</w:t>
      </w:r>
    </w:p>
    <w:p>
      <w:pPr>
        <w:spacing w:after="120" w:line="360"/>
        <w:jc w:val="both"/>
      </w:pPr>
      <w:r>
        <w:t xml:space="preserve">Toraman ve arkadaşları (2023) "Tweets Under the Rubble" çalışmasında, Kahramanmaraş depreminin ilk saatlerinde paylaşılan milyonlarca tweet'i analiz ederek yardım çağrılarının tespitine odaklanmış ve BERTurk türü modellerle yüksek başarı elde etmiştir. Bu çalışmalar büyük, görev-özel modellerin gücünü gösterse de, edge cihaz uygulanabilirliği sınırlıdır.</w:t>
      </w:r>
    </w:p>
    <w:p>
      <w:pPr>
        <w:pStyle w:val="Heading2"/>
        <w:spacing w:after="160" w:before="240"/>
      </w:pPr>
      <w:r>
        <w:t xml:space="preserve">2.2. Küçük Dil Modelleri ve PEFT</w:t>
      </w:r>
    </w:p>
    <w:p>
      <w:pPr>
        <w:spacing w:after="120" w:line="360"/>
        <w:jc w:val="both"/>
      </w:pPr>
      <w:r>
        <w:t xml:space="preserve">SmolLM2 (360M), TinyLlama (1.1B) ve Qwen2.5 (1.5B) gibi SLM'ler, düşük VRAM ihtiyacıyla kısıtlı donanımda çalışabilir. Parametre verimli ince ayar (PEFT) yöntemlerinden LoRA, model ağırlıklarını dondurup düşük dereceli iki matrisin çarpımıyla güncelleme yaparak eğitilebilir parametre sayısını %1'in altına indirir. QLoRA ise bunu 4-bit NormalFloat kuantizasyonu, çift kuantizasyon ve sayfalı optimizasyonla birleştirerek VRAM kullanımını dramatik biçimde azaltır.</w:t>
      </w:r>
    </w:p>
    <w:p>
      <w:pPr>
        <w:pageBreakBefore/>
      </w:pPr>
    </w:p>
    <w:p>
      <w:pPr>
        <w:pStyle w:val="Heading1"/>
        <w:spacing w:after="200" w:before="360"/>
      </w:pPr>
      <w:r>
        <w:t xml:space="preserve">3. Veri Seti ve Ön İşleme</w:t>
      </w:r>
    </w:p>
    <w:p>
      <w:pPr>
        <w:pStyle w:val="Heading2"/>
        <w:spacing w:after="160" w:before="240"/>
      </w:pPr>
      <w:r>
        <w:t xml:space="preserve">3.1. Veri Toplama ve Etiketleme</w:t>
      </w:r>
    </w:p>
    <w:p>
      <w:pPr>
        <w:spacing w:after="120" w:line="360"/>
        <w:jc w:val="both"/>
      </w:pPr>
      <w:r>
        <w:t xml:space="preserve">Çalışmada, deprem dönemine ait gerçek tweet'lerden oluşan ve tamamı bu proje kapsamında beş sınıfa elle etiketlenmiş 793 örneklik bir veri seti kullanılmıştır. Etiketleme, sınıf tanımlarına bağlı kalınarak manuel olarak yapılmıştır; bu yaklaşım, gürültülü zayıf etiketleme veya sentetik veri üretiminin yaratabileceği etiket gürültüsü ve örüntü yanlılığını ortadan kaldırarak yüksek etiket kalitesi sağlamıştır.</w:t>
      </w:r>
    </w:p>
    <w:p>
      <w:pPr>
        <w:spacing w:after="120" w:line="360"/>
        <w:jc w:val="both"/>
      </w:pPr>
      <w:r>
        <w:t xml:space="preserve">Not (dürüstlük beyanı): Çalışmanın erken aşamasında, ham tweet havuzu için kural tabanlı zayıf etiketleme ve az örnekli sınıflar için şablon tabanlı sentetik üretim de denenmiştir. Ancak nihai çalışmada, etiket kalitesi ve değerlendirme bütünlüğü gerekçesiyle 793 örneklik elle etiketlenmiş set tercih edilmiş; zayıf etiketli/sentetik veriler kullanılmamıştır.</w:t>
      </w:r>
    </w:p>
    <w:p>
      <w:pPr>
        <w:pStyle w:val="Heading2"/>
        <w:spacing w:after="160" w:before="240"/>
      </w:pPr>
      <w:r>
        <w:t xml:space="preserve">3.2. Sınıf Taksonomisi ve Dağılım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360"/>
        <w:gridCol w:w="1700"/>
      </w:tblGrid>
      <w:tr>
        <w:trPr>
          <w:tblHeader/>
        </w:trPr>
        <w:tc>
          <w:tcPr>
            <w:tcW w:type="dxa" w:w="7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ID</w:t>
            </w:r>
          </w:p>
        </w:tc>
        <w:tc>
          <w:tcPr>
            <w:tcW w:type="dxa" w:w="26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Sınıf</w:t>
            </w:r>
          </w:p>
        </w:tc>
        <w:tc>
          <w:tcPr>
            <w:tcW w:type="dxa" w:w="436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Açıklama</w:t>
            </w:r>
          </w:p>
        </w:tc>
        <w:tc>
          <w:tcPr>
            <w:tcW w:type="dxa" w:w="17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Örnek Sayısı</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0</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Yardım Talebi</w:t>
            </w:r>
          </w:p>
        </w:tc>
        <w:tc>
          <w:tcPr>
            <w:tcW w:type="dxa" w:w="4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Acil yardım, kurtarma, malzeme çağrısı</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289</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1</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Kayıp Bildirimi</w:t>
            </w:r>
          </w:p>
        </w:tc>
        <w:tc>
          <w:tcPr>
            <w:tcW w:type="dxa" w:w="4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Ulaşılamayan / kayıp kişi aramaları</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98</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2</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Altyapı Hasarı</w:t>
            </w:r>
          </w:p>
        </w:tc>
        <w:tc>
          <w:tcPr>
            <w:tcW w:type="dxa" w:w="4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Yıkık bina, kapalı yol, şebeke kesintisi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100</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3</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Bağış/Koordinasyon</w:t>
            </w:r>
          </w:p>
        </w:tc>
        <w:tc>
          <w:tcPr>
            <w:tcW w:type="dxa" w:w="4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Bağış, IBAN, gönüllü, lojistik</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105</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4</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Diğer/İlgisiz</w:t>
            </w:r>
          </w:p>
        </w:tc>
        <w:tc>
          <w:tcPr>
            <w:tcW w:type="dxa" w:w="4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Haber, taziye, eleştiri, off-topic</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201</w:t>
            </w:r>
          </w:p>
        </w:tc>
      </w:tr>
      <w:tr>
        <w:tc>
          <w:tcPr>
            <w:tcW w:type="dxa" w:w="700"/>
            <w:tcBorders>
              <w:top w:val="single" w:color="999999" w:sz="4"/>
              <w:left w:val="single" w:color="999999" w:sz="4"/>
              <w:bottom w:val="single" w:color="999999" w:sz="4"/>
              <w:right w:val="single" w:color="999999" w:sz="4"/>
            </w:tcBorders>
            <w:shd w:fill="F2F2F2" w:val="clear"/>
            <w:tcMar>
              <w:top w:type="dxa" w:w="70"/>
              <w:left w:type="dxa" w:w="110"/>
              <w:bottom w:type="dxa" w:w="70"/>
              <w:right w:type="dxa" w:w="110"/>
            </w:tcMar>
          </w:tcPr>
          <w:p>
            <w:pPr>
              <w:jc w:val="left"/>
            </w:pPr>
            <w:r>
              <w:rPr>
                <w:b/>
                <w:bCs/>
                <w:sz w:val="19"/>
                <w:szCs w:val="19"/>
              </w:rPr>
              <w:t xml:space="preserve">—</w:t>
            </w:r>
          </w:p>
        </w:tc>
        <w:tc>
          <w:tcPr>
            <w:tcW w:type="dxa" w:w="2600"/>
            <w:tcBorders>
              <w:top w:val="single" w:color="999999" w:sz="4"/>
              <w:left w:val="single" w:color="999999" w:sz="4"/>
              <w:bottom w:val="single" w:color="999999" w:sz="4"/>
              <w:right w:val="single" w:color="999999" w:sz="4"/>
            </w:tcBorders>
            <w:shd w:fill="F2F2F2" w:val="clear"/>
            <w:tcMar>
              <w:top w:type="dxa" w:w="70"/>
              <w:left w:type="dxa" w:w="110"/>
              <w:bottom w:type="dxa" w:w="70"/>
              <w:right w:type="dxa" w:w="110"/>
            </w:tcMar>
          </w:tcPr>
          <w:p>
            <w:pPr>
              <w:jc w:val="center"/>
            </w:pPr>
            <w:r>
              <w:rPr>
                <w:b/>
                <w:bCs/>
                <w:sz w:val="19"/>
                <w:szCs w:val="19"/>
              </w:rPr>
              <w:t xml:space="preserve">TOPLAM</w:t>
            </w:r>
          </w:p>
        </w:tc>
        <w:tc>
          <w:tcPr>
            <w:tcW w:type="dxa" w:w="4360"/>
            <w:tcBorders>
              <w:top w:val="single" w:color="999999" w:sz="4"/>
              <w:left w:val="single" w:color="999999" w:sz="4"/>
              <w:bottom w:val="single" w:color="999999" w:sz="4"/>
              <w:right w:val="single" w:color="999999" w:sz="4"/>
            </w:tcBorders>
            <w:shd w:fill="F2F2F2" w:val="clear"/>
            <w:tcMar>
              <w:top w:type="dxa" w:w="70"/>
              <w:left w:type="dxa" w:w="110"/>
              <w:bottom w:type="dxa" w:w="70"/>
              <w:right w:type="dxa" w:w="110"/>
            </w:tcMar>
          </w:tcPr>
          <w:p>
            <w:pPr>
              <w:jc w:val="center"/>
            </w:pPr>
            <w:r>
              <w:rPr>
                <w:sz w:val="19"/>
                <w:szCs w:val="19"/>
              </w:rPr>
              <w:t xml:space="preserve"/>
            </w:r>
          </w:p>
        </w:tc>
        <w:tc>
          <w:tcPr>
            <w:tcW w:type="dxa" w:w="1700"/>
            <w:tcBorders>
              <w:top w:val="single" w:color="999999" w:sz="4"/>
              <w:left w:val="single" w:color="999999" w:sz="4"/>
              <w:bottom w:val="single" w:color="999999" w:sz="4"/>
              <w:right w:val="single" w:color="999999" w:sz="4"/>
            </w:tcBorders>
            <w:shd w:fill="F2F2F2" w:val="clear"/>
            <w:tcMar>
              <w:top w:type="dxa" w:w="70"/>
              <w:left w:type="dxa" w:w="110"/>
              <w:bottom w:type="dxa" w:w="70"/>
              <w:right w:type="dxa" w:w="110"/>
            </w:tcMar>
          </w:tcPr>
          <w:p>
            <w:pPr>
              <w:jc w:val="center"/>
            </w:pPr>
            <w:r>
              <w:rPr>
                <w:b/>
                <w:bCs/>
                <w:sz w:val="19"/>
                <w:szCs w:val="19"/>
              </w:rPr>
              <w:t xml:space="preserve">793</w:t>
            </w:r>
          </w:p>
        </w:tc>
      </w:tr>
    </w:tbl>
    <w:p>
      <w:pPr>
        <w:spacing w:after="200" w:before="60"/>
        <w:jc w:val="center"/>
      </w:pPr>
      <w:r>
        <w:rPr>
          <w:i/>
          <w:iCs/>
          <w:sz w:val="20"/>
          <w:szCs w:val="20"/>
        </w:rPr>
        <w:t xml:space="preserve">Tablo 1. Sınıf taksonomisi ve etiket dağılımı (793 tweet)</w:t>
      </w:r>
    </w:p>
    <w:p>
      <w:pPr>
        <w:pStyle w:val="Heading2"/>
        <w:spacing w:after="160" w:before="240"/>
      </w:pPr>
      <w:r>
        <w:t xml:space="preserve">3.3. Ön İşleme</w:t>
      </w:r>
    </w:p>
    <w:p>
      <w:pPr>
        <w:spacing w:after="120" w:line="360"/>
        <w:jc w:val="both"/>
      </w:pPr>
      <w:r>
        <w:t xml:space="preserve">Tweet'lere minimal ön işleme uygulanmıştır: URL'ler ve kullanıcı etiketleri (@kullanıcı → [USER]) anonimleştirilmiş, çoklu boşluklar normalize edilmiştir. Türkçe karakterler, hashtag'ler ve emojiler anlamsal değer taşıdığı için korunmuştur.</w:t>
      </w:r>
    </w:p>
    <w:p>
      <w:pPr>
        <w:pStyle w:val="Heading2"/>
        <w:spacing w:after="160" w:before="240"/>
      </w:pPr>
      <w:r>
        <w:t xml:space="preserve">3.4. Veri Bölünmesi</w:t>
      </w:r>
    </w:p>
    <w:p>
      <w:pPr>
        <w:spacing w:after="120" w:line="360"/>
        <w:jc w:val="both"/>
      </w:pPr>
      <w:r>
        <w:t xml:space="preserve">Veri seti, sınıf dağılımı korunarak (stratified) %80/10/10 oranında bölünmüştür: 633 eğitim, 80 doğrulama, 80 test. Tekrarlanabilirlik için tüm bölünmeler seed=42 ile gerçekleştirilmiştir. Test setinin sınıf dağılımı: Yardım 29, Kayıp 10, Altyapı 10, Bağış 11, Diğer 20.</w:t>
      </w:r>
    </w:p>
    <w:p>
      <w:pPr>
        <w:pageBreakBefore/>
      </w:pPr>
    </w:p>
    <w:p>
      <w:pPr>
        <w:pStyle w:val="Heading1"/>
        <w:spacing w:after="200" w:before="360"/>
      </w:pPr>
      <w:r>
        <w:t xml:space="preserve">4. Yöntem</w:t>
      </w:r>
    </w:p>
    <w:p>
      <w:pPr>
        <w:pStyle w:val="Heading2"/>
        <w:spacing w:after="160" w:before="240"/>
      </w:pPr>
      <w:r>
        <w:t xml:space="preserve">4.1. Modeller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Model</w:t>
            </w:r>
          </w:p>
        </w:tc>
        <w:tc>
          <w:tcPr>
            <w:tcW w:type="dxa" w:w="15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Parametre</w:t>
            </w:r>
          </w:p>
        </w:tc>
        <w:tc>
          <w:tcPr>
            <w:tcW w:type="dxa" w:w="466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HuggingFace ID</w:t>
            </w:r>
          </w:p>
        </w:tc>
      </w:tr>
      <w:t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SmolLM2-360M-Instruct</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360M</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HuggingFaceTB/SmolLM2-360M-Instruct</w:t>
            </w:r>
          </w:p>
        </w:tc>
      </w:tr>
      <w:t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TinyLlama-1.1B-Chat</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1.1B</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TinyLlama/TinyLlama-1.1B-Chat-v1.0</w:t>
            </w:r>
          </w:p>
        </w:tc>
      </w:tr>
      <w:t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Qwen2.5-1.5B-Instruct</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1.5B</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Qwen/Qwen2.5-1.5B-Instruct</w:t>
            </w:r>
          </w:p>
        </w:tc>
      </w:tr>
      <w:t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Gemma-4-E2B-it (planlanan)</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~2B*</w:t>
            </w:r>
          </w:p>
        </w:tc>
        <w:tc>
          <w:tcPr>
            <w:tcW w:type="dxa" w:w="4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google/gemma-4-E2B-it</w:t>
            </w:r>
          </w:p>
        </w:tc>
      </w:tr>
    </w:tbl>
    <w:p>
      <w:pPr>
        <w:spacing w:after="200" w:before="60"/>
        <w:jc w:val="center"/>
      </w:pPr>
      <w:r>
        <w:rPr>
          <w:i/>
          <w:iCs/>
          <w:sz w:val="20"/>
          <w:szCs w:val="20"/>
        </w:rPr>
        <w:t xml:space="preserve">Tablo 2. Kullanılan modeller (*efektif ~2B; Gemma-4 4. model olarak planlanmıştır)</w:t>
      </w:r>
    </w:p>
    <w:p>
      <w:pPr>
        <w:pStyle w:val="Heading2"/>
        <w:spacing w:after="160" w:before="240"/>
      </w:pPr>
      <w:r>
        <w:t xml:space="preserve">4.2. QLoRA ve Eğitim Formülasyonu</w:t>
      </w:r>
    </w:p>
    <w:p>
      <w:pPr>
        <w:spacing w:after="120" w:line="360"/>
        <w:jc w:val="both"/>
      </w:pPr>
      <w:r>
        <w:t xml:space="preserve">Modeller, talimat-takip (instruction-following) formatında üretken bir sınıflandırma görevine ince ayarlanmıştır: model, tweet'i içeren bir komuta karşılık doğru kategori adını üretmeyi öğrenir. Her model için kendi sohbet şablonu (apply_chat_template) kullanılmış, böylece farklı mimariler tek bir tutarlı boru hattıyla eğitilebilmiştir.</w:t>
      </w:r>
    </w:p>
    <w:p>
      <w:pPr>
        <w:spacing w:after="120" w:line="360"/>
        <w:jc w:val="both"/>
      </w:pPr>
      <w:r>
        <w:t xml:space="preserve">QLoRA bileşenleri: 4-bit NormalFloat (NF4) kuantizasyonu, çift kuantizasyon ve sayfalı optimizasyon. LoRA parametreleri: r=16, α=32, dropout=0.05, hedef modüller [q_proj, k_proj, v_proj, o_proj]. Sadece tamamlama (completion) kısmının kaybı hesaplanmıştır.</w:t>
      </w:r>
    </w:p>
    <w:p>
      <w:pPr>
        <w:pageBreakBefore/>
      </w:pPr>
    </w:p>
    <w:p>
      <w:pPr>
        <w:pStyle w:val="Heading1"/>
        <w:spacing w:after="200" w:before="360"/>
      </w:pPr>
      <w:r>
        <w:t xml:space="preserve">5. Deneysel Kurulum</w:t>
      </w:r>
    </w:p>
    <w:p>
      <w:pPr>
        <w:pStyle w:val="Heading2"/>
        <w:spacing w:after="160" w:before="240"/>
      </w:pPr>
      <w:r>
        <w:t xml:space="preserve">5.1. Donanım ve Hiperparametreler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Parametre</w:t>
            </w:r>
          </w:p>
        </w:tc>
        <w:tc>
          <w:tcPr>
            <w:tcW w:type="dxa" w:w="48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Değer</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Donanım</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Google Colab — NVIDIA T4 (16 GB)</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Epoch</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3</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Batch size / grad. accum.</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4 / 4 (efektif 16)</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Max sequence length</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2048 (Qwen) / varsayılan</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Learning rate</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2e-4</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LR scheduler / warmup</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Cosine / 0.03</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Mixed precision</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bf16 (T4 emülasyonlu)</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Seed</w:t>
            </w:r>
          </w:p>
        </w:tc>
        <w:tc>
          <w:tcPr>
            <w:tcW w:type="dxa" w:w="4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42 (sabit)</w:t>
            </w:r>
          </w:p>
        </w:tc>
      </w:tr>
    </w:tbl>
    <w:p>
      <w:pPr>
        <w:spacing w:after="200" w:before="60"/>
        <w:jc w:val="center"/>
      </w:pPr>
      <w:r>
        <w:rPr>
          <w:i/>
          <w:iCs/>
          <w:sz w:val="20"/>
          <w:szCs w:val="20"/>
        </w:rPr>
        <w:t xml:space="preserve">Tablo 3. Eğitim hiperparametreleri</w:t>
      </w:r>
    </w:p>
    <w:p>
      <w:pPr>
        <w:pStyle w:val="Heading2"/>
        <w:spacing w:after="160" w:before="240"/>
      </w:pPr>
      <w:r>
        <w:t xml:space="preserve">5.2. Değerlendirme Protokolü</w:t>
      </w:r>
    </w:p>
    <w:p>
      <w:pPr>
        <w:spacing w:after="120" w:line="360"/>
        <w:jc w:val="both"/>
      </w:pPr>
      <w:r>
        <w:t xml:space="preserve">İki aşamalı değerlendirme uygulanmıştır: (1) Zero-shot — ince ayar öncesi, prompt tabanlı; (2) QLoRA fine-tuned — test seti tamamında. Metrikler: Accuracy, Macro-F1 (sınıf dengesizliği için kritik), Weighted-F1, çıkarım süresi (ms/tweet), tepe GPU belleği ve eğitim süresi. Tahminler, modelin ürettiği kategori metninin ayrıştırılmasıyla (Türkçe altmetin eşleştirme) elde edilmiştir.</w:t>
      </w:r>
    </w:p>
    <w:p>
      <w:pPr>
        <w:pageBreakBefore/>
      </w:pPr>
    </w:p>
    <w:p>
      <w:pPr>
        <w:pStyle w:val="Heading1"/>
        <w:spacing w:after="200" w:before="360"/>
      </w:pPr>
      <w:r>
        <w:t xml:space="preserve">6. Sonuçlar</w:t>
      </w:r>
    </w:p>
    <w:p>
      <w:pPr>
        <w:pStyle w:val="Heading2"/>
        <w:spacing w:after="160" w:before="240"/>
      </w:pPr>
      <w:r>
        <w:t xml:space="preserve">6.1. Standart Sonuç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900"/>
        <w:gridCol w:w="1100"/>
        <w:gridCol w:w="1050"/>
        <w:gridCol w:w="950"/>
        <w:gridCol w:w="1050"/>
        <w:gridCol w:w="1160"/>
      </w:tblGrid>
      <w:tr>
        <w:trPr>
          <w:tblHeader/>
        </w:trPr>
        <w:tc>
          <w:tcPr>
            <w:tcW w:type="dxa" w:w="19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Model</w:t>
            </w:r>
          </w:p>
        </w:tc>
        <w:tc>
          <w:tcPr>
            <w:tcW w:type="dxa" w:w="125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Yöntem</w:t>
            </w:r>
          </w:p>
        </w:tc>
        <w:tc>
          <w:tcPr>
            <w:tcW w:type="dxa" w:w="9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Acc</w:t>
            </w:r>
          </w:p>
        </w:tc>
        <w:tc>
          <w:tcPr>
            <w:tcW w:type="dxa" w:w="11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Macro-F1</w:t>
            </w:r>
          </w:p>
        </w:tc>
        <w:tc>
          <w:tcPr>
            <w:tcW w:type="dxa" w:w="105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Weig-F1</w:t>
            </w:r>
          </w:p>
        </w:tc>
        <w:tc>
          <w:tcPr>
            <w:tcW w:type="dxa" w:w="95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Inf (ms)</w:t>
            </w:r>
          </w:p>
        </w:tc>
        <w:tc>
          <w:tcPr>
            <w:tcW w:type="dxa" w:w="105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GPU (GB)</w:t>
            </w:r>
          </w:p>
        </w:tc>
        <w:tc>
          <w:tcPr>
            <w:tcW w:type="dxa" w:w="116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Eğitim (s)</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TinyLlama-1.1B</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Zero-shot</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0.262</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0.094</w:t>
            </w:r>
          </w:p>
        </w:tc>
        <w:tc>
          <w:tcPr>
            <w:tcW w:type="dxa" w:w="10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0.125</w:t>
            </w:r>
          </w:p>
        </w:tc>
        <w:tc>
          <w:tcPr>
            <w:tcW w:type="dxa" w:w="9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w:t>
            </w:r>
          </w:p>
        </w:tc>
        <w:tc>
          <w:tcPr>
            <w:tcW w:type="dxa" w:w="10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w:t>
            </w:r>
          </w:p>
        </w:tc>
        <w:tc>
          <w:tcPr>
            <w:tcW w:type="dxa" w:w="1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SmolLM2-360M</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QLoRA</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0.662</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0.588</w:t>
            </w:r>
          </w:p>
        </w:tc>
        <w:tc>
          <w:tcPr>
            <w:tcW w:type="dxa" w:w="10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0.663</w:t>
            </w:r>
          </w:p>
        </w:tc>
        <w:tc>
          <w:tcPr>
            <w:tcW w:type="dxa" w:w="9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1542</w:t>
            </w:r>
          </w:p>
        </w:tc>
        <w:tc>
          <w:tcPr>
            <w:tcW w:type="dxa" w:w="10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1.81</w:t>
            </w:r>
          </w:p>
        </w:tc>
        <w:tc>
          <w:tcPr>
            <w:tcW w:type="dxa" w:w="1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696</w:t>
            </w:r>
          </w:p>
        </w:tc>
      </w:tr>
      <w:tr>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bCs/>
                <w:sz w:val="19"/>
                <w:szCs w:val="19"/>
              </w:rPr>
              <w:t xml:space="preserve">TinyLlama-1.1B</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QLoRA</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0.925</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0.908</w:t>
            </w:r>
          </w:p>
        </w:tc>
        <w:tc>
          <w:tcPr>
            <w:tcW w:type="dxa" w:w="10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0.921</w:t>
            </w:r>
          </w:p>
        </w:tc>
        <w:tc>
          <w:tcPr>
            <w:tcW w:type="dxa" w:w="9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960</w:t>
            </w:r>
          </w:p>
        </w:tc>
        <w:tc>
          <w:tcPr>
            <w:tcW w:type="dxa" w:w="10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3.29</w:t>
            </w:r>
          </w:p>
        </w:tc>
        <w:tc>
          <w:tcPr>
            <w:tcW w:type="dxa" w:w="1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bCs/>
                <w:sz w:val="19"/>
                <w:szCs w:val="19"/>
              </w:rPr>
              <w:t xml:space="preserve">1697</w:t>
            </w:r>
          </w:p>
        </w:tc>
      </w:tr>
      <w:tr>
        <w:tc>
          <w:tcPr>
            <w:tcW w:type="dxa" w:w="190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left"/>
            </w:pPr>
            <w:r>
              <w:rPr>
                <w:b/>
                <w:bCs/>
                <w:sz w:val="19"/>
                <w:szCs w:val="19"/>
              </w:rPr>
              <w:t xml:space="preserve">Qwen2.5-1.5B</w:t>
            </w:r>
          </w:p>
        </w:tc>
        <w:tc>
          <w:tcPr>
            <w:tcW w:type="dxa" w:w="125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b/>
                <w:bCs/>
                <w:sz w:val="19"/>
                <w:szCs w:val="19"/>
              </w:rPr>
              <w:t xml:space="preserve">QLoRA</w:t>
            </w:r>
          </w:p>
        </w:tc>
        <w:tc>
          <w:tcPr>
            <w:tcW w:type="dxa" w:w="90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b/>
                <w:bCs/>
                <w:sz w:val="19"/>
                <w:szCs w:val="19"/>
              </w:rPr>
              <w:t xml:space="preserve">0.925</w:t>
            </w:r>
          </w:p>
        </w:tc>
        <w:tc>
          <w:tcPr>
            <w:tcW w:type="dxa" w:w="110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b/>
                <w:bCs/>
                <w:sz w:val="19"/>
                <w:szCs w:val="19"/>
              </w:rPr>
              <w:t xml:space="preserve">0.914</w:t>
            </w:r>
          </w:p>
        </w:tc>
        <w:tc>
          <w:tcPr>
            <w:tcW w:type="dxa" w:w="105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b/>
                <w:bCs/>
                <w:sz w:val="19"/>
                <w:szCs w:val="19"/>
              </w:rPr>
              <w:t xml:space="preserve">0.925</w:t>
            </w:r>
          </w:p>
        </w:tc>
        <w:tc>
          <w:tcPr>
            <w:tcW w:type="dxa" w:w="95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sz w:val="19"/>
                <w:szCs w:val="19"/>
              </w:rPr>
              <w:t xml:space="preserve">1120</w:t>
            </w:r>
          </w:p>
        </w:tc>
        <w:tc>
          <w:tcPr>
            <w:tcW w:type="dxa" w:w="105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sz w:val="19"/>
                <w:szCs w:val="19"/>
              </w:rPr>
              <w:t xml:space="preserve">5.07</w:t>
            </w:r>
          </w:p>
        </w:tc>
        <w:tc>
          <w:tcPr>
            <w:tcW w:type="dxa" w:w="1160"/>
            <w:tcBorders>
              <w:top w:val="single" w:color="999999" w:sz="4"/>
              <w:left w:val="single" w:color="999999" w:sz="4"/>
              <w:bottom w:val="single" w:color="999999" w:sz="4"/>
              <w:right w:val="single" w:color="999999" w:sz="4"/>
            </w:tcBorders>
            <w:shd w:fill="E2EFDA" w:val="clear"/>
            <w:tcMar>
              <w:top w:type="dxa" w:w="70"/>
              <w:left w:type="dxa" w:w="110"/>
              <w:bottom w:type="dxa" w:w="70"/>
              <w:right w:type="dxa" w:w="110"/>
            </w:tcMar>
          </w:tcPr>
          <w:p>
            <w:pPr>
              <w:jc w:val="center"/>
            </w:pPr>
            <w:r>
              <w:rPr>
                <w:sz w:val="19"/>
                <w:szCs w:val="19"/>
              </w:rPr>
              <w:t xml:space="preserve">2151</w:t>
            </w:r>
          </w:p>
        </w:tc>
      </w:tr>
    </w:tbl>
    <w:p>
      <w:pPr>
        <w:spacing w:after="200" w:before="60"/>
        <w:jc w:val="center"/>
      </w:pPr>
      <w:r>
        <w:rPr>
          <w:i/>
          <w:iCs/>
          <w:sz w:val="20"/>
          <w:szCs w:val="20"/>
        </w:rPr>
        <w:t xml:space="preserve">Tablo 4. Standart sonuç tablosu (test seti, n=80, seed=42)</w:t>
      </w:r>
    </w:p>
    <w:p>
      <w:pPr>
        <w:spacing w:after="120" w:line="360"/>
        <w:jc w:val="both"/>
      </w:pPr>
      <w:r>
        <w:t xml:space="preserve">Eğitilebilir parametre oranları (QLoRA): SmolLM2 3.28M (%0.90), TinyLlama 4.5M (%0.41), Qwen2.5 4.36M (%0.28). Tüm fine-tuned modeller test setinde 0/80 ayrıştırma hatası vermiştir; zero-shot ise 79/80 örnekte geçerli kategori üretememiştir.</w:t>
      </w:r>
    </w:p>
    <w:p>
      <w:pPr>
        <w:pStyle w:val="Heading2"/>
        <w:spacing w:after="160" w:before="240"/>
      </w:pPr>
      <w:r>
        <w:t xml:space="preserve">6.2. Sınıf Bazlı F1 Skorları (QLoRA)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Sınıf</w:t>
            </w:r>
          </w:p>
        </w:tc>
        <w:tc>
          <w:tcPr>
            <w:tcW w:type="dxa" w:w="212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SmolLM2-360M</w:t>
            </w:r>
          </w:p>
        </w:tc>
        <w:tc>
          <w:tcPr>
            <w:tcW w:type="dxa" w:w="212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TinyLlama-1.1B</w:t>
            </w:r>
          </w:p>
        </w:tc>
        <w:tc>
          <w:tcPr>
            <w:tcW w:type="dxa" w:w="2120"/>
            <w:tcBorders>
              <w:top w:val="single" w:color="999999" w:sz="4"/>
              <w:left w:val="single" w:color="999999" w:sz="4"/>
              <w:bottom w:val="single" w:color="999999" w:sz="4"/>
              <w:right w:val="single" w:color="999999" w:sz="4"/>
            </w:tcBorders>
            <w:shd w:fill="DEEBF7" w:val="clear"/>
            <w:tcMar>
              <w:top w:type="dxa" w:w="70"/>
              <w:left w:type="dxa" w:w="110"/>
              <w:bottom w:type="dxa" w:w="70"/>
              <w:right w:type="dxa" w:w="110"/>
            </w:tcMar>
          </w:tcPr>
          <w:p>
            <w:pPr>
              <w:jc w:val="center"/>
            </w:pPr>
            <w:r>
              <w:rPr>
                <w:b/>
                <w:bCs/>
                <w:sz w:val="19"/>
                <w:szCs w:val="19"/>
              </w:rPr>
              <w:t xml:space="preserve">Qwen2.5-1.5B</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Yardım Talebi</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0.85</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0.95</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0.95</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Kayıp Bildirimi</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0.38</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0.95</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0.89</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Altyapı Hasarı</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0.59</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0.95</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1.00</w:t>
            </w:r>
          </w:p>
        </w:tc>
      </w:tr>
      <w:tr>
        <w:tc>
          <w:tcPr>
            <w:tcW w:type="dxa" w:w="3000"/>
            <w:tcBorders>
              <w:top w:val="single" w:color="999999" w:sz="4"/>
              <w:left w:val="single" w:color="999999" w:sz="4"/>
              <w:bottom w:val="single" w:color="999999" w:sz="4"/>
              <w:right w:val="single" w:color="999999" w:sz="4"/>
            </w:tcBorders>
            <w:shd w:fill="FCE4D6" w:val="clear"/>
            <w:tcMar>
              <w:top w:type="dxa" w:w="70"/>
              <w:left w:type="dxa" w:w="110"/>
              <w:bottom w:type="dxa" w:w="70"/>
              <w:right w:type="dxa" w:w="110"/>
            </w:tcMar>
          </w:tcPr>
          <w:p>
            <w:pPr>
              <w:jc w:val="left"/>
            </w:pPr>
            <w:r>
              <w:rPr>
                <w:sz w:val="19"/>
                <w:szCs w:val="19"/>
              </w:rPr>
              <w:t xml:space="preserve">Bağış/Koordinasyon</w:t>
            </w:r>
          </w:p>
        </w:tc>
        <w:tc>
          <w:tcPr>
            <w:tcW w:type="dxa" w:w="2120"/>
            <w:tcBorders>
              <w:top w:val="single" w:color="999999" w:sz="4"/>
              <w:left w:val="single" w:color="999999" w:sz="4"/>
              <w:bottom w:val="single" w:color="999999" w:sz="4"/>
              <w:right w:val="single" w:color="999999" w:sz="4"/>
            </w:tcBorders>
            <w:shd w:fill="FCE4D6" w:val="clear"/>
            <w:tcMar>
              <w:top w:type="dxa" w:w="70"/>
              <w:left w:type="dxa" w:w="110"/>
              <w:bottom w:type="dxa" w:w="70"/>
              <w:right w:type="dxa" w:w="110"/>
            </w:tcMar>
          </w:tcPr>
          <w:p>
            <w:pPr>
              <w:jc w:val="center"/>
            </w:pPr>
            <w:r>
              <w:rPr>
                <w:sz w:val="19"/>
                <w:szCs w:val="19"/>
              </w:rPr>
              <w:t xml:space="preserve">0.42</w:t>
            </w:r>
          </w:p>
        </w:tc>
        <w:tc>
          <w:tcPr>
            <w:tcW w:type="dxa" w:w="2120"/>
            <w:tcBorders>
              <w:top w:val="single" w:color="999999" w:sz="4"/>
              <w:left w:val="single" w:color="999999" w:sz="4"/>
              <w:bottom w:val="single" w:color="999999" w:sz="4"/>
              <w:right w:val="single" w:color="999999" w:sz="4"/>
            </w:tcBorders>
            <w:shd w:fill="FCE4D6" w:val="clear"/>
            <w:tcMar>
              <w:top w:type="dxa" w:w="70"/>
              <w:left w:type="dxa" w:w="110"/>
              <w:bottom w:type="dxa" w:w="70"/>
              <w:right w:type="dxa" w:w="110"/>
            </w:tcMar>
          </w:tcPr>
          <w:p>
            <w:pPr>
              <w:jc w:val="center"/>
            </w:pPr>
            <w:r>
              <w:rPr>
                <w:sz w:val="19"/>
                <w:szCs w:val="19"/>
              </w:rPr>
              <w:t xml:space="preserve">0.74</w:t>
            </w:r>
          </w:p>
        </w:tc>
        <w:tc>
          <w:tcPr>
            <w:tcW w:type="dxa" w:w="2120"/>
            <w:tcBorders>
              <w:top w:val="single" w:color="999999" w:sz="4"/>
              <w:left w:val="single" w:color="999999" w:sz="4"/>
              <w:bottom w:val="single" w:color="999999" w:sz="4"/>
              <w:right w:val="single" w:color="999999" w:sz="4"/>
            </w:tcBorders>
            <w:shd w:fill="FCE4D6" w:val="clear"/>
            <w:tcMar>
              <w:top w:type="dxa" w:w="70"/>
              <w:left w:type="dxa" w:w="110"/>
              <w:bottom w:type="dxa" w:w="70"/>
              <w:right w:type="dxa" w:w="110"/>
            </w:tcMar>
          </w:tcPr>
          <w:p>
            <w:pPr>
              <w:jc w:val="center"/>
            </w:pPr>
            <w:r>
              <w:rPr>
                <w:sz w:val="19"/>
                <w:szCs w:val="19"/>
              </w:rPr>
              <w:t xml:space="preserve">0.78</w:t>
            </w:r>
          </w:p>
        </w:tc>
      </w:tr>
      <w:t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left"/>
            </w:pPr>
            <w:r>
              <w:rPr>
                <w:b w:val="false"/>
                <w:bCs w:val="false"/>
                <w:sz w:val="19"/>
                <w:szCs w:val="19"/>
              </w:rPr>
              <w:t xml:space="preserve">Diğer/İlgisiz</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0.70</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0.95</w:t>
            </w:r>
          </w:p>
        </w:tc>
        <w:tc>
          <w:tcPr>
            <w:tcW w:type="dxa" w:w="212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center"/>
            </w:pPr>
            <w:r>
              <w:rPr>
                <w:b w:val="false"/>
                <w:bCs w:val="false"/>
                <w:sz w:val="19"/>
                <w:szCs w:val="19"/>
              </w:rPr>
              <w:t xml:space="preserve">0.95</w:t>
            </w:r>
          </w:p>
        </w:tc>
      </w:tr>
    </w:tbl>
    <w:p>
      <w:pPr>
        <w:spacing w:after="200" w:before="60"/>
        <w:jc w:val="center"/>
      </w:pPr>
      <w:r>
        <w:rPr>
          <w:i/>
          <w:iCs/>
          <w:sz w:val="20"/>
          <w:szCs w:val="20"/>
        </w:rPr>
        <w:t xml:space="preserve">Tablo 5. Sınıf bazlı F1 (vurgulu satır: tüm modellerde en zayıf sınıf)</w:t>
      </w:r>
    </w:p>
    <w:p>
      <w:pPr>
        <w:pStyle w:val="Heading2"/>
        <w:spacing w:after="160" w:before="240"/>
      </w:pPr>
      <w:r>
        <w:t xml:space="preserve">6.3. Değerlendirme</w:t>
      </w:r>
    </w:p>
    <w:p>
      <w:pPr>
        <w:spacing w:after="120" w:line="360"/>
        <w:jc w:val="both"/>
      </w:pPr>
      <w:r>
        <w:t xml:space="preserve">Zero-shot temel çizgi görevde tamamen çökmüştür (Macro-F1 0.094); model 80 örneğin 79'unda geçerli bir kategori bile üretememiş, %26.2'lik doğruluk yalnızca "Diğer" sınıfının taban oranının bir yansımasıdır. QLoRA ince ayarı bu tabloyu kökten değiştirmiş, Macro-F1 değerini 0.91 seviyesine taşımıştır — projenin temel bulgusu budur.</w:t>
      </w:r>
    </w:p>
    <w:p>
      <w:pPr>
        <w:spacing w:after="120" w:line="360"/>
        <w:jc w:val="both"/>
      </w:pPr>
      <w:r>
        <w:t xml:space="preserve">Modeller arasında belirgin bir ölçek etkisi görülmektedir: 360M (Macro-F1 0.588) → 1.1B (0.908) arasında büyük bir sıçrama vardır; ancak 1.1B → 1.5B (0.914) geçişinde getiri marjinaldir. Bu, ~1 milyar parametre civarında bir doygunluğa işaret eder. Qwen2.5 en yüksek Macro-F1'i (0.914) elde etmiş, güçlü çok dilli/Türkçe eğitimini göstermiştir; ancak TinyLlama neredeyse aynı başarıyı (0.908) yaklaşık %35 daha düşük GPU belleğiyle (3.29 GB'a karşı 5.07 GB) sağlamıştır — verimlilik açısından dikkate değer bir bulgu.</w:t>
      </w:r>
    </w:p>
    <w:p>
      <w:pPr>
        <w:spacing w:after="120" w:line="360"/>
        <w:jc w:val="both"/>
      </w:pPr>
      <w:r>
        <w:t xml:space="preserve">QLoRA'nın bellek verimliliği tüm modellerde belirgindir: tepe GPU kullanımı 1.81–5.07 GB aralığında kalmıştır. Eşdeğer bir tam ince ayar (full fine-tuning) onlarca GB gerektireceğinden, bu sonuç düşük maliyetli donanım hedefini doğrulamaktadır.</w:t>
      </w:r>
    </w:p>
    <w:p>
      <w:pPr>
        <w:pageBreakBefore/>
      </w:pPr>
    </w:p>
    <w:p>
      <w:pPr>
        <w:pStyle w:val="Heading1"/>
        <w:spacing w:after="200" w:before="360"/>
      </w:pPr>
      <w:r>
        <w:t xml:space="preserve">7. Hata Analizi ve Tartışma</w:t>
      </w:r>
    </w:p>
    <w:p>
      <w:pPr>
        <w:pStyle w:val="Heading2"/>
        <w:spacing w:after="160" w:before="240"/>
      </w:pPr>
      <w:r>
        <w:t xml:space="preserve">7.1. Sınıflar Arası Karışıklık</w:t>
      </w:r>
    </w:p>
    <w:p>
      <w:pPr>
        <w:spacing w:after="120" w:line="360"/>
        <w:jc w:val="both"/>
      </w:pPr>
      <w:r>
        <w:t xml:space="preserve">En tutarlı hata deseni, Bağış/Koordinasyon sınıfının tüm modellerde en zayıf sınıf olmasıdır (F1: SmolLM2 0.42, TinyLlama 0.74, Qwen2.5 0.78). Bu sınıf en sık Yardım Talebi ile karışmaktadır; bunun nedeni, bağış/koordinasyon tweet'lerinin de sıklıkla malzeme, adres ve ihtiyaç ifadeleri içermesi, dolayısıyla yardım talepleriyle semantik olarak örtüşmesidir. Örneğin TinyLlama, 11 bağış örneğinin 4'ünü yanlış sınıflamış (2'si Yardım, 1'i Kayıp, 1'i Altyapı), Qwen2.5 ise 2'sini Yardım olarak işaretlemiştir.</w:t>
      </w:r>
    </w:p>
    <w:p>
      <w:pPr>
        <w:spacing w:after="120" w:line="360"/>
        <w:jc w:val="both"/>
      </w:pPr>
      <w:r>
        <w:t xml:space="preserve">En küçük model SmolLM2-360M, az örnekli sınıflarda (Kayıp 0.38, Bağış 0.42, Altyapı 0.59) belirgin biçimde başarısızdır; karışıklık matrisi bu üç sınıfın birbirine karıştığını göstermektedir. Buna karşılık TinyLlama ve Qwen2.5 bu sınıfları büyük ölçüde çözebilmiştir (Kayıp 0.95/0.89, Altyapı 0.95/1.00). Bu bulgu, model kapasitesinin en çok semantik olarak yakın azınlık sınıflarını ayırt etmede fark yarattığını ortaya koymaktadır.</w:t>
      </w:r>
    </w:p>
    <w:p>
      <w:pPr>
        <w:pStyle w:val="Heading2"/>
        <w:spacing w:after="160" w:before="240"/>
      </w:pPr>
      <w:r>
        <w:t xml:space="preserve">7.2. Recall Odaklı Yorum</w:t>
      </w:r>
    </w:p>
    <w:p>
      <w:pPr>
        <w:spacing w:after="120" w:line="360"/>
        <w:jc w:val="both"/>
      </w:pPr>
      <w:r>
        <w:t xml:space="preserve">Afet senaryosunda yanlış negatif (bir yardım çağrısını kaçırmak) yanlış pozitiften daha maliyetlidir. Bu açıdan en kritik sınıf olan Yardım Talebi'nde tüm orta/büyük modeller yüksek recall sağlamıştır (TinyLlama 0.97, Qwen2.5 1.00). Bağış sınıfındaki düşük recall ise, gerçek bağış/koordinasyon mesajlarının bir kısmının kaçırılabileceğini gösterir; üretim ortamında bu sınıf için ek doğrulama önerilir.</w:t>
      </w:r>
    </w:p>
    <w:p>
      <w:pPr>
        <w:pStyle w:val="Heading2"/>
        <w:spacing w:after="160" w:before="240"/>
      </w:pPr>
      <w:r>
        <w:t xml:space="preserve">7.3. LoRA vs QLoRA Karşılaştırması</w:t>
      </w:r>
    </w:p>
    <w:p>
      <w:pPr>
        <w:spacing w:after="120" w:line="360"/>
        <w:jc w:val="both"/>
      </w:pPr>
      <w:r>
        <w:t xml:space="preserve">Bu çalışmanın benchmark'a temel katkısı, Saliha Göçergi'nin LoRA sonuçlarıyla yapılacak doğrudan karşılaştırmadır. Aynı veri seti, modeller ve seed kullanıldığından doğruluk ve kaynak tüketimi adil biçimde kıyaslanabilir.</w:t>
      </w:r>
    </w:p>
    <w:p>
      <w:pPr>
        <w:spacing w:after="120"/>
      </w:pPr>
      <w:r>
        <w:rPr>
          <w:b/>
          <w:bCs/>
          <w:i/>
          <w:iCs/>
          <w:color w:val="C00000"/>
        </w:rPr>
        <w:t xml:space="preserve">[YER TUTUCU — LoRA–QLoRA karşılaştırma tablosu (Accuracy, Macro-F1, tepe GPU, eğitim süresi) — Saliha'nın LoRA sonuçları geldiğinde doldurulacak. Beklenti: benzer doğruluk, QLoRA lehine belirgin bellek tasarrufu.]</w:t>
      </w:r>
    </w:p>
    <w:p>
      <w:pPr>
        <w:pageBreakBefore/>
      </w:pPr>
    </w:p>
    <w:p>
      <w:pPr>
        <w:pStyle w:val="Heading1"/>
        <w:spacing w:after="200" w:before="360"/>
      </w:pPr>
      <w:r>
        <w:t xml:space="preserve">8. Sonuç, Limitasyonlar ve Etik</w:t>
      </w:r>
    </w:p>
    <w:p>
      <w:pPr>
        <w:pStyle w:val="Heading2"/>
        <w:spacing w:after="160" w:before="240"/>
      </w:pPr>
      <w:r>
        <w:t xml:space="preserve">8.1. Sonuç</w:t>
      </w:r>
    </w:p>
    <w:p>
      <w:pPr>
        <w:spacing w:after="120" w:line="360"/>
        <w:jc w:val="both"/>
      </w:pPr>
      <w:r>
        <w:t xml:space="preserve">Üç Küçük Dil Modeli üzerinde yapılan QLoRA ince ayarı, Türkçe afet tweet sınıflandırmasında zero-shot temel çizgiye kıyasla çarpıcı bir iyileşme sağlamıştır (Macro-F1 0.094 → 0.914). Qwen2.5-1.5B en iyi sonucu vermiş, TinyLlama-1.1B ise neredeyse aynı başarıyı daha düşük bellekle elde ederek verimlilik açısından öne çıkmıştır. QLoRA, 5 GB'ın altında tepe bellekle düşük maliyetli donanımda etkili ince ayarı mümkün kılmıştır.</w:t>
      </w:r>
    </w:p>
    <w:p>
      <w:pPr>
        <w:pStyle w:val="Heading2"/>
        <w:spacing w:after="160" w:before="240"/>
      </w:pPr>
      <w:r>
        <w:t xml:space="preserve">8.2. Bilinen Limitasyonlar</w:t>
      </w:r>
    </w:p>
    <w:p>
      <w:pPr>
        <w:pStyle w:val="ListParagraph"/>
        <w:numPr>
          <w:ilvl w:val="0"/>
          <w:numId w:val="2"/>
        </w:numPr>
        <w:spacing w:after="80"/>
      </w:pPr>
      <w:r>
        <w:t xml:space="preserve">Veri seti küçüktür (793 örnek); test seti yalnızca 80 örnek içerdiğinden az örnekli sınıflarda (Altyapı, Kayıp) metrik varyansı yüksek olabilir.</w:t>
      </w:r>
    </w:p>
    <w:p>
      <w:pPr>
        <w:pStyle w:val="ListParagraph"/>
        <w:numPr>
          <w:ilvl w:val="0"/>
          <w:numId w:val="2"/>
        </w:numPr>
        <w:spacing w:after="80"/>
      </w:pPr>
      <w:r>
        <w:t xml:space="preserve">Sonuçlar tek seed (42) ile raporlanmıştır; çok-seed (42/123/2023) ortalama±std analizi gelecek çalışmaya bırakılmıştır.</w:t>
      </w:r>
    </w:p>
    <w:p>
      <w:pPr>
        <w:pStyle w:val="ListParagraph"/>
        <w:numPr>
          <w:ilvl w:val="0"/>
          <w:numId w:val="2"/>
        </w:numPr>
        <w:spacing w:after="80"/>
      </w:pPr>
      <w:r>
        <w:t xml:space="preserve">Dördüncü model (Gemma-4-E2B) donanım kısıtları nedeniyle bu raporda yer almamış, eklenmek üzere planlanmıştır.</w:t>
      </w:r>
    </w:p>
    <w:p>
      <w:pPr>
        <w:pStyle w:val="ListParagraph"/>
        <w:numPr>
          <w:ilvl w:val="0"/>
          <w:numId w:val="2"/>
        </w:numPr>
        <w:spacing w:after="80"/>
      </w:pPr>
      <w:r>
        <w:t xml:space="preserve">Twitter kullanıcı tabanı genel nüfusu temsil etmez (yaş, kentsel/kırsal, dil yetkinliği yanlılığı).</w:t>
      </w:r>
    </w:p>
    <w:p>
      <w:pPr>
        <w:pStyle w:val="ListParagraph"/>
        <w:numPr>
          <w:ilvl w:val="0"/>
          <w:numId w:val="2"/>
        </w:numPr>
        <w:spacing w:after="80"/>
      </w:pPr>
      <w:r>
        <w:t xml:space="preserve">Çıkarım süreleri T4 üzerinde bf16 emülasyonuyla ölçülmüştür; edge cihaz performansını birebir yansıtmayabilir.</w:t>
      </w:r>
    </w:p>
    <w:p>
      <w:pPr>
        <w:pStyle w:val="Heading2"/>
        <w:spacing w:after="160" w:before="240"/>
      </w:pPr>
      <w:r>
        <w:t xml:space="preserve">8.3. Etik Değerlendirme</w:t>
      </w:r>
    </w:p>
    <w:p>
      <w:pPr>
        <w:pStyle w:val="ListParagraph"/>
        <w:numPr>
          <w:ilvl w:val="0"/>
          <w:numId w:val="2"/>
        </w:numPr>
        <w:spacing w:after="80"/>
      </w:pPr>
      <w:r>
        <w:t xml:space="preserve">Bağlamsal bütünlük: Veriler yalnızca akademik amaçla kullanılmış, kullanıcı etiketleri anonimleştirilmiştir.</w:t>
      </w:r>
    </w:p>
    <w:p>
      <w:pPr>
        <w:pStyle w:val="ListParagraph"/>
        <w:numPr>
          <w:ilvl w:val="0"/>
          <w:numId w:val="2"/>
        </w:numPr>
        <w:spacing w:after="80"/>
      </w:pPr>
      <w:r>
        <w:t xml:space="preserve">Karar destek aracı: Sistem tek başına karar verici değildir; insan operatör onayı esastır.</w:t>
      </w:r>
    </w:p>
    <w:p>
      <w:pPr>
        <w:pStyle w:val="ListParagraph"/>
        <w:numPr>
          <w:ilvl w:val="0"/>
          <w:numId w:val="2"/>
        </w:numPr>
        <w:spacing w:after="80"/>
      </w:pPr>
      <w:r>
        <w:t xml:space="preserve">Açık kaynak ve tekrarlanabilirlik: Tüm kod ve hiperparametreler paylaşılmış, seed=42 ile sonuçlar yeniden üretilebilir kılınmıştır.</w:t>
      </w:r>
    </w:p>
    <w:p>
      <w:pPr>
        <w:pStyle w:val="Heading2"/>
        <w:spacing w:after="160" w:before="240"/>
      </w:pPr>
      <w:r>
        <w:t xml:space="preserve">8.4. Gelecek Çalışmalar</w:t>
      </w:r>
    </w:p>
    <w:p>
      <w:pPr>
        <w:pStyle w:val="ListParagraph"/>
        <w:numPr>
          <w:ilvl w:val="0"/>
          <w:numId w:val="2"/>
        </w:numPr>
        <w:spacing w:after="80"/>
      </w:pPr>
      <w:r>
        <w:t xml:space="preserve">Gemma-4-E2B'nin dördüncü model olarak eklenmesi (Unsloth ile, T4 uyumlu).</w:t>
      </w:r>
    </w:p>
    <w:p>
      <w:pPr>
        <w:pStyle w:val="ListParagraph"/>
        <w:numPr>
          <w:ilvl w:val="0"/>
          <w:numId w:val="2"/>
        </w:numPr>
        <w:spacing w:after="80"/>
      </w:pPr>
      <w:r>
        <w:t xml:space="preserve">Üç seed ile ortalama±std raporlaması ve few-shot (3-shot) temel çizgi.</w:t>
      </w:r>
    </w:p>
    <w:p>
      <w:pPr>
        <w:pStyle w:val="ListParagraph"/>
        <w:numPr>
          <w:ilvl w:val="0"/>
          <w:numId w:val="2"/>
        </w:numPr>
        <w:spacing w:after="80"/>
      </w:pPr>
      <w:r>
        <w:t xml:space="preserve">Saliha'nın LoRA sonuçlarıyla tam LoRA–QLoRA karşılaştırması.</w:t>
      </w:r>
    </w:p>
    <w:p>
      <w:pPr>
        <w:pStyle w:val="ListParagraph"/>
        <w:numPr>
          <w:ilvl w:val="0"/>
          <w:numId w:val="2"/>
        </w:numPr>
        <w:spacing w:after="80"/>
      </w:pPr>
      <w:r>
        <w:t xml:space="preserve">Veri setinin büyütülmesi ve gerçek zamanlı (stream) entegrasyon.</w:t>
      </w:r>
    </w:p>
    <w:p>
      <w:pPr>
        <w:pStyle w:val="Heading1"/>
        <w:spacing w:after="200" w:before="360"/>
      </w:pPr>
      <w:r>
        <w:t xml:space="preserve">Kaynakça</w:t>
      </w:r>
    </w:p>
    <w:p>
      <w:pPr>
        <w:spacing w:after="120" w:line="360"/>
        <w:jc w:val="both"/>
      </w:pPr>
      <w:r>
        <w:t xml:space="preserve">[1] Toraman, C., et al. (2023). Tweets Under the Rubble: Detection of Messages Calling for Help in Earthquake Disaster. arXiv:2302.13403.</w:t>
      </w:r>
    </w:p>
    <w:p>
      <w:pPr>
        <w:spacing w:after="120" w:line="360"/>
        <w:jc w:val="both"/>
      </w:pPr>
      <w:r>
        <w:t xml:space="preserve">[2] Dettmers, T., Pagnoni, A., Holtzman, A., &amp; Zettlemoyer, L. (2023). QLoRA: Efficient Finetuning of Quantized LLMs. NeurIPS 2023.</w:t>
      </w:r>
    </w:p>
    <w:p>
      <w:pPr>
        <w:spacing w:after="120" w:line="360"/>
        <w:jc w:val="both"/>
      </w:pPr>
      <w:r>
        <w:t xml:space="preserve">[3] Hu, E. J., et al. (2022). LoRA: Low-Rank Adaptation of Large Language Models. ICLR 2022.</w:t>
      </w:r>
    </w:p>
    <w:p>
      <w:pPr>
        <w:spacing w:after="120" w:line="360"/>
        <w:jc w:val="both"/>
      </w:pPr>
      <w:r>
        <w:t xml:space="preserve">[4] Allal, L. B., et al. (2024). SmolLM2: Data-Centric Training of a Small Language Model. arXiv:2502.02737.</w:t>
      </w:r>
    </w:p>
    <w:p>
      <w:pPr>
        <w:spacing w:after="120" w:line="360"/>
        <w:jc w:val="both"/>
      </w:pPr>
      <w:r>
        <w:t xml:space="preserve">[5] Zhang, P., et al. (2024). TinyLlama: An Open-Source Small Language Model.</w:t>
      </w:r>
    </w:p>
    <w:p>
      <w:pPr>
        <w:spacing w:after="120" w:line="360"/>
        <w:jc w:val="both"/>
      </w:pPr>
      <w:r>
        <w:t xml:space="preserve">[6] Qwen Team, Alibaba (2024). Qwen2.5 Technical Report.</w:t>
      </w:r>
    </w:p>
    <w:p>
      <w:pPr>
        <w:spacing w:after="120" w:line="360"/>
        <w:jc w:val="both"/>
      </w:pPr>
      <w:r>
        <w:t xml:space="preserve">[7] Google DeepMind (2024–2026). Gemma Open Models (Gemma 2, 3n,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Mustafa Kırpık — BDM Final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2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100" w:before="16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BDM Final Raporu - QLoRA (3 model)</dc:title>
  <dc:creator>Mustafa Kırpık</dc:creator>
  <cp:lastModifiedBy>Un-named</cp:lastModifiedBy>
  <cp:revision>1</cp:revision>
  <dcterms:created xsi:type="dcterms:W3CDTF">2026-05-26T18:25:55.343Z</dcterms:created>
  <dcterms:modified xsi:type="dcterms:W3CDTF">2026-05-26T18:25:55.355Z</dcterms:modified>
</cp:coreProperties>
</file>

<file path=docProps/custom.xml><?xml version="1.0" encoding="utf-8"?>
<Properties xmlns="http://schemas.openxmlformats.org/officeDocument/2006/custom-properties" xmlns:vt="http://schemas.openxmlformats.org/officeDocument/2006/docPropsVTypes"/>
</file>