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the automated evaluation framework: designed LLM-as-judge strategies calibrated against expert grading (0.78 Cohen’s </w:t>
      </w:r>
      <m:oMath>
        <m:r>
          <m:t>κ</m:t>
        </m:r>
      </m:oMath>
      <w:r>
        <w:t xml:space="preserve">), detecting 87.6% of output errors found in human review; cut evaluation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pStyle w:val="FirstParagraph"/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pStyle w:val="FirstParagraph"/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2026-10-19T16:51:41Z</dcterms:created>
  <dcterms:modified xsi:type="dcterms:W3CDTF">2026-10-19T16:51:41Z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