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evaluation methodology: defined grading criteria with lawyers and designed LLM-as-judge strategies calibrated to expert scores (0.78 Cohen’s </w:t>
      </w:r>
      <m:oMath>
        <m:r>
          <m:t>κ</m:t>
        </m:r>
      </m:oMath>
      <w:r>
        <w:t xml:space="preserve">), detecting 87.6% of human-flagged errors; cut eval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skill library encoding lawyers’ review methodology, plus MCP tools for citation verification, cross-reference resolution and redline comparison.</w:t>
      </w:r>
    </w:p>
    <w:p>
      <w:pPr>
        <w:pStyle w:val="FirstParagraph"/>
        <w:numPr>
          <w:ilvl w:val="0"/>
          <w:numId w:val="1001"/>
        </w:numPr>
      </w:pPr>
      <w:r>
        <w:t xml:space="preserve">Compared context-engineering strategies for long documents (retrieval-then-reason, progressive summarization, sub-agent state passing), yielding up to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orchestrator compactions without loss in recall.</w:t>
      </w:r>
    </w:p>
    <w:p>
      <w:pPr>
        <w:pStyle w:val="FirstParagraph"/>
        <w:numPr>
          <w:ilvl w:val="0"/>
          <w:numId w:val="1001"/>
        </w:numPr>
      </w:pPr>
      <w:r>
        <w:t xml:space="preserve">Fine-tuned Qwen-32B for clause customization with QLoRA (SFT, then DPO on lawyer preference rankings), matching GPT-4o in lawyer review at 5</w:t>
      </w:r>
      <m:oMath>
        <m:r>
          <m:rPr>
            <m:sty m:val="p"/>
          </m:rPr>
          <m:t>×</m:t>
        </m:r>
      </m:oMath>
      <w:r>
        <w:t xml:space="preserve">+ lower per-token cost.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Data Integrity Specialist</w:t>
      </w:r>
    </w:p>
    <w:p>
      <w:pPr>
        <w:pStyle w:val="BodyText"/>
      </w:pPr>
      <w:r>
        <w:rPr>
          <w:i/>
          <w:iCs/>
        </w:rPr>
        <w:t xml:space="preserve">Outlier AI</w:t>
      </w:r>
    </w:p>
    <w:p>
      <w:pPr>
        <w:pStyle w:val="FirstParagraph"/>
        <w:numPr>
          <w:ilvl w:val="0"/>
          <w:numId w:val="1002"/>
        </w:numPr>
      </w:pPr>
      <w:r>
        <w:t xml:space="preserve">Improved tool use in frontier models through RLHF training pipelines, enabling them to chain and execute multi-step actions from high-level user intent, supporting AI development at firms including Google and Meta.</w:t>
      </w:r>
    </w:p>
    <w:p>
      <w:pPr>
        <w:pStyle w:val="FirstParagraph"/>
        <w:numPr>
          <w:ilvl w:val="0"/>
          <w:numId w:val="1002"/>
        </w:numPr>
      </w:pPr>
      <w:r>
        <w:t xml:space="preserve">Curated instruction tuning and preference datasets to drive a 20% improvement in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pStyle w:val="FirstParagraph"/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pStyle w:val="FirstParagraph"/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pStyle w:val="FirstParagraph"/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pStyle w:val="FirstParagraph"/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2026-10-19T17:35:21Z</dcterms:created>
  <dcterms:modified xsi:type="dcterms:W3CDTF">2026-10-19T17:35:21Z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