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Mustafa Mehmood</w:t>
      </w:r>
    </w:p>
    <w:p>
      <w:pPr>
        <w:pStyle w:val="BodyText"/>
      </w:pPr>
      <w:r>
        <w:rPr>
          <w:i/>
          <w:iCs/>
        </w:rPr>
        <w:t xml:space="preserve">Applied Scientist    Agentic System Design, Evaluation &amp; Fine-Tuning</w:t>
      </w:r>
    </w:p>
    <w:p>
      <w:pPr>
        <w:pStyle w:val="BodyText"/>
      </w:pPr>
      <w:hyperlink r:id="rId9">
        <w:r>
          <w:rPr>
            <w:rStyle w:val="Hyperlink"/>
          </w:rPr>
          <w:t xml:space="preserve">mustafamehmood8998@gmail.com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r>
        <w:t xml:space="preserve">Open to Relocate</w:t>
      </w:r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0">
        <w:r>
          <w:rPr>
            <w:rStyle w:val="Hyperlink"/>
          </w:rPr>
          <w:t xml:space="preserve">+44 7769 504 569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1">
        <w:r>
          <w:rPr>
            <w:rStyle w:val="Hyperlink"/>
          </w:rPr>
          <w:t xml:space="preserve">Website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3">
        <w:r>
          <w:rPr>
            <w:rStyle w:val="Hyperlink"/>
          </w:rPr>
          <w:t xml:space="preserve">GitHub </w:t>
        </w:r>
      </w:hyperlink>
    </w:p>
    <w:p>
      <w:pPr>
        <w:pStyle w:val="Heading1"/>
      </w:pPr>
      <w:bookmarkStart w:id="14" w:name="_experience"/>
      <w:r>
        <w:t xml:space="preserve">Experience</w:t>
      </w:r>
      <w:bookmarkEnd w:id="14"/>
    </w:p>
    <w:p>
      <w:pPr>
        <w:pStyle w:val="FirstParagraph"/>
      </w:pPr>
      <w:r>
        <w:rPr>
          <w:i/>
          <w:iCs/>
        </w:rPr>
        <w:t xml:space="preserve">London, UK</w:t>
      </w:r>
    </w:p>
    <w:p>
      <w:pPr>
        <w:pStyle w:val="BodyText"/>
      </w:pPr>
      <w:r>
        <w:rPr>
          <w:i/>
          <w:iCs/>
        </w:rPr>
        <w:t xml:space="preserve">June 2025 – Present</w:t>
      </w:r>
    </w:p>
    <w:p>
      <w:pPr>
        <w:pStyle w:val="BodyText"/>
      </w:pPr>
      <w:r>
        <w:rPr>
          <w:b/>
          <w:bCs/>
        </w:rPr>
        <w:t xml:space="preserve">Applied Scientist</w:t>
      </w:r>
    </w:p>
    <w:p>
      <w:pPr>
        <w:pStyle w:val="BodyText"/>
      </w:pPr>
      <w:r>
        <w:rPr>
          <w:i/>
          <w:iCs/>
        </w:rPr>
        <w:t xml:space="preserve">Thomson Reuters (CoCounsel, AI legal assistant)</w:t>
      </w:r>
    </w:p>
    <w:p>
      <w:pPr>
        <w:pStyle w:val="FirstParagraph"/>
        <w:numPr>
          <w:ilvl w:val="0"/>
          <w:numId w:val="1001"/>
        </w:numPr>
      </w:pPr>
      <w:r>
        <w:t xml:space="preserve">Developed core agentic workflows for M&amp;A due-diligence review across hundreds of documents per deal, grounding agents via tools in expert-curated legal sources; achieves 90%+ recall of lawyer-flagged material risks.</w:t>
      </w:r>
    </w:p>
    <w:p>
      <w:pPr>
        <w:pStyle w:val="FirstParagraph"/>
        <w:numPr>
          <w:ilvl w:val="0"/>
          <w:numId w:val="1001"/>
        </w:numPr>
      </w:pPr>
      <w:r>
        <w:t xml:space="preserve">Own evaluation methodology: defined grading criteria with lawyers and designed LLM-as-judge strategies calibrated to expert scores (0.78 Cohen’s </w:t>
      </w:r>
      <m:oMath>
        <m:r>
          <m:t>κ</m:t>
        </m:r>
      </m:oMath>
      <w:r>
        <w:t xml:space="preserve">), detecting 87.6% of human-flagged errors; cut eval cycles from days to hours.</w:t>
      </w:r>
    </w:p>
    <w:p>
      <w:pPr>
        <w:pStyle w:val="FirstParagraph"/>
        <w:numPr>
          <w:ilvl w:val="0"/>
          <w:numId w:val="1001"/>
        </w:numPr>
      </w:pPr>
      <w:r>
        <w:t xml:space="preserve">Built an orchestrator agent harness and skill library encoding lawyers’ review methodology, plus MCP tools for citation verification, cross-reference resolution and redline comparison.</w:t>
      </w:r>
    </w:p>
    <w:p>
      <w:pPr>
        <w:pStyle w:val="FirstParagraph"/>
        <w:numPr>
          <w:ilvl w:val="0"/>
          <w:numId w:val="1001"/>
        </w:numPr>
      </w:pPr>
      <w:r>
        <w:t xml:space="preserve">Compared context-engineering strategies for long documents (retrieval-then-reason, progressive summarization, sub-agent state passing), yielding up to 4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fewer orchestrator compactions without loss in recall.</w:t>
      </w:r>
    </w:p>
    <w:p>
      <w:pPr>
        <w:pStyle w:val="FirstParagraph"/>
        <w:numPr>
          <w:ilvl w:val="0"/>
          <w:numId w:val="1001"/>
        </w:numPr>
      </w:pPr>
      <w:r>
        <w:t xml:space="preserve">Fine-tuned Qwen-32B for clause customization with QLoRA (SFT, then DPO on lawyer preference rankings), matching GPT-4o in lawyer review at 5</w:t>
      </w:r>
      <m:oMath>
        <m:r>
          <m:rPr>
            <m:sty m:val="p"/>
          </m:rPr>
          <m:t>×</m:t>
        </m:r>
      </m:oMath>
      <w:r>
        <w:t xml:space="preserve">+ lower per-token cost.</w:t>
      </w:r>
    </w:p>
    <w:p>
      <w:pPr>
        <w:pStyle w:val="FirstParagraph"/>
      </w:pPr>
      <w:r>
        <w:rPr>
          <w:i/>
          <w:iCs/>
        </w:rPr>
        <w:t xml:space="preserve">May 2024 – May 2025</w:t>
      </w:r>
    </w:p>
    <w:p>
      <w:pPr>
        <w:pStyle w:val="BodyText"/>
      </w:pPr>
      <w:r>
        <w:rPr>
          <w:b/>
          <w:bCs/>
        </w:rPr>
        <w:t xml:space="preserve">LLM Training Data Specialist</w:t>
      </w:r>
      <w:r>
        <w:t xml:space="preserve"> </w:t>
      </w:r>
      <w:r>
        <w:rPr>
          <w:i/>
          <w:iCs/>
        </w:rPr>
        <w:t xml:space="preserve">(Contract), Outlier AI</w:t>
      </w:r>
    </w:p>
    <w:p>
      <w:pPr>
        <w:pStyle w:val="FirstParagraph"/>
        <w:numPr>
          <w:ilvl w:val="0"/>
          <w:numId w:val="1002"/>
        </w:numPr>
      </w:pPr>
      <w:r>
        <w:t xml:space="preserve">Wrote multi-step tool-use trajectories that teach models to chain actions from high-level user intent, plus ideal responses and preference rankings on expert computer science and ML tasks for frontier AI labs.</w:t>
      </w:r>
    </w:p>
    <w:p>
      <w:pPr>
        <w:pStyle w:val="FirstParagraph"/>
        <w:numPr>
          <w:ilvl w:val="0"/>
          <w:numId w:val="1002"/>
        </w:numPr>
      </w:pPr>
      <w:r>
        <w:t xml:space="preserve">Reviewed expert submissions and curated datasets, contributing to a 20% gain in model instruction adherence.</w:t>
      </w:r>
    </w:p>
    <w:p>
      <w:pPr>
        <w:pStyle w:val="FirstParagraph"/>
      </w:pPr>
      <w:r>
        <w:rPr>
          <w:i/>
          <w:iCs/>
        </w:rPr>
        <w:t xml:space="preserve">June 2021 – Aug 2023</w:t>
      </w:r>
    </w:p>
    <w:p>
      <w:pPr>
        <w:pStyle w:val="BodyText"/>
      </w:pPr>
      <w:r>
        <w:rPr>
          <w:b/>
          <w:bCs/>
        </w:rPr>
        <w:t xml:space="preserve">Data Scientist Intern</w:t>
      </w:r>
      <w:r>
        <w:t xml:space="preserve"> </w:t>
      </w:r>
      <w:r>
        <w:rPr>
          <w:i/>
          <w:iCs/>
        </w:rPr>
        <w:t xml:space="preserve">(Part-Time), University of Nottingham</w:t>
      </w:r>
    </w:p>
    <w:p>
      <w:pPr>
        <w:pStyle w:val="FirstParagraph"/>
        <w:numPr>
          <w:ilvl w:val="0"/>
          <w:numId w:val="1003"/>
        </w:numPr>
      </w:pPr>
      <w:r>
        <w:t xml:space="preserve">Built feature-extraction pipelines for clinical EEG and eye-tracking data (spectral power, coherence, gaze fixations).</w:t>
      </w:r>
    </w:p>
    <w:p>
      <w:pPr>
        <w:pStyle w:val="FirstParagraph"/>
        <w:numPr>
          <w:ilvl w:val="0"/>
          <w:numId w:val="1003"/>
        </w:numPr>
      </w:pPr>
      <w:r>
        <w:t xml:space="preserve">Trained diagnostic classifiers reaching 80% accuracy for Parkinson’s and 82% for schizophrenia from EEG, and 92% for autism by encoding gaze scanpaths as images for a transfer-learning vision model.</w:t>
      </w:r>
    </w:p>
    <w:p>
      <w:pPr>
        <w:pStyle w:val="Heading1"/>
      </w:pPr>
      <w:bookmarkStart w:id="15" w:name="_education"/>
      <w:r>
        <w:t xml:space="preserve">Education</w:t>
      </w:r>
      <w:bookmarkEnd w:id="15"/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Sept 2023 – Dec 2024</w:t>
      </w:r>
      <w:r>
        <w:t xml:space="preserve"> </w:t>
      </w:r>
      <w:r>
        <w:rPr>
          <w:i/>
          <w:iCs/>
        </w:rPr>
        <w:t xml:space="preserve">Sept 2020 – Aug 2023</w:t>
      </w:r>
    </w:p>
    <w:p>
      <w:pPr>
        <w:pStyle w:val="BodyText"/>
      </w:pPr>
      <w:r>
        <w:rPr>
          <w:b/>
          <w:bCs/>
        </w:rPr>
        <w:t xml:space="preserve">University of Nottingham</w:t>
      </w:r>
    </w:p>
    <w:p>
      <w:pPr>
        <w:pStyle w:val="BodyText"/>
      </w:pPr>
      <w:r>
        <w:rPr>
          <w:b/>
          <w:bCs/>
          <w:i/>
          <w:iCs/>
        </w:rPr>
        <w:t xml:space="preserve">MSc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-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Grade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Distinction</w:t>
      </w:r>
    </w:p>
    <w:p>
      <w:pPr>
        <w:pStyle w:val="BodyText"/>
      </w:pPr>
      <w:r>
        <w:rPr>
          <w:b/>
          <w:bCs/>
          <w:i/>
          <w:iCs/>
        </w:rPr>
        <w:t xml:space="preserve">BSc</w:t>
      </w:r>
      <w:r>
        <w:rPr>
          <w:i/>
          <w:iCs/>
        </w:rPr>
        <w:t xml:space="preserve"> </w:t>
      </w:r>
      <w:r>
        <w:rPr>
          <w:i/>
          <w:iCs/>
        </w:rPr>
        <w:t xml:space="preserve">Computer Science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(Hons)</w:t>
      </w:r>
    </w:p>
    <w:p>
      <w:pPr>
        <w:pStyle w:val="Heading1"/>
      </w:pPr>
      <w:bookmarkStart w:id="16" w:name="_e33b7c282bb0229284f82c0d22ab8a178422dae"/>
      <w:r>
        <w:t xml:space="preserve">Key Projects</w:t>
      </w:r>
      <w:bookmarkEnd w:id="16"/>
    </w:p>
    <w:p>
      <w:pPr>
        <w:pStyle w:val="FirstParagraph"/>
      </w:pPr>
      <w:r>
        <w:rPr>
          <w:b/>
          <w:bCs/>
        </w:rPr>
        <w:t xml:space="preserve">Sherlock-AI: Character Emulation with LLMs</w:t>
      </w:r>
      <w:r>
        <w:t xml:space="preserve"> </w:t>
      </w:r>
      <w:hyperlink r:id="rId17">
        <w:r>
          <w:rPr>
            <w:rStyle w:val="Hyperlink"/>
          </w:rPr>
          <w:t xml:space="preserve">Website</w:t>
        </w:r>
      </w:hyperlink>
      <w:r>
        <w:t xml:space="preserve"> </w:t>
      </w:r>
      <w:hyperlink r:id="rId18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4"/>
        </w:numPr>
      </w:pPr>
      <w:r>
        <w:t xml:space="preserve">Designed a reusable character-emulation pipeline that auto-extracts dialogue and generates synthetic training data from public-domain texts, used to fine-tune Llama 3.1 8B with QLoRA as Sherlock Holmes.</w:t>
      </w:r>
    </w:p>
    <w:p>
      <w:pPr>
        <w:pStyle w:val="FirstParagraph"/>
        <w:numPr>
          <w:ilvl w:val="0"/>
          <w:numId w:val="1004"/>
        </w:numPr>
      </w:pPr>
      <w:r>
        <w:t xml:space="preserve">In A/B testing, 72.4% of users preferred the fine-tuned model over the base model for character authenticity.</w:t>
      </w:r>
    </w:p>
    <w:p>
      <w:pPr>
        <w:pStyle w:val="FirstParagraph"/>
        <w:numPr>
          <w:ilvl w:val="0"/>
          <w:numId w:val="1004"/>
        </w:numPr>
      </w:pPr>
      <w:r>
        <w:t xml:space="preserve">Added ReAct-style deductive reasoning, served via OpenRouter API or local GGUF to trade off cost and latency.</w:t>
      </w:r>
    </w:p>
    <w:p>
      <w:pPr>
        <w:pStyle w:val="FirstParagraph"/>
        <w:numPr>
          <w:ilvl w:val="0"/>
          <w:numId w:val="1004"/>
        </w:numPr>
      </w:pPr>
      <w:r>
        <w:t xml:space="preserve">Created an interactive story mode where players shape branching mysteries through choices and free-form actions, with streamed structured output for real-time scene generation and auto-summarized context.</w:t>
      </w:r>
    </w:p>
    <w:p>
      <w:pPr>
        <w:pStyle w:val="FirstParagraph"/>
      </w:pPr>
      <w:r>
        <w:rPr>
          <w:b/>
          <w:bCs/>
        </w:rPr>
        <w:t xml:space="preserve">CourseCompanion: RAG-Powered Course Assistant</w:t>
      </w:r>
      <w:r>
        <w:t xml:space="preserve"> </w:t>
      </w:r>
      <w:hyperlink r:id="rId19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5"/>
        </w:numPr>
      </w:pPr>
      <w:r>
        <w:t xml:space="preserve">Built a platform for professors to spin up AI teaching assistants that answer student queries over knowledge bases auto-generated from course materials, using FAISS-backed RAG with LangChain, Flask and PostgreSQL.</w:t>
      </w:r>
    </w:p>
    <w:p>
      <w:pPr>
        <w:pStyle w:val="FirstParagraph"/>
      </w:pPr>
      <w:r>
        <w:rPr>
          <w:b/>
          <w:bCs/>
        </w:rPr>
        <w:t xml:space="preserve">DeepGaze: Autism Diagnosis with ML and Webcam Eye-Tracking</w:t>
      </w:r>
      <w:r>
        <w:t xml:space="preserve"> </w:t>
      </w:r>
      <w:hyperlink r:id="rId20">
        <w:r>
          <w:rPr>
            <w:rStyle w:val="Hyperlink"/>
          </w:rPr>
          <w:t xml:space="preserve">Demo Video</w:t>
        </w:r>
      </w:hyperlink>
      <w:r>
        <w:t xml:space="preserve"> </w:t>
      </w:r>
      <w:hyperlink r:id="rId21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6"/>
        </w:numPr>
      </w:pPr>
      <w:r>
        <w:t xml:space="preserve">Built a modular Flask web app for webcam-based eye-tracking data collection, visualization, real-time prediction, and model retraining, operationalizing the autism-detection method from my publication.</w:t>
      </w:r>
    </w:p>
    <w:p>
      <w:pPr>
        <w:pStyle w:val="Heading1"/>
      </w:pPr>
      <w:bookmarkStart w:id="22" w:name="_publication"/>
      <w:r>
        <w:t xml:space="preserve">Publication</w:t>
      </w:r>
      <w:bookmarkEnd w:id="22"/>
    </w:p>
    <w:p>
      <w:pPr>
        <w:pStyle w:val="FirstParagraph"/>
      </w:pPr>
      <w:r>
        <w:rPr>
          <w:b/>
          <w:bCs/>
        </w:rPr>
        <w:t xml:space="preserve">Mehmood, M.</w:t>
      </w:r>
      <w:r>
        <w:t xml:space="preserve">, Amin, H. U. (2024). Pre-diagnosis for Autism Spectrum Disorder Using Eye-Tracking and Machine Learning Techniques.</w:t>
      </w:r>
      <w:r>
        <w:t xml:space="preserve"> </w:t>
      </w:r>
      <w:r>
        <w:rPr>
          <w:i/>
          <w:iCs/>
        </w:rPr>
        <w:t xml:space="preserve">Advances in Brain Inspired Cognitive Systems</w:t>
      </w:r>
      <w:r>
        <w:t xml:space="preserve">, Springer Nature Singapore.</w:t>
      </w:r>
      <w:r>
        <w:t xml:space="preserve"> </w:t>
      </w:r>
      <w:hyperlink r:id="rId23"/>
    </w:p>
    <w:p>
      <w:pPr>
        <w:pStyle w:val="Heading1"/>
      </w:pPr>
      <w:bookmarkStart w:id="24" w:name="_74cbeae4f9bcf682d04a3a1ec3f8c226bc62f5b"/>
      <w:r>
        <w:t xml:space="preserve">Technical Skills</w:t>
      </w:r>
      <w:bookmarkEnd w:id="24"/>
    </w:p>
    <w:p>
      <w:pPr>
        <w:pStyle w:val="FirstParagraph"/>
      </w:pPr>
      <w:r>
        <w:rPr>
          <w:b/>
          <w:bCs/>
        </w:rPr>
        <w:t xml:space="preserve">LLMs &amp; Agents:</w:t>
      </w:r>
      <w:r>
        <w:t xml:space="preserve"> </w:t>
      </w:r>
      <w:r>
        <w:t xml:space="preserve">LangGraph, LangChain, Pydantic AI, Claude Agent SDK, Claude Code, MCP, tool calling, structured output, RAG (BM25, FAISS, Pinecone), OpenAI/Azure, Anthropic APIs, harness design, context engineering</w:t>
      </w:r>
    </w:p>
    <w:p>
      <w:pPr>
        <w:pStyle w:val="BodyText"/>
      </w:pPr>
      <w:r>
        <w:rPr>
          <w:b/>
          <w:bCs/>
        </w:rPr>
        <w:t xml:space="preserve">Training &amp; Evaluation:</w:t>
      </w:r>
      <w:r>
        <w:t xml:space="preserve"> </w:t>
      </w:r>
      <w:r>
        <w:t xml:space="preserve">PyTorch, Hugging Face (Transformers, trl, PEFT), Unsloth, bitsandbytes, QLoRA, SFT, DPO, synthetic data, LLM-as-judge evals, A/B testing, Langfuse, Weights &amp; Biases</w:t>
      </w:r>
    </w:p>
    <w:p>
      <w:pPr>
        <w:pStyle w:val="BodyText"/>
      </w:pPr>
      <w:r>
        <w:rPr>
          <w:b/>
          <w:bCs/>
        </w:rPr>
        <w:t xml:space="preserve">ML &amp; Data:</w:t>
      </w:r>
      <w:r>
        <w:t xml:space="preserve"> </w:t>
      </w:r>
      <w:r>
        <w:t xml:space="preserve">scikit-learn, TensorFlow/Keras, spaCy, Spark, vision (CNNs, transfer learning), speech (ASR, Coqui TTS)</w:t>
      </w:r>
    </w:p>
    <w:p>
      <w:pPr>
        <w:pStyle w:val="BodyText"/>
      </w:pPr>
      <w:r>
        <w:rPr>
          <w:b/>
          <w:bCs/>
        </w:rPr>
        <w:t xml:space="preserve">Languages &amp; Infra:</w:t>
      </w:r>
      <w:r>
        <w:t xml:space="preserve"> </w:t>
      </w:r>
      <w:r>
        <w:t xml:space="preserve">Python, SQL, TypeScript; AWS (SageMaker, Bedrock, Lambda, EC2), vLLM, llama.cpp, Ollama, OpenRouter, FastAPI, Flask, Next.js, Docker, Git/GitLab CI, PostgreSQL, MongoDB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2026-10-19T18:51:49Z</dcterms:created>
  <dcterms:modified xsi:type="dcterms:W3CDTF">2026-10-19T18:51:49Z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