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rFonts w:ascii="Arial" w:hAnsi="Arial"/>
          <w:b/>
          <w:color w:val="5B21B6"/>
          <w:sz w:val="68"/>
        </w:rPr>
        <w:t>RecruitFlow</w:t>
      </w:r>
    </w:p>
    <w:p>
      <w:pPr>
        <w:jc w:val="left"/>
      </w:pPr>
      <w:r>
        <w:rPr>
          <w:rFonts w:ascii="Arial" w:hAnsi="Arial"/>
          <w:b/>
          <w:color w:val="111827"/>
          <w:sz w:val="50"/>
        </w:rPr>
        <w:t>Technical &amp; Technology Guidelines</w:t>
      </w:r>
    </w:p>
    <w:p>
      <w:r>
        <w:rPr>
          <w:rFonts w:ascii="Arial" w:hAnsi="Arial"/>
          <w:color w:val="6B7280"/>
          <w:sz w:val="28"/>
        </w:rPr>
        <w:t>Architecture, Engineering Standards, Security, Data, DevOps, and Delivery</w:t>
      </w:r>
    </w:p>
    <w:tbl>
      <w:tblPr>
        <w:tblW w:type="auto" w:w="0"/>
        <w:tblLook w:firstColumn="1" w:firstRow="1" w:lastColumn="0" w:lastRow="0" w:noHBand="0" w:noVBand="1" w:val="04A0"/>
      </w:tblPr>
      <w:tblGrid>
        <w:gridCol w:w="9948"/>
      </w:tblGrid>
      <w:tr>
        <w:tc>
          <w:tcPr>
            <w:tcW w:type="dxa" w:w="9948"/>
            <w:shd w:fill="EDE9FE"/>
            <w:tcBorders>
              <w:top w:val="nil"/>
              <w:left w:val="single" w:sz="24" w:color="7C3AED"/>
              <w:bottom w:val="nil"/>
              <w:right w:val="nil"/>
            </w:tcBorders>
          </w:tcPr>
          <w:p>
            <w:r>
              <w:rPr>
                <w:rFonts w:ascii="Arial" w:hAnsi="Arial"/>
                <w:b/>
                <w:color w:val="5B21B6"/>
                <w:sz w:val="22"/>
              </w:rPr>
              <w:t>Approved baseline: React 19 + TypeScript, NestJS, PostgreSQL 18, private S3-compatible object storage, and a modular monolith with asynchronous workers.</w:t>
            </w:r>
          </w:p>
        </w:tc>
      </w:tr>
    </w:tbl>
    <w:p/>
    <w:p>
      <w:pPr>
        <w:jc w:val="center"/>
      </w:pPr>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logical_architecture.png"/>
                    <pic:cNvPicPr/>
                  </pic:nvPicPr>
                  <pic:blipFill>
                    <a:blip r:embed="rId11"/>
                    <a:stretch>
                      <a:fillRect/>
                    </a:stretch>
                  </pic:blipFill>
                  <pic:spPr>
                    <a:xfrm>
                      <a:off x="0" y="0"/>
                      <a:ext cx="6400800" cy="3733800"/>
                    </a:xfrm>
                    <a:prstGeom prst="rect"/>
                  </pic:spPr>
                </pic:pic>
              </a:graphicData>
            </a:graphic>
          </wp:inline>
        </w:drawing>
      </w:r>
    </w:p>
    <w:p>
      <w:pPr>
        <w:jc w:val="right"/>
      </w:pPr>
      <w:r>
        <w:rPr>
          <w:rFonts w:ascii="Arial" w:hAnsi="Arial"/>
          <w:b/>
          <w:color w:val="6B7280"/>
          <w:sz w:val="20"/>
        </w:rPr>
        <w:t>Version 1.0 Draft  |  06 August 2026</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880"/>
            <w:shd w:fill="5B21B6"/>
            <w:vAlign w:val="center"/>
          </w:tcPr>
          <w:p>
            <w:pPr>
              <w:jc w:val="left"/>
            </w:pPr>
            <w:r>
              <w:rPr>
                <w:rFonts w:ascii="Arial" w:hAnsi="Arial"/>
                <w:b/>
                <w:color w:val="FFFFFF"/>
                <w:sz w:val="16"/>
              </w:rPr>
              <w:t>Field</w:t>
            </w:r>
          </w:p>
        </w:tc>
        <w:tc>
          <w:tcPr>
            <w:tcW w:type="dxa" w:w="7056"/>
            <w:shd w:fill="5B21B6"/>
            <w:vAlign w:val="center"/>
          </w:tcPr>
          <w:p>
            <w:pPr>
              <w:jc w:val="left"/>
            </w:pPr>
            <w:r>
              <w:rPr>
                <w:rFonts w:ascii="Arial" w:hAnsi="Arial"/>
                <w:b/>
                <w:color w:val="FFFFFF"/>
                <w:sz w:val="16"/>
              </w:rPr>
              <w:t>Value</w:t>
            </w:r>
          </w:p>
        </w:tc>
      </w:tr>
      <w:tr>
        <w:trPr>
          <w:cantSplit/>
        </w:trPr>
        <w:tc>
          <w:tcPr>
            <w:tcW w:type="dxa" w:w="2880"/>
            <w:vAlign w:val="top"/>
          </w:tcPr>
          <w:p>
            <w:pPr>
              <w:spacing w:after="0"/>
            </w:pPr>
            <w:r>
              <w:rPr>
                <w:rFonts w:ascii="Arial" w:hAnsi="Arial"/>
                <w:color w:val="111827"/>
                <w:sz w:val="16"/>
              </w:rPr>
              <w:t>Document Code</w:t>
            </w:r>
          </w:p>
        </w:tc>
        <w:tc>
          <w:tcPr>
            <w:tcW w:type="dxa" w:w="7056"/>
            <w:vAlign w:val="top"/>
          </w:tcPr>
          <w:p>
            <w:pPr>
              <w:spacing w:after="0"/>
            </w:pPr>
            <w:r>
              <w:rPr>
                <w:rFonts w:ascii="Arial" w:hAnsi="Arial"/>
                <w:color w:val="111827"/>
                <w:sz w:val="16"/>
              </w:rPr>
              <w:t>RF-TTG-001</w:t>
            </w:r>
          </w:p>
        </w:tc>
      </w:tr>
      <w:tr>
        <w:trPr>
          <w:cantSplit/>
        </w:trPr>
        <w:tc>
          <w:tcPr>
            <w:tcW w:type="dxa" w:w="2880"/>
            <w:vAlign w:val="top"/>
            <w:shd w:fill="F9FAFB"/>
          </w:tcPr>
          <w:p>
            <w:pPr>
              <w:spacing w:after="0"/>
            </w:pPr>
            <w:r>
              <w:rPr>
                <w:rFonts w:ascii="Arial" w:hAnsi="Arial"/>
                <w:color w:val="111827"/>
                <w:sz w:val="16"/>
              </w:rPr>
              <w:t>Version</w:t>
            </w:r>
          </w:p>
        </w:tc>
        <w:tc>
          <w:tcPr>
            <w:tcW w:type="dxa" w:w="7056"/>
            <w:vAlign w:val="top"/>
            <w:shd w:fill="F9FAFB"/>
          </w:tcPr>
          <w:p>
            <w:pPr>
              <w:spacing w:after="0"/>
            </w:pPr>
            <w:r>
              <w:rPr>
                <w:rFonts w:ascii="Arial" w:hAnsi="Arial"/>
                <w:color w:val="111827"/>
                <w:sz w:val="16"/>
              </w:rPr>
              <w:t>1.0 Draft</w:t>
            </w:r>
          </w:p>
        </w:tc>
      </w:tr>
      <w:tr>
        <w:trPr>
          <w:cantSplit/>
        </w:trPr>
        <w:tc>
          <w:tcPr>
            <w:tcW w:type="dxa" w:w="2880"/>
            <w:vAlign w:val="top"/>
          </w:tcPr>
          <w:p>
            <w:pPr>
              <w:spacing w:after="0"/>
            </w:pPr>
            <w:r>
              <w:rPr>
                <w:rFonts w:ascii="Arial" w:hAnsi="Arial"/>
                <w:color w:val="111827"/>
                <w:sz w:val="16"/>
              </w:rPr>
              <w:t>Prepared Date</w:t>
            </w:r>
          </w:p>
        </w:tc>
        <w:tc>
          <w:tcPr>
            <w:tcW w:type="dxa" w:w="7056"/>
            <w:vAlign w:val="top"/>
          </w:tcPr>
          <w:p>
            <w:pPr>
              <w:spacing w:after="0"/>
            </w:pPr>
            <w:r>
              <w:rPr>
                <w:rFonts w:ascii="Arial" w:hAnsi="Arial"/>
                <w:color w:val="111827"/>
                <w:sz w:val="16"/>
              </w:rPr>
              <w:t>06 August 2026</w:t>
            </w:r>
          </w:p>
        </w:tc>
      </w:tr>
      <w:tr>
        <w:trPr>
          <w:cantSplit/>
        </w:trPr>
        <w:tc>
          <w:tcPr>
            <w:tcW w:type="dxa" w:w="2880"/>
            <w:vAlign w:val="top"/>
            <w:shd w:fill="F9FAFB"/>
          </w:tcPr>
          <w:p>
            <w:pPr>
              <w:spacing w:after="0"/>
            </w:pPr>
            <w:r>
              <w:rPr>
                <w:rFonts w:ascii="Arial" w:hAnsi="Arial"/>
                <w:color w:val="111827"/>
                <w:sz w:val="16"/>
              </w:rPr>
              <w:t>Language</w:t>
            </w:r>
          </w:p>
        </w:tc>
        <w:tc>
          <w:tcPr>
            <w:tcW w:type="dxa" w:w="7056"/>
            <w:vAlign w:val="top"/>
            <w:shd w:fill="F9FAFB"/>
          </w:tcPr>
          <w:p>
            <w:pPr>
              <w:spacing w:after="0"/>
            </w:pPr>
            <w:r>
              <w:rPr>
                <w:rFonts w:ascii="Arial" w:hAnsi="Arial"/>
                <w:color w:val="111827"/>
                <w:sz w:val="16"/>
              </w:rPr>
              <w:t>English</w:t>
            </w:r>
          </w:p>
        </w:tc>
      </w:tr>
      <w:tr>
        <w:trPr>
          <w:cantSplit/>
        </w:trPr>
        <w:tc>
          <w:tcPr>
            <w:tcW w:type="dxa" w:w="2880"/>
            <w:vAlign w:val="top"/>
          </w:tcPr>
          <w:p>
            <w:pPr>
              <w:spacing w:after="0"/>
            </w:pPr>
            <w:r>
              <w:rPr>
                <w:rFonts w:ascii="Arial" w:hAnsi="Arial"/>
                <w:color w:val="111827"/>
                <w:sz w:val="16"/>
              </w:rPr>
              <w:t>Classification</w:t>
            </w:r>
          </w:p>
        </w:tc>
        <w:tc>
          <w:tcPr>
            <w:tcW w:type="dxa" w:w="7056"/>
            <w:vAlign w:val="top"/>
          </w:tcPr>
          <w:p>
            <w:pPr>
              <w:spacing w:after="0"/>
            </w:pPr>
            <w:r>
              <w:rPr>
                <w:rFonts w:ascii="Arial" w:hAnsi="Arial"/>
                <w:color w:val="111827"/>
                <w:sz w:val="16"/>
              </w:rPr>
              <w:t>Confidential - Planning Draft</w:t>
            </w:r>
          </w:p>
        </w:tc>
      </w:tr>
      <w:tr>
        <w:trPr>
          <w:cantSplit/>
        </w:trPr>
        <w:tc>
          <w:tcPr>
            <w:tcW w:type="dxa" w:w="2880"/>
            <w:vAlign w:val="top"/>
            <w:shd w:fill="F9FAFB"/>
          </w:tcPr>
          <w:p>
            <w:pPr>
              <w:spacing w:after="0"/>
            </w:pPr>
            <w:r>
              <w:rPr>
                <w:rFonts w:ascii="Arial" w:hAnsi="Arial"/>
                <w:color w:val="111827"/>
                <w:sz w:val="16"/>
              </w:rPr>
              <w:t>Technology Baseline Date</w:t>
            </w:r>
          </w:p>
        </w:tc>
        <w:tc>
          <w:tcPr>
            <w:tcW w:type="dxa" w:w="7056"/>
            <w:vAlign w:val="top"/>
            <w:shd w:fill="F9FAFB"/>
          </w:tcPr>
          <w:p>
            <w:pPr>
              <w:spacing w:after="0"/>
            </w:pPr>
            <w:r>
              <w:rPr>
                <w:rFonts w:ascii="Arial" w:hAnsi="Arial"/>
                <w:color w:val="111827"/>
                <w:sz w:val="16"/>
              </w:rPr>
              <w:t>06 August 2026</w:t>
            </w:r>
          </w:p>
        </w:tc>
      </w:tr>
      <w:tr>
        <w:trPr>
          <w:cantSplit/>
        </w:trPr>
        <w:tc>
          <w:tcPr>
            <w:tcW w:type="dxa" w:w="2880"/>
            <w:vAlign w:val="top"/>
          </w:tcPr>
          <w:p>
            <w:pPr>
              <w:spacing w:after="0"/>
            </w:pPr>
            <w:r>
              <w:rPr>
                <w:rFonts w:ascii="Arial" w:hAnsi="Arial"/>
                <w:color w:val="111827"/>
                <w:sz w:val="16"/>
              </w:rPr>
              <w:t>Related Documents</w:t>
            </w:r>
          </w:p>
        </w:tc>
        <w:tc>
          <w:tcPr>
            <w:tcW w:type="dxa" w:w="7056"/>
            <w:vAlign w:val="top"/>
          </w:tcPr>
          <w:p>
            <w:pPr>
              <w:spacing w:after="0"/>
            </w:pPr>
            <w:r>
              <w:rPr>
                <w:rFonts w:ascii="Arial" w:hAnsi="Arial"/>
                <w:color w:val="111827"/>
                <w:sz w:val="16"/>
              </w:rPr>
              <w:t>RF-BRD-001, RF-WFM-001, RF-DDD-001, RF-SRS-001</w:t>
            </w:r>
          </w:p>
        </w:tc>
      </w:tr>
    </w:tbl>
    <w:p>
      <w:pPr>
        <w:spacing w:after="0"/>
      </w:pPr>
    </w:p>
    <w:p>
      <w:pPr>
        <w:pStyle w:val="Heading2"/>
      </w:pPr>
      <w:r>
        <w:t>Review and Approval</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232"/>
            <w:shd w:fill="5B21B6"/>
            <w:vAlign w:val="center"/>
          </w:tcPr>
          <w:p>
            <w:pPr>
              <w:jc w:val="left"/>
            </w:pPr>
            <w:r>
              <w:rPr>
                <w:rFonts w:ascii="Arial" w:hAnsi="Arial"/>
                <w:b/>
                <w:color w:val="FFFFFF"/>
                <w:sz w:val="15"/>
              </w:rPr>
              <w:t>Role</w:t>
            </w:r>
          </w:p>
        </w:tc>
        <w:tc>
          <w:tcPr>
            <w:tcW w:type="dxa" w:w="5328"/>
            <w:shd w:fill="5B21B6"/>
            <w:vAlign w:val="center"/>
          </w:tcPr>
          <w:p>
            <w:pPr>
              <w:jc w:val="left"/>
            </w:pPr>
            <w:r>
              <w:rPr>
                <w:rFonts w:ascii="Arial" w:hAnsi="Arial"/>
                <w:b/>
                <w:color w:val="FFFFFF"/>
                <w:sz w:val="15"/>
              </w:rPr>
              <w:t>Responsibility</w:t>
            </w:r>
          </w:p>
        </w:tc>
        <w:tc>
          <w:tcPr>
            <w:tcW w:type="dxa" w:w="2376"/>
            <w:shd w:fill="5B21B6"/>
            <w:vAlign w:val="center"/>
          </w:tcPr>
          <w:p>
            <w:pPr>
              <w:jc w:val="left"/>
            </w:pPr>
            <w:r>
              <w:rPr>
                <w:rFonts w:ascii="Arial" w:hAnsi="Arial"/>
                <w:b/>
                <w:color w:val="FFFFFF"/>
                <w:sz w:val="15"/>
              </w:rPr>
              <w:t>Status</w:t>
            </w:r>
          </w:p>
        </w:tc>
      </w:tr>
      <w:tr>
        <w:trPr>
          <w:cantSplit/>
        </w:trPr>
        <w:tc>
          <w:tcPr>
            <w:tcW w:type="dxa" w:w="2232"/>
            <w:vAlign w:val="top"/>
          </w:tcPr>
          <w:p>
            <w:pPr>
              <w:spacing w:after="0"/>
            </w:pPr>
            <w:r>
              <w:rPr>
                <w:rFonts w:ascii="Arial" w:hAnsi="Arial"/>
                <w:color w:val="111827"/>
                <w:sz w:val="15"/>
              </w:rPr>
              <w:t>Product / Business Owner</w:t>
            </w:r>
          </w:p>
        </w:tc>
        <w:tc>
          <w:tcPr>
            <w:tcW w:type="dxa" w:w="5328"/>
            <w:vAlign w:val="top"/>
          </w:tcPr>
          <w:p>
            <w:pPr>
              <w:spacing w:after="0"/>
            </w:pPr>
            <w:r>
              <w:rPr>
                <w:rFonts w:ascii="Arial" w:hAnsi="Arial"/>
                <w:color w:val="111827"/>
                <w:sz w:val="15"/>
              </w:rPr>
              <w:t>Approve scope, priorities, and business alignment</w:t>
            </w:r>
          </w:p>
        </w:tc>
        <w:tc>
          <w:tcPr>
            <w:tcW w:type="dxa" w:w="2376"/>
            <w:vAlign w:val="top"/>
          </w:tcPr>
          <w:p>
            <w:pPr>
              <w:spacing w:after="0"/>
            </w:pPr>
            <w:r>
              <w:rPr>
                <w:rFonts w:ascii="Arial" w:hAnsi="Arial"/>
                <w:color w:val="111827"/>
                <w:sz w:val="15"/>
              </w:rPr>
              <w:t>Pending</w:t>
            </w:r>
          </w:p>
        </w:tc>
      </w:tr>
      <w:tr>
        <w:trPr>
          <w:cantSplit/>
        </w:trPr>
        <w:tc>
          <w:tcPr>
            <w:tcW w:type="dxa" w:w="2232"/>
            <w:vAlign w:val="top"/>
            <w:shd w:fill="F9FAFB"/>
          </w:tcPr>
          <w:p>
            <w:pPr>
              <w:spacing w:after="0"/>
            </w:pPr>
            <w:r>
              <w:rPr>
                <w:rFonts w:ascii="Arial" w:hAnsi="Arial"/>
                <w:color w:val="111827"/>
                <w:sz w:val="15"/>
              </w:rPr>
              <w:t>Technical Lead / Architect</w:t>
            </w:r>
          </w:p>
        </w:tc>
        <w:tc>
          <w:tcPr>
            <w:tcW w:type="dxa" w:w="5328"/>
            <w:vAlign w:val="top"/>
            <w:shd w:fill="F9FAFB"/>
          </w:tcPr>
          <w:p>
            <w:pPr>
              <w:spacing w:after="0"/>
            </w:pPr>
            <w:r>
              <w:rPr>
                <w:rFonts w:ascii="Arial" w:hAnsi="Arial"/>
                <w:color w:val="111827"/>
                <w:sz w:val="15"/>
              </w:rPr>
              <w:t>Approve architecture and engineering standards</w:t>
            </w:r>
          </w:p>
        </w:tc>
        <w:tc>
          <w:tcPr>
            <w:tcW w:type="dxa" w:w="2376"/>
            <w:vAlign w:val="top"/>
            <w:shd w:fill="F9FAFB"/>
          </w:tcPr>
          <w:p>
            <w:pPr>
              <w:spacing w:after="0"/>
            </w:pPr>
            <w:r>
              <w:rPr>
                <w:rFonts w:ascii="Arial" w:hAnsi="Arial"/>
                <w:color w:val="111827"/>
                <w:sz w:val="15"/>
              </w:rPr>
              <w:t>Pending</w:t>
            </w:r>
          </w:p>
        </w:tc>
      </w:tr>
      <w:tr>
        <w:trPr>
          <w:cantSplit/>
        </w:trPr>
        <w:tc>
          <w:tcPr>
            <w:tcW w:type="dxa" w:w="2232"/>
            <w:vAlign w:val="top"/>
          </w:tcPr>
          <w:p>
            <w:pPr>
              <w:spacing w:after="0"/>
            </w:pPr>
            <w:r>
              <w:rPr>
                <w:rFonts w:ascii="Arial" w:hAnsi="Arial"/>
                <w:color w:val="111827"/>
                <w:sz w:val="15"/>
              </w:rPr>
              <w:t>Security Owner</w:t>
            </w:r>
          </w:p>
        </w:tc>
        <w:tc>
          <w:tcPr>
            <w:tcW w:type="dxa" w:w="5328"/>
            <w:vAlign w:val="top"/>
          </w:tcPr>
          <w:p>
            <w:pPr>
              <w:spacing w:after="0"/>
            </w:pPr>
            <w:r>
              <w:rPr>
                <w:rFonts w:ascii="Arial" w:hAnsi="Arial"/>
                <w:color w:val="111827"/>
                <w:sz w:val="15"/>
              </w:rPr>
              <w:t>Approve security, privacy, and access controls</w:t>
            </w:r>
          </w:p>
        </w:tc>
        <w:tc>
          <w:tcPr>
            <w:tcW w:type="dxa" w:w="2376"/>
            <w:vAlign w:val="top"/>
          </w:tcPr>
          <w:p>
            <w:pPr>
              <w:spacing w:after="0"/>
            </w:pPr>
            <w:r>
              <w:rPr>
                <w:rFonts w:ascii="Arial" w:hAnsi="Arial"/>
                <w:color w:val="111827"/>
                <w:sz w:val="15"/>
              </w:rPr>
              <w:t>Pending</w:t>
            </w:r>
          </w:p>
        </w:tc>
      </w:tr>
      <w:tr>
        <w:trPr>
          <w:cantSplit/>
        </w:trPr>
        <w:tc>
          <w:tcPr>
            <w:tcW w:type="dxa" w:w="2232"/>
            <w:vAlign w:val="top"/>
            <w:shd w:fill="F9FAFB"/>
          </w:tcPr>
          <w:p>
            <w:pPr>
              <w:spacing w:after="0"/>
            </w:pPr>
            <w:r>
              <w:rPr>
                <w:rFonts w:ascii="Arial" w:hAnsi="Arial"/>
                <w:color w:val="111827"/>
                <w:sz w:val="15"/>
              </w:rPr>
              <w:t>DevOps Owner</w:t>
            </w:r>
          </w:p>
        </w:tc>
        <w:tc>
          <w:tcPr>
            <w:tcW w:type="dxa" w:w="5328"/>
            <w:vAlign w:val="top"/>
            <w:shd w:fill="F9FAFB"/>
          </w:tcPr>
          <w:p>
            <w:pPr>
              <w:spacing w:after="0"/>
            </w:pPr>
            <w:r>
              <w:rPr>
                <w:rFonts w:ascii="Arial" w:hAnsi="Arial"/>
                <w:color w:val="111827"/>
                <w:sz w:val="15"/>
              </w:rPr>
              <w:t>Approve environments, deployment, backup, and monitoring</w:t>
            </w:r>
          </w:p>
        </w:tc>
        <w:tc>
          <w:tcPr>
            <w:tcW w:type="dxa" w:w="2376"/>
            <w:vAlign w:val="top"/>
            <w:shd w:fill="F9FAFB"/>
          </w:tcPr>
          <w:p>
            <w:pPr>
              <w:spacing w:after="0"/>
            </w:pPr>
            <w:r>
              <w:rPr>
                <w:rFonts w:ascii="Arial" w:hAnsi="Arial"/>
                <w:color w:val="111827"/>
                <w:sz w:val="15"/>
              </w:rPr>
              <w:t>Pending</w:t>
            </w:r>
          </w:p>
        </w:tc>
      </w:tr>
      <w:tr>
        <w:trPr>
          <w:cantSplit/>
        </w:trPr>
        <w:tc>
          <w:tcPr>
            <w:tcW w:type="dxa" w:w="2232"/>
            <w:vAlign w:val="top"/>
          </w:tcPr>
          <w:p>
            <w:pPr>
              <w:spacing w:after="0"/>
            </w:pPr>
            <w:r>
              <w:rPr>
                <w:rFonts w:ascii="Arial" w:hAnsi="Arial"/>
                <w:color w:val="111827"/>
                <w:sz w:val="15"/>
              </w:rPr>
              <w:t>QA Lead</w:t>
            </w:r>
          </w:p>
        </w:tc>
        <w:tc>
          <w:tcPr>
            <w:tcW w:type="dxa" w:w="5328"/>
            <w:vAlign w:val="top"/>
          </w:tcPr>
          <w:p>
            <w:pPr>
              <w:spacing w:after="0"/>
            </w:pPr>
            <w:r>
              <w:rPr>
                <w:rFonts w:ascii="Arial" w:hAnsi="Arial"/>
                <w:color w:val="111827"/>
                <w:sz w:val="15"/>
              </w:rPr>
              <w:t>Approve testing strategy and quality gates</w:t>
            </w:r>
          </w:p>
        </w:tc>
        <w:tc>
          <w:tcPr>
            <w:tcW w:type="dxa" w:w="2376"/>
            <w:vAlign w:val="top"/>
          </w:tcPr>
          <w:p>
            <w:pPr>
              <w:spacing w:after="0"/>
            </w:pPr>
            <w:r>
              <w:rPr>
                <w:rFonts w:ascii="Arial" w:hAnsi="Arial"/>
                <w:color w:val="111827"/>
                <w:sz w:val="15"/>
              </w:rPr>
              <w:t>Pending</w:t>
            </w:r>
          </w:p>
        </w:tc>
      </w:tr>
    </w:tbl>
    <w:p>
      <w:pPr>
        <w:spacing w:after="0"/>
      </w:pPr>
    </w:p>
    <w:p>
      <w:pPr>
        <w:pStyle w:val="Heading2"/>
      </w:pPr>
      <w:r>
        <w:t>Revision History</w:t>
      </w:r>
    </w:p>
    <w:tbl>
      <w:tblPr>
        <w:tblStyle w:val="TableGrid"/>
        <w:tblW w:type="auto" w:w="0"/>
        <w:jc w:val="center"/>
        <w:tblLayout w:type="fixed"/>
        <w:tblLook w:firstColumn="1" w:firstRow="1" w:lastColumn="0" w:lastRow="0" w:noHBand="0" w:noVBand="1" w:val="04A0"/>
      </w:tblPr>
      <w:tblGrid>
        <w:gridCol w:w="2487"/>
        <w:gridCol w:w="2487"/>
        <w:gridCol w:w="2487"/>
        <w:gridCol w:w="2487"/>
      </w:tblGrid>
      <w:tr>
        <w:trPr>
          <w:tblHeader w:val="true"/>
          <w:cantSplit/>
        </w:trPr>
        <w:tc>
          <w:tcPr>
            <w:tcW w:type="dxa" w:w="1440"/>
            <w:shd w:fill="5B21B6"/>
            <w:vAlign w:val="center"/>
          </w:tcPr>
          <w:p>
            <w:pPr>
              <w:jc w:val="left"/>
            </w:pPr>
            <w:r>
              <w:rPr>
                <w:rFonts w:ascii="Arial" w:hAnsi="Arial"/>
                <w:b/>
                <w:color w:val="FFFFFF"/>
                <w:sz w:val="15"/>
              </w:rPr>
              <w:t>Version</w:t>
            </w:r>
          </w:p>
        </w:tc>
        <w:tc>
          <w:tcPr>
            <w:tcW w:type="dxa" w:w="1800"/>
            <w:shd w:fill="5B21B6"/>
            <w:vAlign w:val="center"/>
          </w:tcPr>
          <w:p>
            <w:pPr>
              <w:jc w:val="left"/>
            </w:pPr>
            <w:r>
              <w:rPr>
                <w:rFonts w:ascii="Arial" w:hAnsi="Arial"/>
                <w:b/>
                <w:color w:val="FFFFFF"/>
                <w:sz w:val="15"/>
              </w:rPr>
              <w:t>Date</w:t>
            </w:r>
          </w:p>
        </w:tc>
        <w:tc>
          <w:tcPr>
            <w:tcW w:type="dxa" w:w="5040"/>
            <w:shd w:fill="5B21B6"/>
            <w:vAlign w:val="center"/>
          </w:tcPr>
          <w:p>
            <w:pPr>
              <w:jc w:val="left"/>
            </w:pPr>
            <w:r>
              <w:rPr>
                <w:rFonts w:ascii="Arial" w:hAnsi="Arial"/>
                <w:b/>
                <w:color w:val="FFFFFF"/>
                <w:sz w:val="15"/>
              </w:rPr>
              <w:t>Change Summary</w:t>
            </w:r>
          </w:p>
        </w:tc>
        <w:tc>
          <w:tcPr>
            <w:tcW w:type="dxa" w:w="1728"/>
            <w:shd w:fill="5B21B6"/>
            <w:vAlign w:val="center"/>
          </w:tcPr>
          <w:p>
            <w:pPr>
              <w:jc w:val="left"/>
            </w:pPr>
            <w:r>
              <w:rPr>
                <w:rFonts w:ascii="Arial" w:hAnsi="Arial"/>
                <w:b/>
                <w:color w:val="FFFFFF"/>
                <w:sz w:val="15"/>
              </w:rPr>
              <w:t>Author</w:t>
            </w:r>
          </w:p>
        </w:tc>
      </w:tr>
      <w:tr>
        <w:trPr>
          <w:cantSplit/>
        </w:trPr>
        <w:tc>
          <w:tcPr>
            <w:tcW w:type="dxa" w:w="1440"/>
            <w:vAlign w:val="top"/>
          </w:tcPr>
          <w:p>
            <w:pPr>
              <w:spacing w:after="0"/>
            </w:pPr>
            <w:r>
              <w:rPr>
                <w:rFonts w:ascii="Arial" w:hAnsi="Arial"/>
                <w:color w:val="111827"/>
                <w:sz w:val="15"/>
              </w:rPr>
              <w:t>1.0 Draft</w:t>
            </w:r>
          </w:p>
        </w:tc>
        <w:tc>
          <w:tcPr>
            <w:tcW w:type="dxa" w:w="1800"/>
            <w:vAlign w:val="top"/>
          </w:tcPr>
          <w:p>
            <w:pPr>
              <w:spacing w:after="0"/>
            </w:pPr>
            <w:r>
              <w:rPr>
                <w:rFonts w:ascii="Arial" w:hAnsi="Arial"/>
                <w:color w:val="111827"/>
                <w:sz w:val="15"/>
              </w:rPr>
              <w:t>06 August 2026</w:t>
            </w:r>
          </w:p>
        </w:tc>
        <w:tc>
          <w:tcPr>
            <w:tcW w:type="dxa" w:w="5040"/>
            <w:vAlign w:val="top"/>
          </w:tcPr>
          <w:p>
            <w:pPr>
              <w:spacing w:after="0"/>
            </w:pPr>
            <w:r>
              <w:rPr>
                <w:rFonts w:ascii="Arial" w:hAnsi="Arial"/>
                <w:color w:val="111827"/>
                <w:sz w:val="15"/>
              </w:rPr>
              <w:t>Initial full-English technology and engineering baseline for RecruitFlow.</w:t>
            </w:r>
          </w:p>
        </w:tc>
        <w:tc>
          <w:tcPr>
            <w:tcW w:type="dxa" w:w="1728"/>
            <w:vAlign w:val="top"/>
          </w:tcPr>
          <w:p>
            <w:pPr>
              <w:spacing w:after="0"/>
            </w:pPr>
            <w:r>
              <w:rPr>
                <w:rFonts w:ascii="Arial" w:hAnsi="Arial"/>
                <w:color w:val="111827"/>
                <w:sz w:val="15"/>
              </w:rPr>
              <w:t>OpenAI / Project Team</w:t>
            </w:r>
          </w:p>
        </w:tc>
      </w:tr>
    </w:tbl>
    <w:p>
      <w:pPr>
        <w:spacing w:after="0"/>
      </w:pPr>
    </w:p>
    <w:p>
      <w:pPr>
        <w:pStyle w:val="Heading1"/>
      </w:pPr>
      <w:r>
        <w:t>Contents</w:t>
      </w:r>
    </w:p>
    <w:p>
      <w:r>
        <w:rPr>
          <w:rFonts w:ascii="Arial" w:hAnsi="Arial"/>
        </w:rPr>
        <w:t>1. Executive Technology Decision</w:t>
      </w:r>
    </w:p>
    <w:p>
      <w:r>
        <w:rPr>
          <w:rFonts w:ascii="Arial" w:hAnsi="Arial"/>
        </w:rPr>
        <w:t>2. Scope, Audience, and Requirement Language</w:t>
      </w:r>
    </w:p>
    <w:p>
      <w:r>
        <w:rPr>
          <w:rFonts w:ascii="Arial" w:hAnsi="Arial"/>
        </w:rPr>
        <w:t>3. Architecture Principles</w:t>
      </w:r>
    </w:p>
    <w:p>
      <w:r>
        <w:rPr>
          <w:rFonts w:ascii="Arial" w:hAnsi="Arial"/>
        </w:rPr>
        <w:t>4. Approved Technology Stack</w:t>
      </w:r>
    </w:p>
    <w:p>
      <w:r>
        <w:rPr>
          <w:rFonts w:ascii="Arial" w:hAnsi="Arial"/>
        </w:rPr>
        <w:t>5. Logical Architecture and Module Boundaries</w:t>
      </w:r>
    </w:p>
    <w:p>
      <w:r>
        <w:rPr>
          <w:rFonts w:ascii="Arial" w:hAnsi="Arial"/>
        </w:rPr>
        <w:t>6. Repository and Project Structure</w:t>
      </w:r>
    </w:p>
    <w:p>
      <w:r>
        <w:rPr>
          <w:rFonts w:ascii="Arial" w:hAnsi="Arial"/>
        </w:rPr>
        <w:t>7. Frontend Engineering Guidelines</w:t>
      </w:r>
    </w:p>
    <w:p>
      <w:r>
        <w:rPr>
          <w:rFonts w:ascii="Arial" w:hAnsi="Arial"/>
        </w:rPr>
        <w:t>8. Backend Engineering Guidelines</w:t>
      </w:r>
    </w:p>
    <w:p>
      <w:r>
        <w:rPr>
          <w:rFonts w:ascii="Arial" w:hAnsi="Arial"/>
        </w:rPr>
        <w:t>9. API Design Standards</w:t>
      </w:r>
    </w:p>
    <w:p>
      <w:r>
        <w:rPr>
          <w:rFonts w:ascii="Arial" w:hAnsi="Arial"/>
        </w:rPr>
        <w:t>10. PostgreSQL and Data Engineering Guidelines</w:t>
      </w:r>
    </w:p>
    <w:p>
      <w:r>
        <w:rPr>
          <w:rFonts w:ascii="Arial" w:hAnsi="Arial"/>
        </w:rPr>
        <w:t>11. File and Object Storage Guidelines</w:t>
      </w:r>
    </w:p>
    <w:p>
      <w:r>
        <w:rPr>
          <w:rFonts w:ascii="Arial" w:hAnsi="Arial"/>
        </w:rPr>
        <w:t>12. CV Processing and Document Automation</w:t>
      </w:r>
    </w:p>
    <w:p>
      <w:r>
        <w:rPr>
          <w:rFonts w:ascii="Arial" w:hAnsi="Arial"/>
        </w:rPr>
        <w:t>13. Authentication and Authorization</w:t>
      </w:r>
    </w:p>
    <w:p>
      <w:r>
        <w:rPr>
          <w:rFonts w:ascii="Arial" w:hAnsi="Arial"/>
        </w:rPr>
        <w:t>14. Security and Privacy Engineering</w:t>
      </w:r>
    </w:p>
    <w:p>
      <w:r>
        <w:rPr>
          <w:rFonts w:ascii="Arial" w:hAnsi="Arial"/>
        </w:rPr>
        <w:t>15. Background Jobs and Domain Events</w:t>
      </w:r>
    </w:p>
    <w:p>
      <w:r>
        <w:rPr>
          <w:rFonts w:ascii="Arial" w:hAnsi="Arial"/>
        </w:rPr>
        <w:t>16. Integrations and External Services</w:t>
      </w:r>
    </w:p>
    <w:p>
      <w:r>
        <w:rPr>
          <w:rFonts w:ascii="Arial" w:hAnsi="Arial"/>
        </w:rPr>
        <w:t>17. Search, Reporting, and Analytics</w:t>
      </w:r>
    </w:p>
    <w:p>
      <w:r>
        <w:rPr>
          <w:rFonts w:ascii="Arial" w:hAnsi="Arial"/>
        </w:rPr>
        <w:t>18. Observability, Logging, and Audit</w:t>
      </w:r>
    </w:p>
    <w:p>
      <w:r>
        <w:rPr>
          <w:rFonts w:ascii="Arial" w:hAnsi="Arial"/>
        </w:rPr>
        <w:t>19. Testing and Quality Strategy</w:t>
      </w:r>
    </w:p>
    <w:p>
      <w:r>
        <w:rPr>
          <w:rFonts w:ascii="Arial" w:hAnsi="Arial"/>
        </w:rPr>
        <w:t>20. DevOps, Environments, and CI/CD</w:t>
      </w:r>
    </w:p>
    <w:p>
      <w:r>
        <w:rPr>
          <w:rFonts w:ascii="Arial" w:hAnsi="Arial"/>
        </w:rPr>
        <w:t>21. Backup, Disaster Recovery, and Retention</w:t>
      </w:r>
    </w:p>
    <w:p>
      <w:r>
        <w:rPr>
          <w:rFonts w:ascii="Arial" w:hAnsi="Arial"/>
        </w:rPr>
        <w:t>22. Performance, Capacity, and Scalability</w:t>
      </w:r>
    </w:p>
    <w:p>
      <w:r>
        <w:rPr>
          <w:rFonts w:ascii="Arial" w:hAnsi="Arial"/>
        </w:rPr>
        <w:t>23. Coding Standards and Git Workflow</w:t>
      </w:r>
    </w:p>
    <w:p>
      <w:r>
        <w:rPr>
          <w:rFonts w:ascii="Arial" w:hAnsi="Arial"/>
        </w:rPr>
        <w:t>24. Definition of Done and Release Gates</w:t>
      </w:r>
    </w:p>
    <w:p>
      <w:r>
        <w:rPr>
          <w:rFonts w:ascii="Arial" w:hAnsi="Arial"/>
        </w:rPr>
        <w:t>25. Prohibited Practices and Anti-Patterns</w:t>
      </w:r>
    </w:p>
    <w:p>
      <w:r>
        <w:rPr>
          <w:rFonts w:ascii="Arial" w:hAnsi="Arial"/>
        </w:rPr>
        <w:t>26. Adoption Roadmap</w:t>
      </w:r>
    </w:p>
    <w:p>
      <w:r>
        <w:rPr>
          <w:rFonts w:ascii="Arial" w:hAnsi="Arial"/>
        </w:rPr>
        <w:t>27. Technology Reference Sources</w:t>
      </w:r>
    </w:p>
    <w:p>
      <w:pPr>
        <w:pStyle w:val="Heading2"/>
      </w:pPr>
      <w:r>
        <w:t>How to Use This Document</w:t>
      </w:r>
    </w:p>
    <w:p>
      <w:pPr>
        <w:pStyle w:val="ListBullet"/>
      </w:pPr>
      <w:r>
        <w:rPr>
          <w:rFonts w:ascii="Arial" w:hAnsi="Arial"/>
        </w:rPr>
        <w:t>Use Section 4 as the approved stack baseline when creating repositories, infrastructure requests, and estimates.</w:t>
      </w:r>
    </w:p>
    <w:p>
      <w:pPr>
        <w:pStyle w:val="ListBullet"/>
      </w:pPr>
      <w:r>
        <w:rPr>
          <w:rFonts w:ascii="Arial" w:hAnsi="Arial"/>
        </w:rPr>
        <w:t>Use Sections 5 through 18 during solution design and code review.</w:t>
      </w:r>
    </w:p>
    <w:p>
      <w:pPr>
        <w:pStyle w:val="ListBullet"/>
      </w:pPr>
      <w:r>
        <w:rPr>
          <w:rFonts w:ascii="Arial" w:hAnsi="Arial"/>
        </w:rPr>
        <w:t>Use Sections 19 through 24 as quality, deployment, and release gates.</w:t>
      </w:r>
    </w:p>
    <w:p>
      <w:pPr>
        <w:pStyle w:val="ListBullet"/>
      </w:pPr>
      <w:r>
        <w:rPr>
          <w:rFonts w:ascii="Arial" w:hAnsi="Arial"/>
        </w:rPr>
        <w:t>Record every approved deviation in an ADR and update this document when the deviation becomes a permanent standard.</w:t>
      </w:r>
    </w:p>
    <w:p>
      <w:pPr>
        <w:pStyle w:val="ListBullet"/>
      </w:pPr>
      <w:r>
        <w:rPr>
          <w:rFonts w:ascii="Arial" w:hAnsi="Arial"/>
        </w:rPr>
        <w:t>Revalidate versions, security advisories, provider support, and managed-service availability at project bootstrap.</w:t>
      </w:r>
    </w:p>
    <w:tbl>
      <w:tblPr>
        <w:tblW w:type="auto" w:w="0"/>
        <w:jc w:val="center"/>
        <w:tblLayout w:type="autofit"/>
        <w:tblLook w:firstColumn="1" w:firstRow="1" w:lastColumn="0" w:lastRow="0" w:noHBand="0" w:noVBand="1" w:val="04A0"/>
      </w:tblPr>
      <w:tblGrid>
        <w:gridCol w:w="9948"/>
      </w:tblGrid>
      <w:tr>
        <w:tc>
          <w:tcPr>
            <w:tcW w:type="dxa" w:w="9948"/>
            <w:shd w:fill="DBEAFE"/>
            <w:tcBorders>
              <w:top w:val="single" w:sz="10" w:color="2563EB"/>
              <w:left w:val="single" w:sz="18" w:color="2563EB"/>
              <w:bottom w:val="single" w:sz="10" w:color="2563EB"/>
              <w:right w:val="single" w:sz="10" w:color="2563EB"/>
            </w:tcBorders>
          </w:tcPr>
          <w:p>
            <w:pPr>
              <w:spacing w:after="40"/>
            </w:pPr>
            <w:r>
              <w:rPr>
                <w:rFonts w:ascii="Arial" w:hAnsi="Arial"/>
                <w:b/>
                <w:color w:val="2563EB"/>
                <w:sz w:val="19"/>
              </w:rPr>
              <w:t>Planning pack relationship</w:t>
            </w:r>
          </w:p>
          <w:p>
            <w:pPr>
              <w:spacing w:after="40"/>
            </w:pPr>
            <w:r>
              <w:rPr>
                <w:rFonts w:ascii="Arial" w:hAnsi="Arial"/>
                <w:sz w:val="17"/>
              </w:rPr>
              <w:t>The BRD defines what the system must achieve; the Workflow Matrix defines state movement; the Data Dictionary defines information structure; the Screen Requirements define user interaction; this document defines how the solution is engineered and operated.</w:t>
            </w:r>
          </w:p>
        </w:tc>
      </w:tr>
    </w:tbl>
    <w:p>
      <w:pPr>
        <w:spacing w:after="0"/>
      </w:pPr>
    </w:p>
    <w:p>
      <w:r>
        <w:br w:type="page"/>
      </w:r>
    </w:p>
    <w:p>
      <w:pPr>
        <w:pStyle w:val="Heading1"/>
      </w:pPr>
      <w:r>
        <w:t>1. Executive Technology Decision</w:t>
      </w:r>
    </w:p>
    <w:p>
      <w:pPr>
        <w:spacing w:after="120"/>
      </w:pPr>
      <w:r>
        <w:rPr>
          <w:rFonts w:ascii="Arial" w:hAnsi="Arial"/>
          <w:i/>
          <w:color w:val="6B7280"/>
          <w:sz w:val="18"/>
        </w:rPr>
        <w:t>This section records the approved technical direction so that future design and implementation decisions remain consistent across teams.</w:t>
      </w:r>
    </w:p>
    <w:tbl>
      <w:tblPr>
        <w:tblW w:type="auto" w:w="0"/>
        <w:jc w:val="center"/>
        <w:tblLayout w:type="autofit"/>
        <w:tblLook w:firstColumn="1" w:firstRow="1" w:lastColumn="0" w:lastRow="0" w:noHBand="0" w:noVBand="1" w:val="04A0"/>
      </w:tblPr>
      <w:tblGrid>
        <w:gridCol w:w="9948"/>
      </w:tblGrid>
      <w:tr>
        <w:tc>
          <w:tcPr>
            <w:tcW w:type="dxa" w:w="9948"/>
            <w:shd w:fill="EDE9FE"/>
            <w:tcBorders>
              <w:top w:val="single" w:sz="10" w:color="7C3AED"/>
              <w:left w:val="single" w:sz="18" w:color="7C3AED"/>
              <w:bottom w:val="single" w:sz="10" w:color="7C3AED"/>
              <w:right w:val="single" w:sz="10" w:color="7C3AED"/>
            </w:tcBorders>
          </w:tcPr>
          <w:p>
            <w:pPr>
              <w:spacing w:after="40"/>
            </w:pPr>
            <w:r>
              <w:rPr>
                <w:rFonts w:ascii="Arial" w:hAnsi="Arial"/>
                <w:b/>
                <w:color w:val="7C3AED"/>
                <w:sz w:val="19"/>
              </w:rPr>
              <w:t>Final database decision</w:t>
            </w:r>
          </w:p>
          <w:p>
            <w:pPr>
              <w:spacing w:after="40"/>
            </w:pPr>
            <w:r>
              <w:rPr>
                <w:rFonts w:ascii="Arial" w:hAnsi="Arial"/>
                <w:sz w:val="17"/>
              </w:rPr>
              <w:t>RecruitFlow SHALL use PostgreSQL as the primary system of record. NoSQL and JSON files SHALL NOT be used as the main transactional database. PostgreSQL JSONB MAY be used for flexible or integration-specific payloads that do not replace the normalized relational core.</w:t>
            </w:r>
          </w:p>
        </w:tc>
      </w:tr>
    </w:tbl>
    <w:p>
      <w:pPr>
        <w:spacing w:after="0"/>
      </w:pPr>
    </w:p>
    <w:tbl>
      <w:tblPr>
        <w:tblW w:type="auto" w:w="0"/>
        <w:jc w:val="center"/>
        <w:tblLayout w:type="autofit"/>
        <w:tblLook w:firstColumn="1" w:firstRow="1" w:lastColumn="0" w:lastRow="0" w:noHBand="0" w:noVBand="1" w:val="04A0"/>
      </w:tblPr>
      <w:tblGrid>
        <w:gridCol w:w="9948"/>
      </w:tblGrid>
      <w:tr>
        <w:tc>
          <w:tcPr>
            <w:tcW w:type="dxa" w:w="9948"/>
            <w:shd w:fill="EDE9FE"/>
            <w:tcBorders>
              <w:top w:val="single" w:sz="10" w:color="7C3AED"/>
              <w:left w:val="single" w:sz="18" w:color="7C3AED"/>
              <w:bottom w:val="single" w:sz="10" w:color="7C3AED"/>
              <w:right w:val="single" w:sz="10" w:color="7C3AED"/>
            </w:tcBorders>
          </w:tcPr>
          <w:p>
            <w:pPr>
              <w:spacing w:after="40"/>
            </w:pPr>
            <w:r>
              <w:rPr>
                <w:rFonts w:ascii="Arial" w:hAnsi="Arial"/>
                <w:b/>
                <w:color w:val="7C3AED"/>
                <w:sz w:val="19"/>
              </w:rPr>
              <w:t>Final file-storage decision</w:t>
            </w:r>
          </w:p>
          <w:p>
            <w:pPr>
              <w:spacing w:after="40"/>
            </w:pPr>
            <w:r>
              <w:rPr>
                <w:rFonts w:ascii="Arial" w:hAnsi="Arial"/>
                <w:sz w:val="17"/>
              </w:rPr>
              <w:t>CVs, offer files, licenses, contracts, and candidate documents SHALL be stored as private objects in S3-compatible object storage. PostgreSQL stores metadata, relationships, hashes, statuses, retention information, and audit references - not the binary file content.</w:t>
            </w:r>
          </w:p>
        </w:tc>
      </w:tr>
    </w:tbl>
    <w:p>
      <w:pPr>
        <w:spacing w:after="0"/>
      </w:pPr>
    </w:p>
    <w:p>
      <w:r>
        <w:rPr>
          <w:rFonts w:ascii="Arial" w:hAnsi="Arial"/>
        </w:rPr>
        <w:t>The initial architecture SHALL be a modular monolith: one deployable API application with clearly separated business modules, plus one or more background worker processes. This approach preserves transactional consistency and delivery speed while keeping a controlled path to future service extraction.</w:t>
      </w:r>
    </w:p>
    <w:p>
      <w:pPr>
        <w:pStyle w:val="ListBullet"/>
      </w:pPr>
      <w:r>
        <w:rPr>
          <w:rFonts w:ascii="Arial" w:hAnsi="Arial"/>
          <w:b/>
        </w:rPr>
        <w:t xml:space="preserve">Production runtime: </w:t>
      </w:r>
      <w:r>
        <w:rPr>
          <w:rFonts w:ascii="Arial" w:hAnsi="Arial"/>
        </w:rPr>
        <w:t>Node.js 24 LTS. Current non-LTS Node.js releases are not approved for production.</w:t>
      </w:r>
    </w:p>
    <w:p>
      <w:pPr>
        <w:pStyle w:val="ListBullet"/>
      </w:pPr>
      <w:r>
        <w:rPr>
          <w:rFonts w:ascii="Arial" w:hAnsi="Arial"/>
          <w:b/>
        </w:rPr>
        <w:t xml:space="preserve">Frontend: </w:t>
      </w:r>
      <w:r>
        <w:rPr>
          <w:rFonts w:ascii="Arial" w:hAnsi="Arial"/>
        </w:rPr>
        <w:t>React 19.2 or later stable React 19 release, TypeScript, and Vite.</w:t>
      </w:r>
    </w:p>
    <w:p>
      <w:pPr>
        <w:pStyle w:val="ListBullet"/>
      </w:pPr>
      <w:r>
        <w:rPr>
          <w:rFonts w:ascii="Arial" w:hAnsi="Arial"/>
          <w:b/>
        </w:rPr>
        <w:t xml:space="preserve">Backend: </w:t>
      </w:r>
      <w:r>
        <w:rPr>
          <w:rFonts w:ascii="Arial" w:hAnsi="Arial"/>
        </w:rPr>
        <w:t>NestJS on Node.js, using the Express platform adapter unless a measured requirement justifies Fastify.</w:t>
      </w:r>
    </w:p>
    <w:p>
      <w:pPr>
        <w:pStyle w:val="ListBullet"/>
      </w:pPr>
      <w:r>
        <w:rPr>
          <w:rFonts w:ascii="Arial" w:hAnsi="Arial"/>
          <w:b/>
        </w:rPr>
        <w:t xml:space="preserve">Data: </w:t>
      </w:r>
      <w:r>
        <w:rPr>
          <w:rFonts w:ascii="Arial" w:hAnsi="Arial"/>
        </w:rPr>
        <w:t>PostgreSQL 18, Prisma ORM for most transactional access, and reviewed SQL for complex reports or performance-critical queries.</w:t>
      </w:r>
    </w:p>
    <w:p>
      <w:pPr>
        <w:pStyle w:val="ListBullet"/>
      </w:pPr>
      <w:r>
        <w:rPr>
          <w:rFonts w:ascii="Arial" w:hAnsi="Arial"/>
          <w:b/>
        </w:rPr>
        <w:t xml:space="preserve">Files: </w:t>
      </w:r>
      <w:r>
        <w:rPr>
          <w:rFonts w:ascii="Arial" w:hAnsi="Arial"/>
        </w:rPr>
        <w:t>Private S3-compatible object storage; MinIO is acceptable for local or on-premises deployments.</w:t>
      </w:r>
    </w:p>
    <w:p>
      <w:pPr>
        <w:pStyle w:val="ListBullet"/>
      </w:pPr>
      <w:r>
        <w:rPr>
          <w:rFonts w:ascii="Arial" w:hAnsi="Arial"/>
          <w:b/>
        </w:rPr>
        <w:t xml:space="preserve">Asynchronous work: </w:t>
      </w:r>
      <w:r>
        <w:rPr>
          <w:rFonts w:ascii="Arial" w:hAnsi="Arial"/>
        </w:rPr>
        <w:t>Redis and BullMQ for queues, retries, delayed jobs, and progress tracking.</w:t>
      </w:r>
    </w:p>
    <w:p>
      <w:pPr>
        <w:pStyle w:val="ListBullet"/>
      </w:pPr>
      <w:r>
        <w:rPr>
          <w:rFonts w:ascii="Arial" w:hAnsi="Arial"/>
          <w:b/>
        </w:rPr>
        <w:t xml:space="preserve">Observability: </w:t>
      </w:r>
      <w:r>
        <w:rPr>
          <w:rFonts w:ascii="Arial" w:hAnsi="Arial"/>
        </w:rPr>
        <w:t>Structured logs plus OpenTelemetry traces and metrics.</w:t>
      </w:r>
    </w:p>
    <w:p>
      <w:pPr>
        <w:pStyle w:val="ListBullet"/>
      </w:pPr>
      <w:r>
        <w:rPr>
          <w:rFonts w:ascii="Arial" w:hAnsi="Arial"/>
          <w:b/>
        </w:rPr>
        <w:t xml:space="preserve">Security baseline: </w:t>
      </w:r>
      <w:r>
        <w:rPr>
          <w:rFonts w:ascii="Arial" w:hAnsi="Arial"/>
        </w:rPr>
        <w:t>OWASP ASVS 5.0 and OWASP API Security Top 10 controls, applied according to risk.</w:t>
      </w:r>
    </w:p>
    <w:p>
      <w:pPr>
        <w:pStyle w:val="Heading1"/>
      </w:pPr>
      <w:r>
        <w:t>2. Scope, Audience, and Requirement Language</w:t>
      </w:r>
    </w:p>
    <w:p>
      <w:pPr>
        <w:spacing w:after="120"/>
      </w:pPr>
      <w:r>
        <w:rPr>
          <w:rFonts w:ascii="Arial" w:hAnsi="Arial"/>
          <w:i/>
          <w:color w:val="6B7280"/>
          <w:sz w:val="18"/>
        </w:rPr>
        <w:t>These guidelines govern architecture, source code, database changes, files, APIs, security, testing, deployment, and operations for every RecruitFlow module.</w:t>
      </w:r>
    </w:p>
    <w:p>
      <w:pPr>
        <w:pStyle w:val="Heading2"/>
      </w:pPr>
      <w:r>
        <w:t>2.1 Audience</w:t>
      </w:r>
    </w:p>
    <w:p>
      <w:pPr>
        <w:pStyle w:val="ListBullet"/>
      </w:pPr>
      <w:r>
        <w:rPr>
          <w:rFonts w:ascii="Arial" w:hAnsi="Arial"/>
        </w:rPr>
        <w:t>Solution architects and technical leads.</w:t>
      </w:r>
    </w:p>
    <w:p>
      <w:pPr>
        <w:pStyle w:val="ListBullet"/>
      </w:pPr>
      <w:r>
        <w:rPr>
          <w:rFonts w:ascii="Arial" w:hAnsi="Arial"/>
        </w:rPr>
        <w:t>Frontend, backend, database, and integration engineers.</w:t>
      </w:r>
    </w:p>
    <w:p>
      <w:pPr>
        <w:pStyle w:val="ListBullet"/>
      </w:pPr>
      <w:r>
        <w:rPr>
          <w:rFonts w:ascii="Arial" w:hAnsi="Arial"/>
        </w:rPr>
        <w:t>QA automation and performance engineers.</w:t>
      </w:r>
    </w:p>
    <w:p>
      <w:pPr>
        <w:pStyle w:val="ListBullet"/>
      </w:pPr>
      <w:r>
        <w:rPr>
          <w:rFonts w:ascii="Arial" w:hAnsi="Arial"/>
        </w:rPr>
        <w:t>DevOps, platform, security, and support engineers.</w:t>
      </w:r>
    </w:p>
    <w:p>
      <w:pPr>
        <w:pStyle w:val="ListBullet"/>
      </w:pPr>
      <w:r>
        <w:rPr>
          <w:rFonts w:ascii="Arial" w:hAnsi="Arial"/>
        </w:rPr>
        <w:t>Technical product managers and implementation partners.</w:t>
      </w:r>
    </w:p>
    <w:p>
      <w:pPr>
        <w:pStyle w:val="Heading2"/>
      </w:pPr>
      <w:r>
        <w:t>2.2 Normative Language</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304"/>
            <w:shd w:fill="5B21B6"/>
            <w:vAlign w:val="center"/>
          </w:tcPr>
          <w:p>
            <w:pPr>
              <w:jc w:val="left"/>
            </w:pPr>
            <w:r>
              <w:rPr>
                <w:rFonts w:ascii="Arial" w:hAnsi="Arial"/>
                <w:b/>
                <w:color w:val="FFFFFF"/>
                <w:sz w:val="16"/>
              </w:rPr>
              <w:t>Term</w:t>
            </w:r>
          </w:p>
        </w:tc>
        <w:tc>
          <w:tcPr>
            <w:tcW w:type="dxa" w:w="7632"/>
            <w:shd w:fill="5B21B6"/>
            <w:vAlign w:val="center"/>
          </w:tcPr>
          <w:p>
            <w:pPr>
              <w:jc w:val="left"/>
            </w:pPr>
            <w:r>
              <w:rPr>
                <w:rFonts w:ascii="Arial" w:hAnsi="Arial"/>
                <w:b/>
                <w:color w:val="FFFFFF"/>
                <w:sz w:val="16"/>
              </w:rPr>
              <w:t>Meaning</w:t>
            </w:r>
          </w:p>
        </w:tc>
      </w:tr>
      <w:tr>
        <w:trPr>
          <w:cantSplit/>
        </w:trPr>
        <w:tc>
          <w:tcPr>
            <w:tcW w:type="dxa" w:w="2304"/>
            <w:vAlign w:val="top"/>
          </w:tcPr>
          <w:p>
            <w:pPr>
              <w:spacing w:after="0"/>
            </w:pPr>
            <w:r>
              <w:rPr>
                <w:rFonts w:ascii="Arial" w:hAnsi="Arial"/>
                <w:color w:val="111827"/>
                <w:sz w:val="16"/>
              </w:rPr>
              <w:t>SHALL / MUST</w:t>
            </w:r>
          </w:p>
        </w:tc>
        <w:tc>
          <w:tcPr>
            <w:tcW w:type="dxa" w:w="7632"/>
            <w:vAlign w:val="top"/>
          </w:tcPr>
          <w:p>
            <w:pPr>
              <w:spacing w:after="0"/>
            </w:pPr>
            <w:r>
              <w:rPr>
                <w:rFonts w:ascii="Arial" w:hAnsi="Arial"/>
                <w:color w:val="111827"/>
                <w:sz w:val="16"/>
              </w:rPr>
              <w:t>Mandatory requirement. A deviation requires an approved Architecture Decision Record (ADR).</w:t>
            </w:r>
          </w:p>
        </w:tc>
      </w:tr>
      <w:tr>
        <w:trPr>
          <w:cantSplit/>
        </w:trPr>
        <w:tc>
          <w:tcPr>
            <w:tcW w:type="dxa" w:w="2304"/>
            <w:vAlign w:val="top"/>
            <w:shd w:fill="F9FAFB"/>
          </w:tcPr>
          <w:p>
            <w:pPr>
              <w:spacing w:after="0"/>
            </w:pPr>
            <w:r>
              <w:rPr>
                <w:rFonts w:ascii="Arial" w:hAnsi="Arial"/>
                <w:color w:val="111827"/>
                <w:sz w:val="16"/>
              </w:rPr>
              <w:t>SHALL NOT / MUST NOT</w:t>
            </w:r>
          </w:p>
        </w:tc>
        <w:tc>
          <w:tcPr>
            <w:tcW w:type="dxa" w:w="7632"/>
            <w:vAlign w:val="top"/>
            <w:shd w:fill="F9FAFB"/>
          </w:tcPr>
          <w:p>
            <w:pPr>
              <w:spacing w:after="0"/>
            </w:pPr>
            <w:r>
              <w:rPr>
                <w:rFonts w:ascii="Arial" w:hAnsi="Arial"/>
                <w:color w:val="111827"/>
                <w:sz w:val="16"/>
              </w:rPr>
              <w:t>Prohibited implementation.</w:t>
            </w:r>
          </w:p>
        </w:tc>
      </w:tr>
      <w:tr>
        <w:trPr>
          <w:cantSplit/>
        </w:trPr>
        <w:tc>
          <w:tcPr>
            <w:tcW w:type="dxa" w:w="2304"/>
            <w:vAlign w:val="top"/>
          </w:tcPr>
          <w:p>
            <w:pPr>
              <w:spacing w:after="0"/>
            </w:pPr>
            <w:r>
              <w:rPr>
                <w:rFonts w:ascii="Arial" w:hAnsi="Arial"/>
                <w:color w:val="111827"/>
                <w:sz w:val="16"/>
              </w:rPr>
              <w:t>SHOULD</w:t>
            </w:r>
          </w:p>
        </w:tc>
        <w:tc>
          <w:tcPr>
            <w:tcW w:type="dxa" w:w="7632"/>
            <w:vAlign w:val="top"/>
          </w:tcPr>
          <w:p>
            <w:pPr>
              <w:spacing w:after="0"/>
            </w:pPr>
            <w:r>
              <w:rPr>
                <w:rFonts w:ascii="Arial" w:hAnsi="Arial"/>
                <w:color w:val="111827"/>
                <w:sz w:val="16"/>
              </w:rPr>
              <w:t>Recommended default. A documented reason is required when not followed.</w:t>
            </w:r>
          </w:p>
        </w:tc>
      </w:tr>
      <w:tr>
        <w:trPr>
          <w:cantSplit/>
        </w:trPr>
        <w:tc>
          <w:tcPr>
            <w:tcW w:type="dxa" w:w="2304"/>
            <w:vAlign w:val="top"/>
            <w:shd w:fill="F9FAFB"/>
          </w:tcPr>
          <w:p>
            <w:pPr>
              <w:spacing w:after="0"/>
            </w:pPr>
            <w:r>
              <w:rPr>
                <w:rFonts w:ascii="Arial" w:hAnsi="Arial"/>
                <w:color w:val="111827"/>
                <w:sz w:val="16"/>
              </w:rPr>
              <w:t>MAY</w:t>
            </w:r>
          </w:p>
        </w:tc>
        <w:tc>
          <w:tcPr>
            <w:tcW w:type="dxa" w:w="7632"/>
            <w:vAlign w:val="top"/>
            <w:shd w:fill="F9FAFB"/>
          </w:tcPr>
          <w:p>
            <w:pPr>
              <w:spacing w:after="0"/>
            </w:pPr>
            <w:r>
              <w:rPr>
                <w:rFonts w:ascii="Arial" w:hAnsi="Arial"/>
                <w:color w:val="111827"/>
                <w:sz w:val="16"/>
              </w:rPr>
              <w:t>Optional and permitted when useful.</w:t>
            </w:r>
          </w:p>
        </w:tc>
      </w:tr>
    </w:tbl>
    <w:p>
      <w:pPr>
        <w:spacing w:after="0"/>
      </w:pPr>
    </w:p>
    <w:p>
      <w:pPr>
        <w:pStyle w:val="Heading2"/>
      </w:pPr>
      <w:r>
        <w:t>2.3 Cross-Document Authority</w:t>
      </w:r>
    </w:p>
    <w:p>
      <w:pPr>
        <w:pStyle w:val="ListBullet"/>
      </w:pPr>
      <w:r>
        <w:rPr>
          <w:rFonts w:ascii="Arial" w:hAnsi="Arial"/>
        </w:rPr>
        <w:t>The BRD defines business scope and functional intent.</w:t>
      </w:r>
    </w:p>
    <w:p>
      <w:pPr>
        <w:pStyle w:val="ListBullet"/>
      </w:pPr>
      <w:r>
        <w:rPr>
          <w:rFonts w:ascii="Arial" w:hAnsi="Arial"/>
        </w:rPr>
        <w:t>The Workflow and Status Matrix defines allowed transitions, conditions, owners, notifications, and audit events.</w:t>
      </w:r>
    </w:p>
    <w:p>
      <w:pPr>
        <w:pStyle w:val="ListBullet"/>
      </w:pPr>
      <w:r>
        <w:rPr>
          <w:rFonts w:ascii="Arial" w:hAnsi="Arial"/>
        </w:rPr>
        <w:t>The ERD and Data Dictionary define the logical data model and field meaning.</w:t>
      </w:r>
    </w:p>
    <w:p>
      <w:pPr>
        <w:pStyle w:val="ListBullet"/>
      </w:pPr>
      <w:r>
        <w:rPr>
          <w:rFonts w:ascii="Arial" w:hAnsi="Arial"/>
        </w:rPr>
        <w:t>The Screen Requirements define user-facing behavior and validations.</w:t>
      </w:r>
    </w:p>
    <w:p>
      <w:pPr>
        <w:pStyle w:val="ListBullet"/>
      </w:pPr>
      <w:r>
        <w:rPr>
          <w:rFonts w:ascii="Arial" w:hAnsi="Arial"/>
        </w:rPr>
        <w:t>This document defines approved technology, engineering constraints, security controls, and delivery standards.</w:t>
      </w:r>
    </w:p>
    <w:p>
      <w:pPr>
        <w:pStyle w:val="ListBullet"/>
      </w:pPr>
      <w:r>
        <w:rPr>
          <w:rFonts w:ascii="Arial" w:hAnsi="Arial"/>
        </w:rPr>
        <w:t>Where documents conflict, the team SHALL stop and resolve the conflict through an ADR and controlled document revision rather than silently choosing an implementation.</w:t>
      </w:r>
    </w:p>
    <w:p>
      <w:pPr>
        <w:pStyle w:val="Heading1"/>
      </w:pPr>
      <w:r>
        <w:t>3. Architecture Principles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808"/>
            <w:shd w:fill="5B21B6"/>
            <w:vAlign w:val="center"/>
          </w:tcPr>
          <w:p>
            <w:pPr>
              <w:jc w:val="left"/>
            </w:pPr>
            <w:r>
              <w:rPr>
                <w:rFonts w:ascii="Arial" w:hAnsi="Arial"/>
                <w:b/>
                <w:color w:val="FFFFFF"/>
                <w:sz w:val="15"/>
              </w:rPr>
              <w:t>Principle</w:t>
            </w:r>
          </w:p>
        </w:tc>
        <w:tc>
          <w:tcPr>
            <w:tcW w:type="dxa" w:w="7128"/>
            <w:shd w:fill="5B21B6"/>
            <w:vAlign w:val="center"/>
          </w:tcPr>
          <w:p>
            <w:pPr>
              <w:jc w:val="left"/>
            </w:pPr>
            <w:r>
              <w:rPr>
                <w:rFonts w:ascii="Arial" w:hAnsi="Arial"/>
                <w:b/>
                <w:color w:val="FFFFFF"/>
                <w:sz w:val="15"/>
              </w:rPr>
              <w:t>Engineering Interpretation</w:t>
            </w:r>
          </w:p>
        </w:tc>
      </w:tr>
      <w:tr>
        <w:trPr>
          <w:cantSplit/>
        </w:trPr>
        <w:tc>
          <w:tcPr>
            <w:tcW w:type="dxa" w:w="2808"/>
            <w:vAlign w:val="top"/>
          </w:tcPr>
          <w:p>
            <w:pPr>
              <w:spacing w:after="0"/>
            </w:pPr>
            <w:r>
              <w:rPr>
                <w:rFonts w:ascii="Arial" w:hAnsi="Arial"/>
                <w:color w:val="111827"/>
                <w:sz w:val="15"/>
              </w:rPr>
              <w:t>Business rules belong on the server</w:t>
            </w:r>
          </w:p>
        </w:tc>
        <w:tc>
          <w:tcPr>
            <w:tcW w:type="dxa" w:w="7128"/>
            <w:vAlign w:val="top"/>
          </w:tcPr>
          <w:p>
            <w:pPr>
              <w:spacing w:after="0"/>
            </w:pPr>
            <w:r>
              <w:rPr>
                <w:rFonts w:ascii="Arial" w:hAnsi="Arial"/>
                <w:color w:val="111827"/>
                <w:sz w:val="15"/>
              </w:rPr>
              <w:t>The browser may guide the user, but the API SHALL enforce workflow transitions, permissions, approval gates, headcount controls, and mandatory-field rules.</w:t>
            </w:r>
          </w:p>
        </w:tc>
      </w:tr>
      <w:tr>
        <w:trPr>
          <w:cantSplit/>
        </w:trPr>
        <w:tc>
          <w:tcPr>
            <w:tcW w:type="dxa" w:w="2808"/>
            <w:vAlign w:val="top"/>
            <w:shd w:fill="F9FAFB"/>
          </w:tcPr>
          <w:p>
            <w:pPr>
              <w:spacing w:after="0"/>
            </w:pPr>
            <w:r>
              <w:rPr>
                <w:rFonts w:ascii="Arial" w:hAnsi="Arial"/>
                <w:color w:val="111827"/>
                <w:sz w:val="15"/>
              </w:rPr>
              <w:t>Relational core, flexible edges</w:t>
            </w:r>
          </w:p>
        </w:tc>
        <w:tc>
          <w:tcPr>
            <w:tcW w:type="dxa" w:w="7128"/>
            <w:vAlign w:val="top"/>
            <w:shd w:fill="F9FAFB"/>
          </w:tcPr>
          <w:p>
            <w:pPr>
              <w:spacing w:after="0"/>
            </w:pPr>
            <w:r>
              <w:rPr>
                <w:rFonts w:ascii="Arial" w:hAnsi="Arial"/>
                <w:color w:val="111827"/>
                <w:sz w:val="15"/>
              </w:rPr>
              <w:t>Normalized relational tables store authoritative business data. JSONB is reserved for configurable answers, extraction payloads, provider responses, and non-authoritative metadata.</w:t>
            </w:r>
          </w:p>
        </w:tc>
      </w:tr>
      <w:tr>
        <w:trPr>
          <w:cantSplit/>
        </w:trPr>
        <w:tc>
          <w:tcPr>
            <w:tcW w:type="dxa" w:w="2808"/>
            <w:vAlign w:val="top"/>
          </w:tcPr>
          <w:p>
            <w:pPr>
              <w:spacing w:after="0"/>
            </w:pPr>
            <w:r>
              <w:rPr>
                <w:rFonts w:ascii="Arial" w:hAnsi="Arial"/>
                <w:color w:val="111827"/>
                <w:sz w:val="15"/>
              </w:rPr>
              <w:t>Files are private by default</w:t>
            </w:r>
          </w:p>
        </w:tc>
        <w:tc>
          <w:tcPr>
            <w:tcW w:type="dxa" w:w="7128"/>
            <w:vAlign w:val="top"/>
          </w:tcPr>
          <w:p>
            <w:pPr>
              <w:spacing w:after="0"/>
            </w:pPr>
            <w:r>
              <w:rPr>
                <w:rFonts w:ascii="Arial" w:hAnsi="Arial"/>
                <w:color w:val="111827"/>
                <w:sz w:val="15"/>
              </w:rPr>
              <w:t>No CV or candidate document is publicly addressable. Access requires authorization and a short-lived link or streamed response.</w:t>
            </w:r>
          </w:p>
        </w:tc>
      </w:tr>
      <w:tr>
        <w:trPr>
          <w:cantSplit/>
        </w:trPr>
        <w:tc>
          <w:tcPr>
            <w:tcW w:type="dxa" w:w="2808"/>
            <w:vAlign w:val="top"/>
            <w:shd w:fill="F9FAFB"/>
          </w:tcPr>
          <w:p>
            <w:pPr>
              <w:spacing w:after="0"/>
            </w:pPr>
            <w:r>
              <w:rPr>
                <w:rFonts w:ascii="Arial" w:hAnsi="Arial"/>
                <w:color w:val="111827"/>
                <w:sz w:val="15"/>
              </w:rPr>
              <w:t>Deny by default</w:t>
            </w:r>
          </w:p>
        </w:tc>
        <w:tc>
          <w:tcPr>
            <w:tcW w:type="dxa" w:w="7128"/>
            <w:vAlign w:val="top"/>
            <w:shd w:fill="F9FAFB"/>
          </w:tcPr>
          <w:p>
            <w:pPr>
              <w:spacing w:after="0"/>
            </w:pPr>
            <w:r>
              <w:rPr>
                <w:rFonts w:ascii="Arial" w:hAnsi="Arial"/>
                <w:color w:val="111827"/>
                <w:sz w:val="15"/>
              </w:rPr>
              <w:t>APIs, fields, files, exports, and administrative actions are inaccessible unless explicitly allowed.</w:t>
            </w:r>
          </w:p>
        </w:tc>
      </w:tr>
      <w:tr>
        <w:trPr>
          <w:cantSplit/>
        </w:trPr>
        <w:tc>
          <w:tcPr>
            <w:tcW w:type="dxa" w:w="2808"/>
            <w:vAlign w:val="top"/>
          </w:tcPr>
          <w:p>
            <w:pPr>
              <w:spacing w:after="0"/>
            </w:pPr>
            <w:r>
              <w:rPr>
                <w:rFonts w:ascii="Arial" w:hAnsi="Arial"/>
                <w:color w:val="111827"/>
                <w:sz w:val="15"/>
              </w:rPr>
              <w:t>Audit important decisions</w:t>
            </w:r>
          </w:p>
        </w:tc>
        <w:tc>
          <w:tcPr>
            <w:tcW w:type="dxa" w:w="7128"/>
            <w:vAlign w:val="top"/>
          </w:tcPr>
          <w:p>
            <w:pPr>
              <w:spacing w:after="0"/>
            </w:pPr>
            <w:r>
              <w:rPr>
                <w:rFonts w:ascii="Arial" w:hAnsi="Arial"/>
                <w:color w:val="111827"/>
                <w:sz w:val="15"/>
              </w:rPr>
              <w:t>Workflow movement, approvals, offer changes, salary access, document downloads, and override actions SHALL be traceable.</w:t>
            </w:r>
          </w:p>
        </w:tc>
      </w:tr>
      <w:tr>
        <w:trPr>
          <w:cantSplit/>
        </w:trPr>
        <w:tc>
          <w:tcPr>
            <w:tcW w:type="dxa" w:w="2808"/>
            <w:vAlign w:val="top"/>
            <w:shd w:fill="F9FAFB"/>
          </w:tcPr>
          <w:p>
            <w:pPr>
              <w:spacing w:after="0"/>
            </w:pPr>
            <w:r>
              <w:rPr>
                <w:rFonts w:ascii="Arial" w:hAnsi="Arial"/>
                <w:color w:val="111827"/>
                <w:sz w:val="15"/>
              </w:rPr>
              <w:t>Asynchronous for slow work</w:t>
            </w:r>
          </w:p>
        </w:tc>
        <w:tc>
          <w:tcPr>
            <w:tcW w:type="dxa" w:w="7128"/>
            <w:vAlign w:val="top"/>
            <w:shd w:fill="F9FAFB"/>
          </w:tcPr>
          <w:p>
            <w:pPr>
              <w:spacing w:after="0"/>
            </w:pPr>
            <w:r>
              <w:rPr>
                <w:rFonts w:ascii="Arial" w:hAnsi="Arial"/>
                <w:color w:val="111827"/>
                <w:sz w:val="15"/>
              </w:rPr>
              <w:t>OCR, CV parsing, bulk import, report generation, outbound email, and integration sync SHALL not block interactive HTTP requests.</w:t>
            </w:r>
          </w:p>
        </w:tc>
      </w:tr>
      <w:tr>
        <w:trPr>
          <w:cantSplit/>
        </w:trPr>
        <w:tc>
          <w:tcPr>
            <w:tcW w:type="dxa" w:w="2808"/>
            <w:vAlign w:val="top"/>
          </w:tcPr>
          <w:p>
            <w:pPr>
              <w:spacing w:after="0"/>
            </w:pPr>
            <w:r>
              <w:rPr>
                <w:rFonts w:ascii="Arial" w:hAnsi="Arial"/>
                <w:color w:val="111827"/>
                <w:sz w:val="15"/>
              </w:rPr>
              <w:t>Build for one product, not one screen</w:t>
            </w:r>
          </w:p>
        </w:tc>
        <w:tc>
          <w:tcPr>
            <w:tcW w:type="dxa" w:w="7128"/>
            <w:vAlign w:val="top"/>
          </w:tcPr>
          <w:p>
            <w:pPr>
              <w:spacing w:after="0"/>
            </w:pPr>
            <w:r>
              <w:rPr>
                <w:rFonts w:ascii="Arial" w:hAnsi="Arial"/>
                <w:color w:val="111827"/>
                <w:sz w:val="15"/>
              </w:rPr>
              <w:t>Reusable domain services and shared components are preferred over screen-specific duplicate logic.</w:t>
            </w:r>
          </w:p>
        </w:tc>
      </w:tr>
      <w:tr>
        <w:trPr>
          <w:cantSplit/>
        </w:trPr>
        <w:tc>
          <w:tcPr>
            <w:tcW w:type="dxa" w:w="2808"/>
            <w:vAlign w:val="top"/>
            <w:shd w:fill="F9FAFB"/>
          </w:tcPr>
          <w:p>
            <w:pPr>
              <w:spacing w:after="0"/>
            </w:pPr>
            <w:r>
              <w:rPr>
                <w:rFonts w:ascii="Arial" w:hAnsi="Arial"/>
                <w:color w:val="111827"/>
                <w:sz w:val="15"/>
              </w:rPr>
              <w:t>Operational simplicity first</w:t>
            </w:r>
          </w:p>
        </w:tc>
        <w:tc>
          <w:tcPr>
            <w:tcW w:type="dxa" w:w="7128"/>
            <w:vAlign w:val="top"/>
            <w:shd w:fill="F9FAFB"/>
          </w:tcPr>
          <w:p>
            <w:pPr>
              <w:spacing w:after="0"/>
            </w:pPr>
            <w:r>
              <w:rPr>
                <w:rFonts w:ascii="Arial" w:hAnsi="Arial"/>
                <w:color w:val="111827"/>
                <w:sz w:val="15"/>
              </w:rPr>
              <w:t>Do not introduce microservices, Kubernetes, Elasticsearch, Kafka, or a second database until a measured requirement justifies the operational cost.</w:t>
            </w:r>
          </w:p>
        </w:tc>
      </w:tr>
      <w:tr>
        <w:trPr>
          <w:cantSplit/>
        </w:trPr>
        <w:tc>
          <w:tcPr>
            <w:tcW w:type="dxa" w:w="2808"/>
            <w:vAlign w:val="top"/>
          </w:tcPr>
          <w:p>
            <w:pPr>
              <w:spacing w:after="0"/>
            </w:pPr>
            <w:r>
              <w:rPr>
                <w:rFonts w:ascii="Arial" w:hAnsi="Arial"/>
                <w:color w:val="111827"/>
                <w:sz w:val="15"/>
              </w:rPr>
              <w:t>Human confirmation for extracted data</w:t>
            </w:r>
          </w:p>
        </w:tc>
        <w:tc>
          <w:tcPr>
            <w:tcW w:type="dxa" w:w="7128"/>
            <w:vAlign w:val="top"/>
          </w:tcPr>
          <w:p>
            <w:pPr>
              <w:spacing w:after="0"/>
            </w:pPr>
            <w:r>
              <w:rPr>
                <w:rFonts w:ascii="Arial" w:hAnsi="Arial"/>
                <w:color w:val="111827"/>
                <w:sz w:val="15"/>
              </w:rPr>
              <w:t>Parsed CV data is draft data. The system SHALL not silently overwrite verified candidate data.</w:t>
            </w:r>
          </w:p>
        </w:tc>
      </w:tr>
      <w:tr>
        <w:trPr>
          <w:cantSplit/>
        </w:trPr>
        <w:tc>
          <w:tcPr>
            <w:tcW w:type="dxa" w:w="2808"/>
            <w:vAlign w:val="top"/>
            <w:shd w:fill="F9FAFB"/>
          </w:tcPr>
          <w:p>
            <w:pPr>
              <w:spacing w:after="0"/>
            </w:pPr>
            <w:r>
              <w:rPr>
                <w:rFonts w:ascii="Arial" w:hAnsi="Arial"/>
                <w:color w:val="111827"/>
                <w:sz w:val="15"/>
              </w:rPr>
              <w:t>Observability is part of the feature</w:t>
            </w:r>
          </w:p>
        </w:tc>
        <w:tc>
          <w:tcPr>
            <w:tcW w:type="dxa" w:w="7128"/>
            <w:vAlign w:val="top"/>
            <w:shd w:fill="F9FAFB"/>
          </w:tcPr>
          <w:p>
            <w:pPr>
              <w:spacing w:after="0"/>
            </w:pPr>
            <w:r>
              <w:rPr>
                <w:rFonts w:ascii="Arial" w:hAnsi="Arial"/>
                <w:color w:val="111827"/>
                <w:sz w:val="15"/>
              </w:rPr>
              <w:t>New critical workflows are incomplete without logs, metrics, trace context, alerts, and audit events.</w:t>
            </w:r>
          </w:p>
        </w:tc>
      </w:tr>
    </w:tbl>
    <w:p>
      <w:pPr>
        <w:spacing w:after="0"/>
      </w:pPr>
    </w:p>
    <w:p>
      <w:pPr>
        <w:pStyle w:val="Heading1"/>
      </w:pPr>
      <w:r>
        <w:t>4. Approved Technology Stack</w:t>
      </w:r>
    </w:p>
    <w:p>
      <w:pPr>
        <w:spacing w:after="120"/>
      </w:pPr>
      <w:r>
        <w:rPr>
          <w:rFonts w:ascii="Arial" w:hAnsi="Arial"/>
          <w:i/>
          <w:color w:val="6B7280"/>
          <w:sz w:val="18"/>
        </w:rPr>
        <w:t>Versions are intentionally controlled by policy: use stable releases, lock exact package versions in the lockfile, and upgrade through tested pull requests.</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944"/>
            <w:shd w:fill="5B21B6"/>
            <w:vAlign w:val="center"/>
          </w:tcPr>
          <w:p>
            <w:pPr>
              <w:jc w:val="left"/>
            </w:pPr>
            <w:r>
              <w:rPr>
                <w:rFonts w:ascii="Arial" w:hAnsi="Arial"/>
                <w:b/>
                <w:color w:val="FFFFFF"/>
                <w:sz w:val="14"/>
              </w:rPr>
              <w:t>Area</w:t>
            </w:r>
          </w:p>
        </w:tc>
        <w:tc>
          <w:tcPr>
            <w:tcW w:type="dxa" w:w="2880"/>
            <w:shd w:fill="5B21B6"/>
            <w:vAlign w:val="center"/>
          </w:tcPr>
          <w:p>
            <w:pPr>
              <w:jc w:val="left"/>
            </w:pPr>
            <w:r>
              <w:rPr>
                <w:rFonts w:ascii="Arial" w:hAnsi="Arial"/>
                <w:b/>
                <w:color w:val="FFFFFF"/>
                <w:sz w:val="14"/>
              </w:rPr>
              <w:t>Approved Choice</w:t>
            </w:r>
          </w:p>
        </w:tc>
        <w:tc>
          <w:tcPr>
            <w:tcW w:type="dxa" w:w="5112"/>
            <w:shd w:fill="5B21B6"/>
            <w:vAlign w:val="center"/>
          </w:tcPr>
          <w:p>
            <w:pPr>
              <w:jc w:val="left"/>
            </w:pPr>
            <w:r>
              <w:rPr>
                <w:rFonts w:ascii="Arial" w:hAnsi="Arial"/>
                <w:b/>
                <w:color w:val="FFFFFF"/>
                <w:sz w:val="14"/>
              </w:rPr>
              <w:t>Guideline</w:t>
            </w:r>
          </w:p>
        </w:tc>
      </w:tr>
      <w:tr>
        <w:trPr>
          <w:cantSplit/>
        </w:trPr>
        <w:tc>
          <w:tcPr>
            <w:tcW w:type="dxa" w:w="1944"/>
            <w:vAlign w:val="top"/>
          </w:tcPr>
          <w:p>
            <w:pPr>
              <w:spacing w:after="0"/>
            </w:pPr>
            <w:r>
              <w:rPr>
                <w:rFonts w:ascii="Arial" w:hAnsi="Arial"/>
                <w:color w:val="111827"/>
                <w:sz w:val="14"/>
              </w:rPr>
              <w:t>Runtime</w:t>
            </w:r>
          </w:p>
        </w:tc>
        <w:tc>
          <w:tcPr>
            <w:tcW w:type="dxa" w:w="2880"/>
            <w:vAlign w:val="top"/>
          </w:tcPr>
          <w:p>
            <w:pPr>
              <w:spacing w:after="0"/>
            </w:pPr>
            <w:r>
              <w:rPr>
                <w:rFonts w:ascii="Arial" w:hAnsi="Arial"/>
                <w:color w:val="111827"/>
                <w:sz w:val="14"/>
              </w:rPr>
              <w:t>Node.js 24 LTS</w:t>
            </w:r>
          </w:p>
        </w:tc>
        <w:tc>
          <w:tcPr>
            <w:tcW w:type="dxa" w:w="5112"/>
            <w:vAlign w:val="top"/>
          </w:tcPr>
          <w:p>
            <w:pPr>
              <w:spacing w:after="0"/>
            </w:pPr>
            <w:r>
              <w:rPr>
                <w:rFonts w:ascii="Arial" w:hAnsi="Arial"/>
                <w:color w:val="111827"/>
                <w:sz w:val="14"/>
              </w:rPr>
              <w:t>Approved production runtime. Upgrade to a newer LTS only after compatibility and load testing.</w:t>
            </w:r>
          </w:p>
        </w:tc>
      </w:tr>
      <w:tr>
        <w:trPr>
          <w:cantSplit/>
        </w:trPr>
        <w:tc>
          <w:tcPr>
            <w:tcW w:type="dxa" w:w="1944"/>
            <w:vAlign w:val="top"/>
            <w:shd w:fill="F9FAFB"/>
          </w:tcPr>
          <w:p>
            <w:pPr>
              <w:spacing w:after="0"/>
            </w:pPr>
            <w:r>
              <w:rPr>
                <w:rFonts w:ascii="Arial" w:hAnsi="Arial"/>
                <w:color w:val="111827"/>
                <w:sz w:val="14"/>
              </w:rPr>
              <w:t>Language</w:t>
            </w:r>
          </w:p>
        </w:tc>
        <w:tc>
          <w:tcPr>
            <w:tcW w:type="dxa" w:w="2880"/>
            <w:vAlign w:val="top"/>
            <w:shd w:fill="F9FAFB"/>
          </w:tcPr>
          <w:p>
            <w:pPr>
              <w:spacing w:after="0"/>
            </w:pPr>
            <w:r>
              <w:rPr>
                <w:rFonts w:ascii="Arial" w:hAnsi="Arial"/>
                <w:color w:val="111827"/>
                <w:sz w:val="14"/>
              </w:rPr>
              <w:t>TypeScript, strict mode</w:t>
            </w:r>
          </w:p>
        </w:tc>
        <w:tc>
          <w:tcPr>
            <w:tcW w:type="dxa" w:w="5112"/>
            <w:vAlign w:val="top"/>
            <w:shd w:fill="F9FAFB"/>
          </w:tcPr>
          <w:p>
            <w:pPr>
              <w:spacing w:after="0"/>
            </w:pPr>
            <w:r>
              <w:rPr>
                <w:rFonts w:ascii="Arial" w:hAnsi="Arial"/>
                <w:color w:val="111827"/>
                <w:sz w:val="14"/>
              </w:rPr>
              <w:t>Required for web, API, worker, shared packages, tests, and scripts.</w:t>
            </w:r>
          </w:p>
        </w:tc>
      </w:tr>
      <w:tr>
        <w:trPr>
          <w:cantSplit/>
        </w:trPr>
        <w:tc>
          <w:tcPr>
            <w:tcW w:type="dxa" w:w="1944"/>
            <w:vAlign w:val="top"/>
          </w:tcPr>
          <w:p>
            <w:pPr>
              <w:spacing w:after="0"/>
            </w:pPr>
            <w:r>
              <w:rPr>
                <w:rFonts w:ascii="Arial" w:hAnsi="Arial"/>
                <w:color w:val="111827"/>
                <w:sz w:val="14"/>
              </w:rPr>
              <w:t>Package manager</w:t>
            </w:r>
          </w:p>
        </w:tc>
        <w:tc>
          <w:tcPr>
            <w:tcW w:type="dxa" w:w="2880"/>
            <w:vAlign w:val="top"/>
          </w:tcPr>
          <w:p>
            <w:pPr>
              <w:spacing w:after="0"/>
            </w:pPr>
            <w:r>
              <w:rPr>
                <w:rFonts w:ascii="Arial" w:hAnsi="Arial"/>
                <w:color w:val="111827"/>
                <w:sz w:val="14"/>
              </w:rPr>
              <w:t>pnpm workspaces</w:t>
            </w:r>
          </w:p>
        </w:tc>
        <w:tc>
          <w:tcPr>
            <w:tcW w:type="dxa" w:w="5112"/>
            <w:vAlign w:val="top"/>
          </w:tcPr>
          <w:p>
            <w:pPr>
              <w:spacing w:after="0"/>
            </w:pPr>
            <w:r>
              <w:rPr>
                <w:rFonts w:ascii="Arial" w:hAnsi="Arial"/>
                <w:color w:val="111827"/>
                <w:sz w:val="14"/>
              </w:rPr>
              <w:t>One lockfile, deterministic installation, workspace package boundaries.</w:t>
            </w:r>
          </w:p>
        </w:tc>
      </w:tr>
      <w:tr>
        <w:trPr>
          <w:cantSplit/>
        </w:trPr>
        <w:tc>
          <w:tcPr>
            <w:tcW w:type="dxa" w:w="1944"/>
            <w:vAlign w:val="top"/>
            <w:shd w:fill="F9FAFB"/>
          </w:tcPr>
          <w:p>
            <w:pPr>
              <w:spacing w:after="0"/>
            </w:pPr>
            <w:r>
              <w:rPr>
                <w:rFonts w:ascii="Arial" w:hAnsi="Arial"/>
                <w:color w:val="111827"/>
                <w:sz w:val="14"/>
              </w:rPr>
              <w:t>Frontend</w:t>
            </w:r>
          </w:p>
        </w:tc>
        <w:tc>
          <w:tcPr>
            <w:tcW w:type="dxa" w:w="2880"/>
            <w:vAlign w:val="top"/>
            <w:shd w:fill="F9FAFB"/>
          </w:tcPr>
          <w:p>
            <w:pPr>
              <w:spacing w:after="0"/>
            </w:pPr>
            <w:r>
              <w:rPr>
                <w:rFonts w:ascii="Arial" w:hAnsi="Arial"/>
                <w:color w:val="111827"/>
                <w:sz w:val="14"/>
              </w:rPr>
              <w:t>React 19.2+ stable</w:t>
            </w:r>
          </w:p>
        </w:tc>
        <w:tc>
          <w:tcPr>
            <w:tcW w:type="dxa" w:w="5112"/>
            <w:vAlign w:val="top"/>
            <w:shd w:fill="F9FAFB"/>
          </w:tcPr>
          <w:p>
            <w:pPr>
              <w:spacing w:after="0"/>
            </w:pPr>
            <w:r>
              <w:rPr>
                <w:rFonts w:ascii="Arial" w:hAnsi="Arial"/>
                <w:color w:val="111827"/>
                <w:sz w:val="14"/>
              </w:rPr>
              <w:t>Client-side business application. React Server Components are not required for the MVP.</w:t>
            </w:r>
          </w:p>
        </w:tc>
      </w:tr>
      <w:tr>
        <w:trPr>
          <w:cantSplit/>
        </w:trPr>
        <w:tc>
          <w:tcPr>
            <w:tcW w:type="dxa" w:w="1944"/>
            <w:vAlign w:val="top"/>
          </w:tcPr>
          <w:p>
            <w:pPr>
              <w:spacing w:after="0"/>
            </w:pPr>
            <w:r>
              <w:rPr>
                <w:rFonts w:ascii="Arial" w:hAnsi="Arial"/>
                <w:color w:val="111827"/>
                <w:sz w:val="14"/>
              </w:rPr>
              <w:t>Build tool</w:t>
            </w:r>
          </w:p>
        </w:tc>
        <w:tc>
          <w:tcPr>
            <w:tcW w:type="dxa" w:w="2880"/>
            <w:vAlign w:val="top"/>
          </w:tcPr>
          <w:p>
            <w:pPr>
              <w:spacing w:after="0"/>
            </w:pPr>
            <w:r>
              <w:rPr>
                <w:rFonts w:ascii="Arial" w:hAnsi="Arial"/>
                <w:color w:val="111827"/>
                <w:sz w:val="14"/>
              </w:rPr>
              <w:t>Vite</w:t>
            </w:r>
          </w:p>
        </w:tc>
        <w:tc>
          <w:tcPr>
            <w:tcW w:type="dxa" w:w="5112"/>
            <w:vAlign w:val="top"/>
          </w:tcPr>
          <w:p>
            <w:pPr>
              <w:spacing w:after="0"/>
            </w:pPr>
            <w:r>
              <w:rPr>
                <w:rFonts w:ascii="Arial" w:hAnsi="Arial"/>
                <w:color w:val="111827"/>
                <w:sz w:val="14"/>
              </w:rPr>
              <w:t>Development server, production bundling, and environment-mode integration.</w:t>
            </w:r>
          </w:p>
        </w:tc>
      </w:tr>
      <w:tr>
        <w:trPr>
          <w:cantSplit/>
        </w:trPr>
        <w:tc>
          <w:tcPr>
            <w:tcW w:type="dxa" w:w="1944"/>
            <w:vAlign w:val="top"/>
            <w:shd w:fill="F9FAFB"/>
          </w:tcPr>
          <w:p>
            <w:pPr>
              <w:spacing w:after="0"/>
            </w:pPr>
            <w:r>
              <w:rPr>
                <w:rFonts w:ascii="Arial" w:hAnsi="Arial"/>
                <w:color w:val="111827"/>
                <w:sz w:val="14"/>
              </w:rPr>
              <w:t>Routing</w:t>
            </w:r>
          </w:p>
        </w:tc>
        <w:tc>
          <w:tcPr>
            <w:tcW w:type="dxa" w:w="2880"/>
            <w:vAlign w:val="top"/>
            <w:shd w:fill="F9FAFB"/>
          </w:tcPr>
          <w:p>
            <w:pPr>
              <w:spacing w:after="0"/>
            </w:pPr>
            <w:r>
              <w:rPr>
                <w:rFonts w:ascii="Arial" w:hAnsi="Arial"/>
                <w:color w:val="111827"/>
                <w:sz w:val="14"/>
              </w:rPr>
              <w:t>React Router</w:t>
            </w:r>
          </w:p>
        </w:tc>
        <w:tc>
          <w:tcPr>
            <w:tcW w:type="dxa" w:w="5112"/>
            <w:vAlign w:val="top"/>
            <w:shd w:fill="F9FAFB"/>
          </w:tcPr>
          <w:p>
            <w:pPr>
              <w:spacing w:after="0"/>
            </w:pPr>
            <w:r>
              <w:rPr>
                <w:rFonts w:ascii="Arial" w:hAnsi="Arial"/>
                <w:color w:val="111827"/>
                <w:sz w:val="14"/>
              </w:rPr>
              <w:t>Route-level authorization metadata and lazy-loaded feature areas.</w:t>
            </w:r>
          </w:p>
        </w:tc>
      </w:tr>
      <w:tr>
        <w:trPr>
          <w:cantSplit/>
        </w:trPr>
        <w:tc>
          <w:tcPr>
            <w:tcW w:type="dxa" w:w="1944"/>
            <w:vAlign w:val="top"/>
          </w:tcPr>
          <w:p>
            <w:pPr>
              <w:spacing w:after="0"/>
            </w:pPr>
            <w:r>
              <w:rPr>
                <w:rFonts w:ascii="Arial" w:hAnsi="Arial"/>
                <w:color w:val="111827"/>
                <w:sz w:val="14"/>
              </w:rPr>
              <w:t>UI</w:t>
            </w:r>
          </w:p>
        </w:tc>
        <w:tc>
          <w:tcPr>
            <w:tcW w:type="dxa" w:w="2880"/>
            <w:vAlign w:val="top"/>
          </w:tcPr>
          <w:p>
            <w:pPr>
              <w:spacing w:after="0"/>
            </w:pPr>
            <w:r>
              <w:rPr>
                <w:rFonts w:ascii="Arial" w:hAnsi="Arial"/>
                <w:color w:val="111827"/>
                <w:sz w:val="14"/>
              </w:rPr>
              <w:t>Tailwind CSS 4 + shadcn/ui</w:t>
            </w:r>
          </w:p>
        </w:tc>
        <w:tc>
          <w:tcPr>
            <w:tcW w:type="dxa" w:w="5112"/>
            <w:vAlign w:val="top"/>
          </w:tcPr>
          <w:p>
            <w:pPr>
              <w:spacing w:after="0"/>
            </w:pPr>
            <w:r>
              <w:rPr>
                <w:rFonts w:ascii="Arial" w:hAnsi="Arial"/>
                <w:color w:val="111827"/>
                <w:sz w:val="14"/>
              </w:rPr>
              <w:t>Design tokens, accessible primitives, and controlled component ownership.</w:t>
            </w:r>
          </w:p>
        </w:tc>
      </w:tr>
      <w:tr>
        <w:trPr>
          <w:cantSplit/>
        </w:trPr>
        <w:tc>
          <w:tcPr>
            <w:tcW w:type="dxa" w:w="1944"/>
            <w:vAlign w:val="top"/>
            <w:shd w:fill="F9FAFB"/>
          </w:tcPr>
          <w:p>
            <w:pPr>
              <w:spacing w:after="0"/>
            </w:pPr>
            <w:r>
              <w:rPr>
                <w:rFonts w:ascii="Arial" w:hAnsi="Arial"/>
                <w:color w:val="111827"/>
                <w:sz w:val="14"/>
              </w:rPr>
              <w:t>Server state</w:t>
            </w:r>
          </w:p>
        </w:tc>
        <w:tc>
          <w:tcPr>
            <w:tcW w:type="dxa" w:w="2880"/>
            <w:vAlign w:val="top"/>
            <w:shd w:fill="F9FAFB"/>
          </w:tcPr>
          <w:p>
            <w:pPr>
              <w:spacing w:after="0"/>
            </w:pPr>
            <w:r>
              <w:rPr>
                <w:rFonts w:ascii="Arial" w:hAnsi="Arial"/>
                <w:color w:val="111827"/>
                <w:sz w:val="14"/>
              </w:rPr>
              <w:t>TanStack Query</w:t>
            </w:r>
          </w:p>
        </w:tc>
        <w:tc>
          <w:tcPr>
            <w:tcW w:type="dxa" w:w="5112"/>
            <w:vAlign w:val="top"/>
            <w:shd w:fill="F9FAFB"/>
          </w:tcPr>
          <w:p>
            <w:pPr>
              <w:spacing w:after="0"/>
            </w:pPr>
            <w:r>
              <w:rPr>
                <w:rFonts w:ascii="Arial" w:hAnsi="Arial"/>
                <w:color w:val="111827"/>
                <w:sz w:val="14"/>
              </w:rPr>
              <w:t>Caching, request deduplication, mutations, retry policy, and query invalidation.</w:t>
            </w:r>
          </w:p>
        </w:tc>
      </w:tr>
      <w:tr>
        <w:trPr>
          <w:cantSplit/>
        </w:trPr>
        <w:tc>
          <w:tcPr>
            <w:tcW w:type="dxa" w:w="1944"/>
            <w:vAlign w:val="top"/>
          </w:tcPr>
          <w:p>
            <w:pPr>
              <w:spacing w:after="0"/>
            </w:pPr>
            <w:r>
              <w:rPr>
                <w:rFonts w:ascii="Arial" w:hAnsi="Arial"/>
                <w:color w:val="111827"/>
                <w:sz w:val="14"/>
              </w:rPr>
              <w:t>Forms</w:t>
            </w:r>
          </w:p>
        </w:tc>
        <w:tc>
          <w:tcPr>
            <w:tcW w:type="dxa" w:w="2880"/>
            <w:vAlign w:val="top"/>
          </w:tcPr>
          <w:p>
            <w:pPr>
              <w:spacing w:after="0"/>
            </w:pPr>
            <w:r>
              <w:rPr>
                <w:rFonts w:ascii="Arial" w:hAnsi="Arial"/>
                <w:color w:val="111827"/>
                <w:sz w:val="14"/>
              </w:rPr>
              <w:t>React Hook Form + Zod</w:t>
            </w:r>
          </w:p>
        </w:tc>
        <w:tc>
          <w:tcPr>
            <w:tcW w:type="dxa" w:w="5112"/>
            <w:vAlign w:val="top"/>
          </w:tcPr>
          <w:p>
            <w:pPr>
              <w:spacing w:after="0"/>
            </w:pPr>
            <w:r>
              <w:rPr>
                <w:rFonts w:ascii="Arial" w:hAnsi="Arial"/>
                <w:color w:val="111827"/>
                <w:sz w:val="14"/>
              </w:rPr>
              <w:t>Form state and shared validation schemas.</w:t>
            </w:r>
          </w:p>
        </w:tc>
      </w:tr>
      <w:tr>
        <w:trPr>
          <w:cantSplit/>
        </w:trPr>
        <w:tc>
          <w:tcPr>
            <w:tcW w:type="dxa" w:w="1944"/>
            <w:vAlign w:val="top"/>
            <w:shd w:fill="F9FAFB"/>
          </w:tcPr>
          <w:p>
            <w:pPr>
              <w:spacing w:after="0"/>
            </w:pPr>
            <w:r>
              <w:rPr>
                <w:rFonts w:ascii="Arial" w:hAnsi="Arial"/>
                <w:color w:val="111827"/>
                <w:sz w:val="14"/>
              </w:rPr>
              <w:t>Tables / Kanban</w:t>
            </w:r>
          </w:p>
        </w:tc>
        <w:tc>
          <w:tcPr>
            <w:tcW w:type="dxa" w:w="2880"/>
            <w:vAlign w:val="top"/>
            <w:shd w:fill="F9FAFB"/>
          </w:tcPr>
          <w:p>
            <w:pPr>
              <w:spacing w:after="0"/>
            </w:pPr>
            <w:r>
              <w:rPr>
                <w:rFonts w:ascii="Arial" w:hAnsi="Arial"/>
                <w:color w:val="111827"/>
                <w:sz w:val="14"/>
              </w:rPr>
              <w:t>TanStack Table + dnd-kit</w:t>
            </w:r>
          </w:p>
        </w:tc>
        <w:tc>
          <w:tcPr>
            <w:tcW w:type="dxa" w:w="5112"/>
            <w:vAlign w:val="top"/>
            <w:shd w:fill="F9FAFB"/>
          </w:tcPr>
          <w:p>
            <w:pPr>
              <w:spacing w:after="0"/>
            </w:pPr>
            <w:r>
              <w:rPr>
                <w:rFonts w:ascii="Arial" w:hAnsi="Arial"/>
                <w:color w:val="111827"/>
                <w:sz w:val="14"/>
              </w:rPr>
              <w:t>Virtualizable data grids and accessible stage movement.</w:t>
            </w:r>
          </w:p>
        </w:tc>
      </w:tr>
      <w:tr>
        <w:trPr>
          <w:cantSplit/>
        </w:trPr>
        <w:tc>
          <w:tcPr>
            <w:tcW w:type="dxa" w:w="1944"/>
            <w:vAlign w:val="top"/>
          </w:tcPr>
          <w:p>
            <w:pPr>
              <w:spacing w:after="0"/>
            </w:pPr>
            <w:r>
              <w:rPr>
                <w:rFonts w:ascii="Arial" w:hAnsi="Arial"/>
                <w:color w:val="111827"/>
                <w:sz w:val="14"/>
              </w:rPr>
              <w:t>Backend framework</w:t>
            </w:r>
          </w:p>
        </w:tc>
        <w:tc>
          <w:tcPr>
            <w:tcW w:type="dxa" w:w="2880"/>
            <w:vAlign w:val="top"/>
          </w:tcPr>
          <w:p>
            <w:pPr>
              <w:spacing w:after="0"/>
            </w:pPr>
            <w:r>
              <w:rPr>
                <w:rFonts w:ascii="Arial" w:hAnsi="Arial"/>
                <w:color w:val="111827"/>
                <w:sz w:val="14"/>
              </w:rPr>
              <w:t>NestJS</w:t>
            </w:r>
          </w:p>
        </w:tc>
        <w:tc>
          <w:tcPr>
            <w:tcW w:type="dxa" w:w="5112"/>
            <w:vAlign w:val="top"/>
          </w:tcPr>
          <w:p>
            <w:pPr>
              <w:spacing w:after="0"/>
            </w:pPr>
            <w:r>
              <w:rPr>
                <w:rFonts w:ascii="Arial" w:hAnsi="Arial"/>
                <w:color w:val="111827"/>
                <w:sz w:val="14"/>
              </w:rPr>
              <w:t>Module boundaries, dependency injection, guards, interceptors, validation, and OpenAPI.</w:t>
            </w:r>
          </w:p>
        </w:tc>
      </w:tr>
      <w:tr>
        <w:trPr>
          <w:cantSplit/>
        </w:trPr>
        <w:tc>
          <w:tcPr>
            <w:tcW w:type="dxa" w:w="1944"/>
            <w:vAlign w:val="top"/>
            <w:shd w:fill="F9FAFB"/>
          </w:tcPr>
          <w:p>
            <w:pPr>
              <w:spacing w:after="0"/>
            </w:pPr>
            <w:r>
              <w:rPr>
                <w:rFonts w:ascii="Arial" w:hAnsi="Arial"/>
                <w:color w:val="111827"/>
                <w:sz w:val="14"/>
              </w:rPr>
              <w:t>API style</w:t>
            </w:r>
          </w:p>
        </w:tc>
        <w:tc>
          <w:tcPr>
            <w:tcW w:type="dxa" w:w="2880"/>
            <w:vAlign w:val="top"/>
            <w:shd w:fill="F9FAFB"/>
          </w:tcPr>
          <w:p>
            <w:pPr>
              <w:spacing w:after="0"/>
            </w:pPr>
            <w:r>
              <w:rPr>
                <w:rFonts w:ascii="Arial" w:hAnsi="Arial"/>
                <w:color w:val="111827"/>
                <w:sz w:val="14"/>
              </w:rPr>
              <w:t>REST over HTTPS</w:t>
            </w:r>
          </w:p>
        </w:tc>
        <w:tc>
          <w:tcPr>
            <w:tcW w:type="dxa" w:w="5112"/>
            <w:vAlign w:val="top"/>
            <w:shd w:fill="F9FAFB"/>
          </w:tcPr>
          <w:p>
            <w:pPr>
              <w:spacing w:after="0"/>
            </w:pPr>
            <w:r>
              <w:rPr>
                <w:rFonts w:ascii="Arial" w:hAnsi="Arial"/>
                <w:color w:val="111827"/>
                <w:sz w:val="14"/>
              </w:rPr>
              <w:t>Versioned endpoints documented using OpenAPI.</w:t>
            </w:r>
          </w:p>
        </w:tc>
      </w:tr>
      <w:tr>
        <w:trPr>
          <w:cantSplit/>
        </w:trPr>
        <w:tc>
          <w:tcPr>
            <w:tcW w:type="dxa" w:w="1944"/>
            <w:vAlign w:val="top"/>
          </w:tcPr>
          <w:p>
            <w:pPr>
              <w:spacing w:after="0"/>
            </w:pPr>
            <w:r>
              <w:rPr>
                <w:rFonts w:ascii="Arial" w:hAnsi="Arial"/>
                <w:color w:val="111827"/>
                <w:sz w:val="14"/>
              </w:rPr>
              <w:t>ORM / migrations</w:t>
            </w:r>
          </w:p>
        </w:tc>
        <w:tc>
          <w:tcPr>
            <w:tcW w:type="dxa" w:w="2880"/>
            <w:vAlign w:val="top"/>
          </w:tcPr>
          <w:p>
            <w:pPr>
              <w:spacing w:after="0"/>
            </w:pPr>
            <w:r>
              <w:rPr>
                <w:rFonts w:ascii="Arial" w:hAnsi="Arial"/>
                <w:color w:val="111827"/>
                <w:sz w:val="14"/>
              </w:rPr>
              <w:t>Prisma ORM</w:t>
            </w:r>
          </w:p>
        </w:tc>
        <w:tc>
          <w:tcPr>
            <w:tcW w:type="dxa" w:w="5112"/>
            <w:vAlign w:val="top"/>
          </w:tcPr>
          <w:p>
            <w:pPr>
              <w:spacing w:after="0"/>
            </w:pPr>
            <w:r>
              <w:rPr>
                <w:rFonts w:ascii="Arial" w:hAnsi="Arial"/>
                <w:color w:val="111827"/>
                <w:sz w:val="14"/>
              </w:rPr>
              <w:t>Type-safe access and controlled schema migrations. Raw SQL remains allowed through reviewed repositories.</w:t>
            </w:r>
          </w:p>
        </w:tc>
      </w:tr>
      <w:tr>
        <w:trPr>
          <w:cantSplit/>
        </w:trPr>
        <w:tc>
          <w:tcPr>
            <w:tcW w:type="dxa" w:w="1944"/>
            <w:vAlign w:val="top"/>
            <w:shd w:fill="F9FAFB"/>
          </w:tcPr>
          <w:p>
            <w:pPr>
              <w:spacing w:after="0"/>
            </w:pPr>
            <w:r>
              <w:rPr>
                <w:rFonts w:ascii="Arial" w:hAnsi="Arial"/>
                <w:color w:val="111827"/>
                <w:sz w:val="14"/>
              </w:rPr>
              <w:t>Database</w:t>
            </w:r>
          </w:p>
        </w:tc>
        <w:tc>
          <w:tcPr>
            <w:tcW w:type="dxa" w:w="2880"/>
            <w:vAlign w:val="top"/>
            <w:shd w:fill="F9FAFB"/>
          </w:tcPr>
          <w:p>
            <w:pPr>
              <w:spacing w:after="0"/>
            </w:pPr>
            <w:r>
              <w:rPr>
                <w:rFonts w:ascii="Arial" w:hAnsi="Arial"/>
                <w:color w:val="111827"/>
                <w:sz w:val="14"/>
              </w:rPr>
              <w:t>PostgreSQL 18</w:t>
            </w:r>
          </w:p>
        </w:tc>
        <w:tc>
          <w:tcPr>
            <w:tcW w:type="dxa" w:w="5112"/>
            <w:vAlign w:val="top"/>
            <w:shd w:fill="F9FAFB"/>
          </w:tcPr>
          <w:p>
            <w:pPr>
              <w:spacing w:after="0"/>
            </w:pPr>
            <w:r>
              <w:rPr>
                <w:rFonts w:ascii="Arial" w:hAnsi="Arial"/>
                <w:color w:val="111827"/>
                <w:sz w:val="14"/>
              </w:rPr>
              <w:t>Authoritative transactional and reporting database.</w:t>
            </w:r>
          </w:p>
        </w:tc>
      </w:tr>
      <w:tr>
        <w:trPr>
          <w:cantSplit/>
        </w:trPr>
        <w:tc>
          <w:tcPr>
            <w:tcW w:type="dxa" w:w="1944"/>
            <w:vAlign w:val="top"/>
          </w:tcPr>
          <w:p>
            <w:pPr>
              <w:spacing w:after="0"/>
            </w:pPr>
            <w:r>
              <w:rPr>
                <w:rFonts w:ascii="Arial" w:hAnsi="Arial"/>
                <w:color w:val="111827"/>
                <w:sz w:val="14"/>
              </w:rPr>
              <w:t>Files</w:t>
            </w:r>
          </w:p>
        </w:tc>
        <w:tc>
          <w:tcPr>
            <w:tcW w:type="dxa" w:w="2880"/>
            <w:vAlign w:val="top"/>
          </w:tcPr>
          <w:p>
            <w:pPr>
              <w:spacing w:after="0"/>
            </w:pPr>
            <w:r>
              <w:rPr>
                <w:rFonts w:ascii="Arial" w:hAnsi="Arial"/>
                <w:color w:val="111827"/>
                <w:sz w:val="14"/>
              </w:rPr>
              <w:t>S3-compatible object storage</w:t>
            </w:r>
          </w:p>
        </w:tc>
        <w:tc>
          <w:tcPr>
            <w:tcW w:type="dxa" w:w="5112"/>
            <w:vAlign w:val="top"/>
          </w:tcPr>
          <w:p>
            <w:pPr>
              <w:spacing w:after="0"/>
            </w:pPr>
            <w:r>
              <w:rPr>
                <w:rFonts w:ascii="Arial" w:hAnsi="Arial"/>
                <w:color w:val="111827"/>
                <w:sz w:val="14"/>
              </w:rPr>
              <w:t>Private binaries, versioning, lifecycle, checksums, and presigned access.</w:t>
            </w:r>
          </w:p>
        </w:tc>
      </w:tr>
      <w:tr>
        <w:trPr>
          <w:cantSplit/>
        </w:trPr>
        <w:tc>
          <w:tcPr>
            <w:tcW w:type="dxa" w:w="1944"/>
            <w:vAlign w:val="top"/>
            <w:shd w:fill="F9FAFB"/>
          </w:tcPr>
          <w:p>
            <w:pPr>
              <w:spacing w:after="0"/>
            </w:pPr>
            <w:r>
              <w:rPr>
                <w:rFonts w:ascii="Arial" w:hAnsi="Arial"/>
                <w:color w:val="111827"/>
                <w:sz w:val="14"/>
              </w:rPr>
              <w:t>Queues / cache</w:t>
            </w:r>
          </w:p>
        </w:tc>
        <w:tc>
          <w:tcPr>
            <w:tcW w:type="dxa" w:w="2880"/>
            <w:vAlign w:val="top"/>
            <w:shd w:fill="F9FAFB"/>
          </w:tcPr>
          <w:p>
            <w:pPr>
              <w:spacing w:after="0"/>
            </w:pPr>
            <w:r>
              <w:rPr>
                <w:rFonts w:ascii="Arial" w:hAnsi="Arial"/>
                <w:color w:val="111827"/>
                <w:sz w:val="14"/>
              </w:rPr>
              <w:t>Redis + BullMQ</w:t>
            </w:r>
          </w:p>
        </w:tc>
        <w:tc>
          <w:tcPr>
            <w:tcW w:type="dxa" w:w="5112"/>
            <w:vAlign w:val="top"/>
            <w:shd w:fill="F9FAFB"/>
          </w:tcPr>
          <w:p>
            <w:pPr>
              <w:spacing w:after="0"/>
            </w:pPr>
            <w:r>
              <w:rPr>
                <w:rFonts w:ascii="Arial" w:hAnsi="Arial"/>
                <w:color w:val="111827"/>
                <w:sz w:val="14"/>
              </w:rPr>
              <w:t>Background jobs, retries, delayed tasks, distributed locks where necessary, and selective caching.</w:t>
            </w:r>
          </w:p>
        </w:tc>
      </w:tr>
      <w:tr>
        <w:trPr>
          <w:cantSplit/>
        </w:trPr>
        <w:tc>
          <w:tcPr>
            <w:tcW w:type="dxa" w:w="1944"/>
            <w:vAlign w:val="top"/>
          </w:tcPr>
          <w:p>
            <w:pPr>
              <w:spacing w:after="0"/>
            </w:pPr>
            <w:r>
              <w:rPr>
                <w:rFonts w:ascii="Arial" w:hAnsi="Arial"/>
                <w:color w:val="111827"/>
                <w:sz w:val="14"/>
              </w:rPr>
              <w:t>Observability</w:t>
            </w:r>
          </w:p>
        </w:tc>
        <w:tc>
          <w:tcPr>
            <w:tcW w:type="dxa" w:w="2880"/>
            <w:vAlign w:val="top"/>
          </w:tcPr>
          <w:p>
            <w:pPr>
              <w:spacing w:after="0"/>
            </w:pPr>
            <w:r>
              <w:rPr>
                <w:rFonts w:ascii="Arial" w:hAnsi="Arial"/>
                <w:color w:val="111827"/>
                <w:sz w:val="14"/>
              </w:rPr>
              <w:t>OpenTelemetry + structured JSON logs</w:t>
            </w:r>
          </w:p>
        </w:tc>
        <w:tc>
          <w:tcPr>
            <w:tcW w:type="dxa" w:w="5112"/>
            <w:vAlign w:val="top"/>
          </w:tcPr>
          <w:p>
            <w:pPr>
              <w:spacing w:after="0"/>
            </w:pPr>
            <w:r>
              <w:rPr>
                <w:rFonts w:ascii="Arial" w:hAnsi="Arial"/>
                <w:color w:val="111827"/>
                <w:sz w:val="14"/>
              </w:rPr>
              <w:t>Traces, metrics, correlation, and vendor-neutral export.</w:t>
            </w:r>
          </w:p>
        </w:tc>
      </w:tr>
      <w:tr>
        <w:trPr>
          <w:cantSplit/>
        </w:trPr>
        <w:tc>
          <w:tcPr>
            <w:tcW w:type="dxa" w:w="1944"/>
            <w:vAlign w:val="top"/>
            <w:shd w:fill="F9FAFB"/>
          </w:tcPr>
          <w:p>
            <w:pPr>
              <w:spacing w:after="0"/>
            </w:pPr>
            <w:r>
              <w:rPr>
                <w:rFonts w:ascii="Arial" w:hAnsi="Arial"/>
                <w:color w:val="111827"/>
                <w:sz w:val="14"/>
              </w:rPr>
              <w:t>Unit / integration tests</w:t>
            </w:r>
          </w:p>
        </w:tc>
        <w:tc>
          <w:tcPr>
            <w:tcW w:type="dxa" w:w="2880"/>
            <w:vAlign w:val="top"/>
            <w:shd w:fill="F9FAFB"/>
          </w:tcPr>
          <w:p>
            <w:pPr>
              <w:spacing w:after="0"/>
            </w:pPr>
            <w:r>
              <w:rPr>
                <w:rFonts w:ascii="Arial" w:hAnsi="Arial"/>
                <w:color w:val="111827"/>
                <w:sz w:val="14"/>
              </w:rPr>
              <w:t>Vitest + Supertest + Testcontainers</w:t>
            </w:r>
          </w:p>
        </w:tc>
        <w:tc>
          <w:tcPr>
            <w:tcW w:type="dxa" w:w="5112"/>
            <w:vAlign w:val="top"/>
            <w:shd w:fill="F9FAFB"/>
          </w:tcPr>
          <w:p>
            <w:pPr>
              <w:spacing w:after="0"/>
            </w:pPr>
            <w:r>
              <w:rPr>
                <w:rFonts w:ascii="Arial" w:hAnsi="Arial"/>
                <w:color w:val="111827"/>
                <w:sz w:val="14"/>
              </w:rPr>
              <w:t>Fast tests plus real PostgreSQL, Redis, and object-storage integration tests.</w:t>
            </w:r>
          </w:p>
        </w:tc>
      </w:tr>
      <w:tr>
        <w:trPr>
          <w:cantSplit/>
        </w:trPr>
        <w:tc>
          <w:tcPr>
            <w:tcW w:type="dxa" w:w="1944"/>
            <w:vAlign w:val="top"/>
          </w:tcPr>
          <w:p>
            <w:pPr>
              <w:spacing w:after="0"/>
            </w:pPr>
            <w:r>
              <w:rPr>
                <w:rFonts w:ascii="Arial" w:hAnsi="Arial"/>
                <w:color w:val="111827"/>
                <w:sz w:val="14"/>
              </w:rPr>
              <w:t>End-to-end tests</w:t>
            </w:r>
          </w:p>
        </w:tc>
        <w:tc>
          <w:tcPr>
            <w:tcW w:type="dxa" w:w="2880"/>
            <w:vAlign w:val="top"/>
          </w:tcPr>
          <w:p>
            <w:pPr>
              <w:spacing w:after="0"/>
            </w:pPr>
            <w:r>
              <w:rPr>
                <w:rFonts w:ascii="Arial" w:hAnsi="Arial"/>
                <w:color w:val="111827"/>
                <w:sz w:val="14"/>
              </w:rPr>
              <w:t>Playwright</w:t>
            </w:r>
          </w:p>
        </w:tc>
        <w:tc>
          <w:tcPr>
            <w:tcW w:type="dxa" w:w="5112"/>
            <w:vAlign w:val="top"/>
          </w:tcPr>
          <w:p>
            <w:pPr>
              <w:spacing w:after="0"/>
            </w:pPr>
            <w:r>
              <w:rPr>
                <w:rFonts w:ascii="Arial" w:hAnsi="Arial"/>
                <w:color w:val="111827"/>
                <w:sz w:val="14"/>
              </w:rPr>
              <w:t>Critical browser workflows across Chromium; Firefox/WebKit smoke coverage as agreed.</w:t>
            </w:r>
          </w:p>
        </w:tc>
      </w:tr>
      <w:tr>
        <w:trPr>
          <w:cantSplit/>
        </w:trPr>
        <w:tc>
          <w:tcPr>
            <w:tcW w:type="dxa" w:w="1944"/>
            <w:vAlign w:val="top"/>
            <w:shd w:fill="F9FAFB"/>
          </w:tcPr>
          <w:p>
            <w:pPr>
              <w:spacing w:after="0"/>
            </w:pPr>
            <w:r>
              <w:rPr>
                <w:rFonts w:ascii="Arial" w:hAnsi="Arial"/>
                <w:color w:val="111827"/>
                <w:sz w:val="14"/>
              </w:rPr>
              <w:t>Containers</w:t>
            </w:r>
          </w:p>
        </w:tc>
        <w:tc>
          <w:tcPr>
            <w:tcW w:type="dxa" w:w="2880"/>
            <w:vAlign w:val="top"/>
            <w:shd w:fill="F9FAFB"/>
          </w:tcPr>
          <w:p>
            <w:pPr>
              <w:spacing w:after="0"/>
            </w:pPr>
            <w:r>
              <w:rPr>
                <w:rFonts w:ascii="Arial" w:hAnsi="Arial"/>
                <w:color w:val="111827"/>
                <w:sz w:val="14"/>
              </w:rPr>
              <w:t>Docker</w:t>
            </w:r>
          </w:p>
        </w:tc>
        <w:tc>
          <w:tcPr>
            <w:tcW w:type="dxa" w:w="5112"/>
            <w:vAlign w:val="top"/>
            <w:shd w:fill="F9FAFB"/>
          </w:tcPr>
          <w:p>
            <w:pPr>
              <w:spacing w:after="0"/>
            </w:pPr>
            <w:r>
              <w:rPr>
                <w:rFonts w:ascii="Arial" w:hAnsi="Arial"/>
                <w:color w:val="111827"/>
                <w:sz w:val="14"/>
              </w:rPr>
              <w:t>Consistent build and runtime packaging.</w:t>
            </w:r>
          </w:p>
        </w:tc>
      </w:tr>
      <w:tr>
        <w:trPr>
          <w:cantSplit/>
        </w:trPr>
        <w:tc>
          <w:tcPr>
            <w:tcW w:type="dxa" w:w="1944"/>
            <w:vAlign w:val="top"/>
          </w:tcPr>
          <w:p>
            <w:pPr>
              <w:spacing w:after="0"/>
            </w:pPr>
            <w:r>
              <w:rPr>
                <w:rFonts w:ascii="Arial" w:hAnsi="Arial"/>
                <w:color w:val="111827"/>
                <w:sz w:val="14"/>
              </w:rPr>
              <w:t>CI/CD</w:t>
            </w:r>
          </w:p>
        </w:tc>
        <w:tc>
          <w:tcPr>
            <w:tcW w:type="dxa" w:w="2880"/>
            <w:vAlign w:val="top"/>
          </w:tcPr>
          <w:p>
            <w:pPr>
              <w:spacing w:after="0"/>
            </w:pPr>
            <w:r>
              <w:rPr>
                <w:rFonts w:ascii="Arial" w:hAnsi="Arial"/>
                <w:color w:val="111827"/>
                <w:sz w:val="14"/>
              </w:rPr>
              <w:t>GitHub Actions</w:t>
            </w:r>
          </w:p>
        </w:tc>
        <w:tc>
          <w:tcPr>
            <w:tcW w:type="dxa" w:w="5112"/>
            <w:vAlign w:val="top"/>
          </w:tcPr>
          <w:p>
            <w:pPr>
              <w:spacing w:after="0"/>
            </w:pPr>
            <w:r>
              <w:rPr>
                <w:rFonts w:ascii="Arial" w:hAnsi="Arial"/>
                <w:color w:val="111827"/>
                <w:sz w:val="14"/>
              </w:rPr>
              <w:t>Build, lint, test, scan, package, migrate, and deploy automation.</w:t>
            </w:r>
          </w:p>
        </w:tc>
      </w:tr>
    </w:tbl>
    <w:p>
      <w:pPr>
        <w:spacing w:after="0"/>
      </w:pPr>
    </w:p>
    <w:tbl>
      <w:tblPr>
        <w:tblW w:type="auto" w:w="0"/>
        <w:jc w:val="center"/>
        <w:tblLayout w:type="autofit"/>
        <w:tblLook w:firstColumn="1" w:firstRow="1" w:lastColumn="0" w:lastRow="0" w:noHBand="0" w:noVBand="1" w:val="04A0"/>
      </w:tblPr>
      <w:tblGrid>
        <w:gridCol w:w="9948"/>
      </w:tblGrid>
      <w:tr>
        <w:tc>
          <w:tcPr>
            <w:tcW w:type="dxa" w:w="9948"/>
            <w:shd w:fill="DBEAFE"/>
            <w:tcBorders>
              <w:top w:val="single" w:sz="10" w:color="2563EB"/>
              <w:left w:val="single" w:sz="18" w:color="2563EB"/>
              <w:bottom w:val="single" w:sz="10" w:color="2563EB"/>
              <w:right w:val="single" w:sz="10" w:color="2563EB"/>
            </w:tcBorders>
          </w:tcPr>
          <w:p>
            <w:pPr>
              <w:spacing w:after="40"/>
            </w:pPr>
            <w:r>
              <w:rPr>
                <w:rFonts w:ascii="Arial" w:hAnsi="Arial"/>
                <w:b/>
                <w:color w:val="2563EB"/>
                <w:sz w:val="19"/>
              </w:rPr>
              <w:t>Technology review cadence</w:t>
            </w:r>
          </w:p>
          <w:p>
            <w:pPr>
              <w:spacing w:after="40"/>
            </w:pPr>
            <w:r>
              <w:rPr>
                <w:rFonts w:ascii="Arial" w:hAnsi="Arial"/>
                <w:sz w:val="17"/>
              </w:rPr>
              <w:t>Review the stack quarterly and before every major release. Security patches may be expedited. Major upgrades require an ADR, migration plan, automated regression coverage, and rollback strategy.</w:t>
            </w:r>
          </w:p>
        </w:tc>
      </w:tr>
    </w:tbl>
    <w:p>
      <w:pPr>
        <w:spacing w:after="0"/>
      </w:pPr>
    </w:p>
    <w:p>
      <w:pPr>
        <w:pStyle w:val="Heading1"/>
      </w:pPr>
      <w:r>
        <w:t>5. Logical Architecture and Module Boundaries</w:t>
      </w:r>
    </w:p>
    <w:p>
      <w:pPr>
        <w:jc w:val="center"/>
      </w:pPr>
      <w:r>
        <w:drawing>
          <wp:inline xmlns:a="http://schemas.openxmlformats.org/drawingml/2006/main" xmlns:pic="http://schemas.openxmlformats.org/drawingml/2006/picture">
            <wp:extent cx="6400800" cy="3733800"/>
            <wp:docPr id="2" name="Picture 2"/>
            <wp:cNvGraphicFramePr>
              <a:graphicFrameLocks noChangeAspect="1"/>
            </wp:cNvGraphicFramePr>
            <a:graphic>
              <a:graphicData uri="http://schemas.openxmlformats.org/drawingml/2006/picture">
                <pic:pic>
                  <pic:nvPicPr>
                    <pic:cNvPr id="0" name="logical_architecture.png"/>
                    <pic:cNvPicPr/>
                  </pic:nvPicPr>
                  <pic:blipFill>
                    <a:blip r:embed="rId11"/>
                    <a:stretch>
                      <a:fillRect/>
                    </a:stretch>
                  </pic:blipFill>
                  <pic:spPr>
                    <a:xfrm>
                      <a:off x="0" y="0"/>
                      <a:ext cx="6400800" cy="3733800"/>
                    </a:xfrm>
                    <a:prstGeom prst="rect"/>
                  </pic:spPr>
                </pic:pic>
              </a:graphicData>
            </a:graphic>
          </wp:inline>
        </w:drawing>
      </w:r>
    </w:p>
    <w:p>
      <w:pPr>
        <w:jc w:val="center"/>
      </w:pPr>
      <w:r>
        <w:rPr>
          <w:rFonts w:ascii="Arial" w:hAnsi="Arial"/>
          <w:i/>
          <w:color w:val="6B7280"/>
          <w:sz w:val="16"/>
        </w:rPr>
        <w:t>Figure 1 - Logical architecture and system-of-record boundaries.</w:t>
      </w:r>
    </w:p>
    <w:p>
      <w:pPr>
        <w:pStyle w:val="Heading2"/>
      </w:pPr>
      <w:r>
        <w:t>5.1 Business Modules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376"/>
            <w:shd w:fill="5B21B6"/>
            <w:vAlign w:val="center"/>
          </w:tcPr>
          <w:p>
            <w:pPr>
              <w:jc w:val="left"/>
            </w:pPr>
            <w:r>
              <w:rPr>
                <w:rFonts w:ascii="Arial" w:hAnsi="Arial"/>
                <w:b/>
                <w:color w:val="FFFFFF"/>
                <w:sz w:val="15"/>
              </w:rPr>
              <w:t>Module</w:t>
            </w:r>
          </w:p>
        </w:tc>
        <w:tc>
          <w:tcPr>
            <w:tcW w:type="dxa" w:w="7560"/>
            <w:shd w:fill="5B21B6"/>
            <w:vAlign w:val="center"/>
          </w:tcPr>
          <w:p>
            <w:pPr>
              <w:jc w:val="left"/>
            </w:pPr>
            <w:r>
              <w:rPr>
                <w:rFonts w:ascii="Arial" w:hAnsi="Arial"/>
                <w:b/>
                <w:color w:val="FFFFFF"/>
                <w:sz w:val="15"/>
              </w:rPr>
              <w:t>Owns</w:t>
            </w:r>
          </w:p>
        </w:tc>
      </w:tr>
      <w:tr>
        <w:trPr>
          <w:cantSplit/>
        </w:trPr>
        <w:tc>
          <w:tcPr>
            <w:tcW w:type="dxa" w:w="2376"/>
            <w:vAlign w:val="top"/>
          </w:tcPr>
          <w:p>
            <w:pPr>
              <w:spacing w:after="0"/>
            </w:pPr>
            <w:r>
              <w:rPr>
                <w:rFonts w:ascii="Arial" w:hAnsi="Arial"/>
                <w:color w:val="111827"/>
                <w:sz w:val="15"/>
              </w:rPr>
              <w:t>Identity and Access</w:t>
            </w:r>
          </w:p>
        </w:tc>
        <w:tc>
          <w:tcPr>
            <w:tcW w:type="dxa" w:w="7560"/>
            <w:vAlign w:val="top"/>
          </w:tcPr>
          <w:p>
            <w:pPr>
              <w:spacing w:after="0"/>
            </w:pPr>
            <w:r>
              <w:rPr>
                <w:rFonts w:ascii="Arial" w:hAnsi="Arial"/>
                <w:color w:val="111827"/>
                <w:sz w:val="15"/>
              </w:rPr>
              <w:t>Users, identities, sessions, roles, permissions, organizational scope.</w:t>
            </w:r>
          </w:p>
        </w:tc>
      </w:tr>
      <w:tr>
        <w:trPr>
          <w:cantSplit/>
        </w:trPr>
        <w:tc>
          <w:tcPr>
            <w:tcW w:type="dxa" w:w="2376"/>
            <w:vAlign w:val="top"/>
            <w:shd w:fill="F9FAFB"/>
          </w:tcPr>
          <w:p>
            <w:pPr>
              <w:spacing w:after="0"/>
            </w:pPr>
            <w:r>
              <w:rPr>
                <w:rFonts w:ascii="Arial" w:hAnsi="Arial"/>
                <w:color w:val="111827"/>
                <w:sz w:val="15"/>
              </w:rPr>
              <w:t>Organization</w:t>
            </w:r>
          </w:p>
        </w:tc>
        <w:tc>
          <w:tcPr>
            <w:tcW w:type="dxa" w:w="7560"/>
            <w:vAlign w:val="top"/>
            <w:shd w:fill="F9FAFB"/>
          </w:tcPr>
          <w:p>
            <w:pPr>
              <w:spacing w:after="0"/>
            </w:pPr>
            <w:r>
              <w:rPr>
                <w:rFonts w:ascii="Arial" w:hAnsi="Arial"/>
                <w:color w:val="111827"/>
                <w:sz w:val="15"/>
              </w:rPr>
              <w:t>Legal entities, branches, departments, functions, categories, levels, positions, salary bands.</w:t>
            </w:r>
          </w:p>
        </w:tc>
      </w:tr>
      <w:tr>
        <w:trPr>
          <w:cantSplit/>
        </w:trPr>
        <w:tc>
          <w:tcPr>
            <w:tcW w:type="dxa" w:w="2376"/>
            <w:vAlign w:val="top"/>
          </w:tcPr>
          <w:p>
            <w:pPr>
              <w:spacing w:after="0"/>
            </w:pPr>
            <w:r>
              <w:rPr>
                <w:rFonts w:ascii="Arial" w:hAnsi="Arial"/>
                <w:color w:val="111827"/>
                <w:sz w:val="15"/>
              </w:rPr>
              <w:t>Vacancy Requests</w:t>
            </w:r>
          </w:p>
        </w:tc>
        <w:tc>
          <w:tcPr>
            <w:tcW w:type="dxa" w:w="7560"/>
            <w:vAlign w:val="top"/>
          </w:tcPr>
          <w:p>
            <w:pPr>
              <w:spacing w:after="0"/>
            </w:pPr>
            <w:r>
              <w:rPr>
                <w:rFonts w:ascii="Arial" w:hAnsi="Arial"/>
                <w:color w:val="111827"/>
                <w:sz w:val="15"/>
              </w:rPr>
              <w:t>Requests, approval routes, approval decisions, comments, revisions, conversion.</w:t>
            </w:r>
          </w:p>
        </w:tc>
      </w:tr>
      <w:tr>
        <w:trPr>
          <w:cantSplit/>
        </w:trPr>
        <w:tc>
          <w:tcPr>
            <w:tcW w:type="dxa" w:w="2376"/>
            <w:vAlign w:val="top"/>
            <w:shd w:fill="F9FAFB"/>
          </w:tcPr>
          <w:p>
            <w:pPr>
              <w:spacing w:after="0"/>
            </w:pPr>
            <w:r>
              <w:rPr>
                <w:rFonts w:ascii="Arial" w:hAnsi="Arial"/>
                <w:color w:val="111827"/>
                <w:sz w:val="15"/>
              </w:rPr>
              <w:t>Vacancies</w:t>
            </w:r>
          </w:p>
        </w:tc>
        <w:tc>
          <w:tcPr>
            <w:tcW w:type="dxa" w:w="7560"/>
            <w:vAlign w:val="top"/>
            <w:shd w:fill="F9FAFB"/>
          </w:tcPr>
          <w:p>
            <w:pPr>
              <w:spacing w:after="0"/>
            </w:pPr>
            <w:r>
              <w:rPr>
                <w:rFonts w:ascii="Arial" w:hAnsi="Arial"/>
                <w:color w:val="111827"/>
                <w:sz w:val="15"/>
              </w:rPr>
              <w:t>Open requirements, assignments, headcount, aging, hold, cancellation, closure.</w:t>
            </w:r>
          </w:p>
        </w:tc>
      </w:tr>
      <w:tr>
        <w:trPr>
          <w:cantSplit/>
        </w:trPr>
        <w:tc>
          <w:tcPr>
            <w:tcW w:type="dxa" w:w="2376"/>
            <w:vAlign w:val="top"/>
          </w:tcPr>
          <w:p>
            <w:pPr>
              <w:spacing w:after="0"/>
            </w:pPr>
            <w:r>
              <w:rPr>
                <w:rFonts w:ascii="Arial" w:hAnsi="Arial"/>
                <w:color w:val="111827"/>
                <w:sz w:val="15"/>
              </w:rPr>
              <w:t>Candidates</w:t>
            </w:r>
          </w:p>
        </w:tc>
        <w:tc>
          <w:tcPr>
            <w:tcW w:type="dxa" w:w="7560"/>
            <w:vAlign w:val="top"/>
          </w:tcPr>
          <w:p>
            <w:pPr>
              <w:spacing w:after="0"/>
            </w:pPr>
            <w:r>
              <w:rPr>
                <w:rFonts w:ascii="Arial" w:hAnsi="Arial"/>
                <w:color w:val="111827"/>
                <w:sz w:val="15"/>
              </w:rPr>
              <w:t>Candidate profile, contact normalization, consent, files, tags, merge.</w:t>
            </w:r>
          </w:p>
        </w:tc>
      </w:tr>
      <w:tr>
        <w:trPr>
          <w:cantSplit/>
        </w:trPr>
        <w:tc>
          <w:tcPr>
            <w:tcW w:type="dxa" w:w="2376"/>
            <w:vAlign w:val="top"/>
            <w:shd w:fill="F9FAFB"/>
          </w:tcPr>
          <w:p>
            <w:pPr>
              <w:spacing w:after="0"/>
            </w:pPr>
            <w:r>
              <w:rPr>
                <w:rFonts w:ascii="Arial" w:hAnsi="Arial"/>
                <w:color w:val="111827"/>
                <w:sz w:val="15"/>
              </w:rPr>
              <w:t>Applications</w:t>
            </w:r>
          </w:p>
        </w:tc>
        <w:tc>
          <w:tcPr>
            <w:tcW w:type="dxa" w:w="7560"/>
            <w:vAlign w:val="top"/>
            <w:shd w:fill="F9FAFB"/>
          </w:tcPr>
          <w:p>
            <w:pPr>
              <w:spacing w:after="0"/>
            </w:pPr>
            <w:r>
              <w:rPr>
                <w:rFonts w:ascii="Arial" w:hAnsi="Arial"/>
                <w:color w:val="111827"/>
                <w:sz w:val="15"/>
              </w:rPr>
              <w:t>Vacancy-specific source, owner, stage, status, tasks, rejection, withdrawal, transfer.</w:t>
            </w:r>
          </w:p>
        </w:tc>
      </w:tr>
      <w:tr>
        <w:trPr>
          <w:cantSplit/>
        </w:trPr>
        <w:tc>
          <w:tcPr>
            <w:tcW w:type="dxa" w:w="2376"/>
            <w:vAlign w:val="top"/>
          </w:tcPr>
          <w:p>
            <w:pPr>
              <w:spacing w:after="0"/>
            </w:pPr>
            <w:r>
              <w:rPr>
                <w:rFonts w:ascii="Arial" w:hAnsi="Arial"/>
                <w:color w:val="111827"/>
                <w:sz w:val="15"/>
              </w:rPr>
              <w:t>Pipeline and Screening</w:t>
            </w:r>
          </w:p>
        </w:tc>
        <w:tc>
          <w:tcPr>
            <w:tcW w:type="dxa" w:w="7560"/>
            <w:vAlign w:val="top"/>
          </w:tcPr>
          <w:p>
            <w:pPr>
              <w:spacing w:after="0"/>
            </w:pPr>
            <w:r>
              <w:rPr>
                <w:rFonts w:ascii="Arial" w:hAnsi="Arial"/>
                <w:color w:val="111827"/>
                <w:sz w:val="15"/>
              </w:rPr>
              <w:t>Templates, stages, transitions, screening records, SLA, automation rules.</w:t>
            </w:r>
          </w:p>
        </w:tc>
      </w:tr>
      <w:tr>
        <w:trPr>
          <w:cantSplit/>
        </w:trPr>
        <w:tc>
          <w:tcPr>
            <w:tcW w:type="dxa" w:w="2376"/>
            <w:vAlign w:val="top"/>
            <w:shd w:fill="F9FAFB"/>
          </w:tcPr>
          <w:p>
            <w:pPr>
              <w:spacing w:after="0"/>
            </w:pPr>
            <w:r>
              <w:rPr>
                <w:rFonts w:ascii="Arial" w:hAnsi="Arial"/>
                <w:color w:val="111827"/>
                <w:sz w:val="15"/>
              </w:rPr>
              <w:t>Interviews</w:t>
            </w:r>
          </w:p>
        </w:tc>
        <w:tc>
          <w:tcPr>
            <w:tcW w:type="dxa" w:w="7560"/>
            <w:vAlign w:val="top"/>
            <w:shd w:fill="F9FAFB"/>
          </w:tcPr>
          <w:p>
            <w:pPr>
              <w:spacing w:after="0"/>
            </w:pPr>
            <w:r>
              <w:rPr>
                <w:rFonts w:ascii="Arial" w:hAnsi="Arial"/>
                <w:color w:val="111827"/>
                <w:sz w:val="15"/>
              </w:rPr>
              <w:t>Scheduling, participants, evaluations, missing-feedback controls, decision meetings.</w:t>
            </w:r>
          </w:p>
        </w:tc>
      </w:tr>
      <w:tr>
        <w:trPr>
          <w:cantSplit/>
        </w:trPr>
        <w:tc>
          <w:tcPr>
            <w:tcW w:type="dxa" w:w="2376"/>
            <w:vAlign w:val="top"/>
          </w:tcPr>
          <w:p>
            <w:pPr>
              <w:spacing w:after="0"/>
            </w:pPr>
            <w:r>
              <w:rPr>
                <w:rFonts w:ascii="Arial" w:hAnsi="Arial"/>
                <w:color w:val="111827"/>
                <w:sz w:val="15"/>
              </w:rPr>
              <w:t>Offers</w:t>
            </w:r>
          </w:p>
        </w:tc>
        <w:tc>
          <w:tcPr>
            <w:tcW w:type="dxa" w:w="7560"/>
            <w:vAlign w:val="top"/>
          </w:tcPr>
          <w:p>
            <w:pPr>
              <w:spacing w:after="0"/>
            </w:pPr>
            <w:r>
              <w:rPr>
                <w:rFonts w:ascii="Arial" w:hAnsi="Arial"/>
                <w:color w:val="111827"/>
                <w:sz w:val="15"/>
              </w:rPr>
              <w:t>Offer records, versions, compensation components, approvals, candidate response.</w:t>
            </w:r>
          </w:p>
        </w:tc>
      </w:tr>
      <w:tr>
        <w:trPr>
          <w:cantSplit/>
        </w:trPr>
        <w:tc>
          <w:tcPr>
            <w:tcW w:type="dxa" w:w="2376"/>
            <w:vAlign w:val="top"/>
            <w:shd w:fill="F9FAFB"/>
          </w:tcPr>
          <w:p>
            <w:pPr>
              <w:spacing w:after="0"/>
            </w:pPr>
            <w:r>
              <w:rPr>
                <w:rFonts w:ascii="Arial" w:hAnsi="Arial"/>
                <w:color w:val="111827"/>
                <w:sz w:val="15"/>
              </w:rPr>
              <w:t>Hiring</w:t>
            </w:r>
          </w:p>
        </w:tc>
        <w:tc>
          <w:tcPr>
            <w:tcW w:type="dxa" w:w="7560"/>
            <w:vAlign w:val="top"/>
            <w:shd w:fill="F9FAFB"/>
          </w:tcPr>
          <w:p>
            <w:pPr>
              <w:spacing w:after="0"/>
            </w:pPr>
            <w:r>
              <w:rPr>
                <w:rFonts w:ascii="Arial" w:hAnsi="Arial"/>
                <w:color w:val="111827"/>
                <w:sz w:val="15"/>
              </w:rPr>
              <w:t>Hiring cases, document checklist, license verification, final approval, joining.</w:t>
            </w:r>
          </w:p>
        </w:tc>
      </w:tr>
      <w:tr>
        <w:trPr>
          <w:cantSplit/>
        </w:trPr>
        <w:tc>
          <w:tcPr>
            <w:tcW w:type="dxa" w:w="2376"/>
            <w:vAlign w:val="top"/>
          </w:tcPr>
          <w:p>
            <w:pPr>
              <w:spacing w:after="0"/>
            </w:pPr>
            <w:r>
              <w:rPr>
                <w:rFonts w:ascii="Arial" w:hAnsi="Arial"/>
                <w:color w:val="111827"/>
                <w:sz w:val="15"/>
              </w:rPr>
              <w:t>Documents</w:t>
            </w:r>
          </w:p>
        </w:tc>
        <w:tc>
          <w:tcPr>
            <w:tcW w:type="dxa" w:w="7560"/>
            <w:vAlign w:val="top"/>
          </w:tcPr>
          <w:p>
            <w:pPr>
              <w:spacing w:after="0"/>
            </w:pPr>
            <w:r>
              <w:rPr>
                <w:rFonts w:ascii="Arial" w:hAnsi="Arial"/>
                <w:color w:val="111827"/>
                <w:sz w:val="15"/>
              </w:rPr>
              <w:t>File metadata, versions, access policy, malware state, retention, expiry.</w:t>
            </w:r>
          </w:p>
        </w:tc>
      </w:tr>
      <w:tr>
        <w:trPr>
          <w:cantSplit/>
        </w:trPr>
        <w:tc>
          <w:tcPr>
            <w:tcW w:type="dxa" w:w="2376"/>
            <w:vAlign w:val="top"/>
            <w:shd w:fill="F9FAFB"/>
          </w:tcPr>
          <w:p>
            <w:pPr>
              <w:spacing w:after="0"/>
            </w:pPr>
            <w:r>
              <w:rPr>
                <w:rFonts w:ascii="Arial" w:hAnsi="Arial"/>
                <w:color w:val="111827"/>
                <w:sz w:val="15"/>
              </w:rPr>
              <w:t>Tasks and Notifications</w:t>
            </w:r>
          </w:p>
        </w:tc>
        <w:tc>
          <w:tcPr>
            <w:tcW w:type="dxa" w:w="7560"/>
            <w:vAlign w:val="top"/>
            <w:shd w:fill="F9FAFB"/>
          </w:tcPr>
          <w:p>
            <w:pPr>
              <w:spacing w:after="0"/>
            </w:pPr>
            <w:r>
              <w:rPr>
                <w:rFonts w:ascii="Arial" w:hAnsi="Arial"/>
                <w:color w:val="111827"/>
                <w:sz w:val="15"/>
              </w:rPr>
              <w:t>Assignments, reminders, escalations, inbox, email and in-app events.</w:t>
            </w:r>
          </w:p>
        </w:tc>
      </w:tr>
      <w:tr>
        <w:trPr>
          <w:cantSplit/>
        </w:trPr>
        <w:tc>
          <w:tcPr>
            <w:tcW w:type="dxa" w:w="2376"/>
            <w:vAlign w:val="top"/>
          </w:tcPr>
          <w:p>
            <w:pPr>
              <w:spacing w:after="0"/>
            </w:pPr>
            <w:r>
              <w:rPr>
                <w:rFonts w:ascii="Arial" w:hAnsi="Arial"/>
                <w:color w:val="111827"/>
                <w:sz w:val="15"/>
              </w:rPr>
              <w:t>Reporting</w:t>
            </w:r>
          </w:p>
        </w:tc>
        <w:tc>
          <w:tcPr>
            <w:tcW w:type="dxa" w:w="7560"/>
            <w:vAlign w:val="top"/>
          </w:tcPr>
          <w:p>
            <w:pPr>
              <w:spacing w:after="0"/>
            </w:pPr>
            <w:r>
              <w:rPr>
                <w:rFonts w:ascii="Arial" w:hAnsi="Arial"/>
                <w:color w:val="111827"/>
                <w:sz w:val="15"/>
              </w:rPr>
              <w:t>Operational views, KPI calculations, exports, scheduled reports.</w:t>
            </w:r>
          </w:p>
        </w:tc>
      </w:tr>
      <w:tr>
        <w:trPr>
          <w:cantSplit/>
        </w:trPr>
        <w:tc>
          <w:tcPr>
            <w:tcW w:type="dxa" w:w="2376"/>
            <w:vAlign w:val="top"/>
            <w:shd w:fill="F9FAFB"/>
          </w:tcPr>
          <w:p>
            <w:pPr>
              <w:spacing w:after="0"/>
            </w:pPr>
            <w:r>
              <w:rPr>
                <w:rFonts w:ascii="Arial" w:hAnsi="Arial"/>
                <w:color w:val="111827"/>
                <w:sz w:val="15"/>
              </w:rPr>
              <w:t>Administration and Audit</w:t>
            </w:r>
          </w:p>
        </w:tc>
        <w:tc>
          <w:tcPr>
            <w:tcW w:type="dxa" w:w="7560"/>
            <w:vAlign w:val="top"/>
            <w:shd w:fill="F9FAFB"/>
          </w:tcPr>
          <w:p>
            <w:pPr>
              <w:spacing w:after="0"/>
            </w:pPr>
            <w:r>
              <w:rPr>
                <w:rFonts w:ascii="Arial" w:hAnsi="Arial"/>
                <w:color w:val="111827"/>
                <w:sz w:val="15"/>
              </w:rPr>
              <w:t>Master data, configuration, import/export governance, audit trail.</w:t>
            </w:r>
          </w:p>
        </w:tc>
      </w:tr>
    </w:tbl>
    <w:p>
      <w:pPr>
        <w:spacing w:after="0"/>
      </w:pPr>
    </w:p>
    <w:p>
      <w:pPr>
        <w:pStyle w:val="Heading2"/>
      </w:pPr>
      <w:r>
        <w:t>5.2 Dependency Rules</w:t>
      </w:r>
    </w:p>
    <w:p>
      <w:pPr>
        <w:pStyle w:val="ListBullet"/>
      </w:pPr>
      <w:r>
        <w:rPr>
          <w:rFonts w:ascii="Arial" w:hAnsi="Arial"/>
        </w:rPr>
        <w:t>A module SHALL expose application services and contracts. Other modules SHALL NOT import its repositories or database implementation directly.</w:t>
      </w:r>
    </w:p>
    <w:p>
      <w:pPr>
        <w:pStyle w:val="ListBullet"/>
      </w:pPr>
      <w:r>
        <w:rPr>
          <w:rFonts w:ascii="Arial" w:hAnsi="Arial"/>
        </w:rPr>
        <w:t>Cross-module operations that must be atomic SHALL execute through an orchestrating application service inside one PostgreSQL transaction.</w:t>
      </w:r>
    </w:p>
    <w:p>
      <w:pPr>
        <w:pStyle w:val="ListBullet"/>
      </w:pPr>
      <w:r>
        <w:rPr>
          <w:rFonts w:ascii="Arial" w:hAnsi="Arial"/>
        </w:rPr>
        <w:t>Side effects such as email and integration sync SHALL be emitted through a transactional outbox and processed asynchronously.</w:t>
      </w:r>
    </w:p>
    <w:p>
      <w:pPr>
        <w:pStyle w:val="ListBullet"/>
      </w:pPr>
      <w:r>
        <w:rPr>
          <w:rFonts w:ascii="Arial" w:hAnsi="Arial"/>
        </w:rPr>
        <w:t>Circular module dependencies are prohibited. Shared primitives must be placed in narrowly scoped shared packages, not a generic dumping ground.</w:t>
      </w:r>
    </w:p>
    <w:p>
      <w:pPr>
        <w:pStyle w:val="ListBullet"/>
      </w:pPr>
      <w:r>
        <w:rPr>
          <w:rFonts w:ascii="Arial" w:hAnsi="Arial"/>
        </w:rPr>
        <w:t>A module owns its business rules, table access, domain events, tests, and API handlers.</w:t>
      </w:r>
    </w:p>
    <w:p>
      <w:pPr>
        <w:pStyle w:val="Heading1"/>
      </w:pPr>
      <w:r>
        <w:t>6. Repository and Project Structure</w:t>
      </w:r>
    </w:p>
    <w:p>
      <w:pPr>
        <w:pStyle w:val="CodeBlock"/>
        <w:shd w:fill="F3F4F6"/>
      </w:pPr>
      <w:r>
        <w:rPr>
          <w:rFonts w:ascii="Courier New" w:hAnsi="Courier New"/>
          <w:sz w:val="15"/>
        </w:rPr>
        <w:t>recruitflow/</w:t>
        <w:br/>
      </w:r>
      <w:r>
        <w:rPr>
          <w:rFonts w:ascii="Courier New" w:hAnsi="Courier New"/>
          <w:sz w:val="15"/>
        </w:rPr>
        <w:t xml:space="preserve">  apps/</w:t>
        <w:br/>
      </w:r>
      <w:r>
        <w:rPr>
          <w:rFonts w:ascii="Courier New" w:hAnsi="Courier New"/>
          <w:sz w:val="15"/>
        </w:rPr>
        <w:t xml:space="preserve">    web/                 # React application</w:t>
        <w:br/>
      </w:r>
      <w:r>
        <w:rPr>
          <w:rFonts w:ascii="Courier New" w:hAnsi="Courier New"/>
          <w:sz w:val="15"/>
        </w:rPr>
        <w:t xml:space="preserve">    api/                 # NestJS HTTP application</w:t>
        <w:br/>
      </w:r>
      <w:r>
        <w:rPr>
          <w:rFonts w:ascii="Courier New" w:hAnsi="Courier New"/>
          <w:sz w:val="15"/>
        </w:rPr>
        <w:t xml:space="preserve">    worker/              # BullMQ workers and scheduled jobs</w:t>
        <w:br/>
      </w:r>
      <w:r>
        <w:rPr>
          <w:rFonts w:ascii="Courier New" w:hAnsi="Courier New"/>
          <w:sz w:val="15"/>
        </w:rPr>
        <w:t xml:space="preserve">  packages/</w:t>
        <w:br/>
      </w:r>
      <w:r>
        <w:rPr>
          <w:rFonts w:ascii="Courier New" w:hAnsi="Courier New"/>
          <w:sz w:val="15"/>
        </w:rPr>
        <w:t xml:space="preserve">    contracts/           # API DTOs, problem types, event contracts</w:t>
        <w:br/>
      </w:r>
      <w:r>
        <w:rPr>
          <w:rFonts w:ascii="Courier New" w:hAnsi="Courier New"/>
          <w:sz w:val="15"/>
        </w:rPr>
        <w:t xml:space="preserve">    validation/          # Shared Zod schemas where safe to share</w:t>
        <w:br/>
      </w:r>
      <w:r>
        <w:rPr>
          <w:rFonts w:ascii="Courier New" w:hAnsi="Courier New"/>
          <w:sz w:val="15"/>
        </w:rPr>
        <w:t xml:space="preserve">    design-system/       # Tokens and reusable UI components</w:t>
        <w:br/>
      </w:r>
      <w:r>
        <w:rPr>
          <w:rFonts w:ascii="Courier New" w:hAnsi="Courier New"/>
          <w:sz w:val="15"/>
        </w:rPr>
        <w:t xml:space="preserve">    database/            # Prisma schema, migrations, generated client</w:t>
        <w:br/>
      </w:r>
      <w:r>
        <w:rPr>
          <w:rFonts w:ascii="Courier New" w:hAnsi="Courier New"/>
          <w:sz w:val="15"/>
        </w:rPr>
        <w:t xml:space="preserve">    observability/       # Logging, tracing, metrics helpers</w:t>
        <w:br/>
      </w:r>
      <w:r>
        <w:rPr>
          <w:rFonts w:ascii="Courier New" w:hAnsi="Courier New"/>
          <w:sz w:val="15"/>
        </w:rPr>
        <w:t xml:space="preserve">    config/              # Typed environment configuration</w:t>
        <w:br/>
      </w:r>
      <w:r>
        <w:rPr>
          <w:rFonts w:ascii="Courier New" w:hAnsi="Courier New"/>
          <w:sz w:val="15"/>
        </w:rPr>
        <w:t xml:space="preserve">    testing/             # Factories, fixtures, test utilities</w:t>
        <w:br/>
      </w:r>
      <w:r>
        <w:rPr>
          <w:rFonts w:ascii="Courier New" w:hAnsi="Courier New"/>
          <w:sz w:val="15"/>
        </w:rPr>
        <w:t xml:space="preserve">  infrastructure/</w:t>
        <w:br/>
      </w:r>
      <w:r>
        <w:rPr>
          <w:rFonts w:ascii="Courier New" w:hAnsi="Courier New"/>
          <w:sz w:val="15"/>
        </w:rPr>
        <w:t xml:space="preserve">    docker/</w:t>
        <w:br/>
      </w:r>
      <w:r>
        <w:rPr>
          <w:rFonts w:ascii="Courier New" w:hAnsi="Courier New"/>
          <w:sz w:val="15"/>
        </w:rPr>
        <w:t xml:space="preserve">    nginx/</w:t>
        <w:br/>
      </w:r>
      <w:r>
        <w:rPr>
          <w:rFonts w:ascii="Courier New" w:hAnsi="Courier New"/>
          <w:sz w:val="15"/>
        </w:rPr>
        <w:t xml:space="preserve">    monitoring/</w:t>
        <w:br/>
      </w:r>
      <w:r>
        <w:rPr>
          <w:rFonts w:ascii="Courier New" w:hAnsi="Courier New"/>
          <w:sz w:val="15"/>
        </w:rPr>
        <w:t xml:space="preserve">    scripts/</w:t>
        <w:br/>
      </w:r>
      <w:r>
        <w:rPr>
          <w:rFonts w:ascii="Courier New" w:hAnsi="Courier New"/>
          <w:sz w:val="15"/>
        </w:rPr>
        <w:t xml:space="preserve">  documentation/</w:t>
        <w:br/>
      </w:r>
      <w:r>
        <w:rPr>
          <w:rFonts w:ascii="Courier New" w:hAnsi="Courier New"/>
          <w:sz w:val="15"/>
        </w:rPr>
        <w:t xml:space="preserve">    adr/</w:t>
        <w:br/>
      </w:r>
      <w:r>
        <w:rPr>
          <w:rFonts w:ascii="Courier New" w:hAnsi="Courier New"/>
          <w:sz w:val="15"/>
        </w:rPr>
        <w:t xml:space="preserve">    api/</w:t>
        <w:br/>
      </w:r>
      <w:r>
        <w:rPr>
          <w:rFonts w:ascii="Courier New" w:hAnsi="Courier New"/>
          <w:sz w:val="15"/>
        </w:rPr>
        <w:t xml:space="preserve">    runbooks/</w:t>
        <w:br/>
      </w:r>
      <w:r>
        <w:rPr>
          <w:rFonts w:ascii="Courier New" w:hAnsi="Courier New"/>
          <w:sz w:val="15"/>
        </w:rPr>
        <w:t xml:space="preserve">    data/</w:t>
        <w:br/>
      </w:r>
      <w:r>
        <w:rPr>
          <w:rFonts w:ascii="Courier New" w:hAnsi="Courier New"/>
          <w:sz w:val="15"/>
        </w:rPr>
        <w:t xml:space="preserve">  .github/workflows/</w:t>
        <w:br/>
      </w:r>
      <w:r>
        <w:rPr>
          <w:rFonts w:ascii="Courier New" w:hAnsi="Courier New"/>
          <w:sz w:val="15"/>
        </w:rPr>
        <w:t xml:space="preserve">  pnpm-workspace.yaml</w:t>
        <w:br/>
      </w:r>
      <w:r>
        <w:rPr>
          <w:rFonts w:ascii="Courier New" w:hAnsi="Courier New"/>
          <w:sz w:val="15"/>
        </w:rPr>
        <w:t xml:space="preserve">  package.json</w:t>
        <w:br/>
      </w:r>
      <w:r>
        <w:rPr>
          <w:rFonts w:ascii="Courier New" w:hAnsi="Courier New"/>
          <w:sz w:val="15"/>
        </w:rPr>
        <w:t xml:space="preserve">  pnpm-lock.yaml</w:t>
        <w:br/>
      </w:r>
      <w:r>
        <w:rPr>
          <w:rFonts w:ascii="Courier New" w:hAnsi="Courier New"/>
          <w:sz w:val="15"/>
        </w:rPr>
        <w:t xml:space="preserve">  README.md</w:t>
      </w:r>
    </w:p>
    <w:p>
      <w:pPr>
        <w:pStyle w:val="ListBullet"/>
      </w:pPr>
      <w:r>
        <w:rPr>
          <w:rFonts w:ascii="Arial" w:hAnsi="Arial"/>
        </w:rPr>
        <w:t>Each feature in apps/web and each module in apps/api SHALL have a clear public entry point.</w:t>
      </w:r>
    </w:p>
    <w:p>
      <w:pPr>
        <w:pStyle w:val="ListBullet"/>
      </w:pPr>
      <w:r>
        <w:rPr>
          <w:rFonts w:ascii="Arial" w:hAnsi="Arial"/>
        </w:rPr>
        <w:t>Generated Prisma Client code SHALL not be edited manually.</w:t>
      </w:r>
    </w:p>
    <w:p>
      <w:pPr>
        <w:pStyle w:val="ListBullet"/>
      </w:pPr>
      <w:r>
        <w:rPr>
          <w:rFonts w:ascii="Arial" w:hAnsi="Arial"/>
        </w:rPr>
        <w:t>Environment files containing secrets SHALL never be committed. Only .env.example with safe placeholders is allowed.</w:t>
      </w:r>
    </w:p>
    <w:p>
      <w:pPr>
        <w:pStyle w:val="ListBullet"/>
      </w:pPr>
      <w:r>
        <w:rPr>
          <w:rFonts w:ascii="Arial" w:hAnsi="Arial"/>
        </w:rPr>
        <w:t>Build artifacts, uploaded files, database volumes, reports, and local secrets SHALL be excluded from Git.</w:t>
      </w:r>
    </w:p>
    <w:p>
      <w:pPr>
        <w:pStyle w:val="ListBullet"/>
      </w:pPr>
      <w:r>
        <w:rPr>
          <w:rFonts w:ascii="Arial" w:hAnsi="Arial"/>
        </w:rPr>
        <w:t>The monorepo root SHALL provide common lint, type-check, test, build, and formatting commands.</w:t>
      </w:r>
    </w:p>
    <w:p>
      <w:pPr>
        <w:pStyle w:val="Heading1"/>
      </w:pPr>
      <w:r>
        <w:t>7. Frontend Engineering Guidelines</w:t>
      </w:r>
    </w:p>
    <w:p>
      <w:pPr>
        <w:pStyle w:val="Heading2"/>
      </w:pPr>
      <w:r>
        <w:t>7.1 Application Structure</w:t>
      </w:r>
    </w:p>
    <w:p>
      <w:pPr>
        <w:pStyle w:val="CodeBlock"/>
        <w:shd w:fill="F3F4F6"/>
      </w:pPr>
      <w:r>
        <w:rPr>
          <w:rFonts w:ascii="Courier New" w:hAnsi="Courier New"/>
          <w:sz w:val="15"/>
        </w:rPr>
        <w:t>src/</w:t>
        <w:br/>
      </w:r>
      <w:r>
        <w:rPr>
          <w:rFonts w:ascii="Courier New" w:hAnsi="Courier New"/>
          <w:sz w:val="15"/>
        </w:rPr>
        <w:t xml:space="preserve">  app/                   # Router, providers, error boundaries, shell</w:t>
        <w:br/>
      </w:r>
      <w:r>
        <w:rPr>
          <w:rFonts w:ascii="Courier New" w:hAnsi="Courier New"/>
          <w:sz w:val="15"/>
        </w:rPr>
        <w:t xml:space="preserve">  features/</w:t>
        <w:br/>
      </w:r>
      <w:r>
        <w:rPr>
          <w:rFonts w:ascii="Courier New" w:hAnsi="Courier New"/>
          <w:sz w:val="15"/>
        </w:rPr>
        <w:t xml:space="preserve">    vacancies/</w:t>
        <w:br/>
      </w:r>
      <w:r>
        <w:rPr>
          <w:rFonts w:ascii="Courier New" w:hAnsi="Courier New"/>
          <w:sz w:val="15"/>
        </w:rPr>
        <w:t xml:space="preserve">      api/</w:t>
        <w:br/>
      </w:r>
      <w:r>
        <w:rPr>
          <w:rFonts w:ascii="Courier New" w:hAnsi="Courier New"/>
          <w:sz w:val="15"/>
        </w:rPr>
        <w:t xml:space="preserve">      components/</w:t>
        <w:br/>
      </w:r>
      <w:r>
        <w:rPr>
          <w:rFonts w:ascii="Courier New" w:hAnsi="Courier New"/>
          <w:sz w:val="15"/>
        </w:rPr>
        <w:t xml:space="preserve">      forms/</w:t>
        <w:br/>
      </w:r>
      <w:r>
        <w:rPr>
          <w:rFonts w:ascii="Courier New" w:hAnsi="Courier New"/>
          <w:sz w:val="15"/>
        </w:rPr>
        <w:t xml:space="preserve">      pages/</w:t>
        <w:br/>
      </w:r>
      <w:r>
        <w:rPr>
          <w:rFonts w:ascii="Courier New" w:hAnsi="Courier New"/>
          <w:sz w:val="15"/>
        </w:rPr>
        <w:t xml:space="preserve">      queries/</w:t>
        <w:br/>
      </w:r>
      <w:r>
        <w:rPr>
          <w:rFonts w:ascii="Courier New" w:hAnsi="Courier New"/>
          <w:sz w:val="15"/>
        </w:rPr>
        <w:t xml:space="preserve">      routes/</w:t>
        <w:br/>
      </w:r>
      <w:r>
        <w:rPr>
          <w:rFonts w:ascii="Courier New" w:hAnsi="Courier New"/>
          <w:sz w:val="15"/>
        </w:rPr>
        <w:t xml:space="preserve">      schemas/</w:t>
        <w:br/>
      </w:r>
      <w:r>
        <w:rPr>
          <w:rFonts w:ascii="Courier New" w:hAnsi="Courier New"/>
          <w:sz w:val="15"/>
        </w:rPr>
        <w:t xml:space="preserve">      types/</w:t>
        <w:br/>
      </w:r>
      <w:r>
        <w:rPr>
          <w:rFonts w:ascii="Courier New" w:hAnsi="Courier New"/>
          <w:sz w:val="15"/>
        </w:rPr>
        <w:t xml:space="preserve">  components/            # Cross-feature business-agnostic components</w:t>
        <w:br/>
      </w:r>
      <w:r>
        <w:rPr>
          <w:rFonts w:ascii="Courier New" w:hAnsi="Courier New"/>
          <w:sz w:val="15"/>
        </w:rPr>
        <w:t xml:space="preserve">  design-system/         # App wrappers around shared UI package</w:t>
        <w:br/>
      </w:r>
      <w:r>
        <w:rPr>
          <w:rFonts w:ascii="Courier New" w:hAnsi="Courier New"/>
          <w:sz w:val="15"/>
        </w:rPr>
        <w:t xml:space="preserve">  hooks/</w:t>
        <w:br/>
      </w:r>
      <w:r>
        <w:rPr>
          <w:rFonts w:ascii="Courier New" w:hAnsi="Courier New"/>
          <w:sz w:val="15"/>
        </w:rPr>
        <w:t xml:space="preserve">  lib/</w:t>
        <w:br/>
      </w:r>
      <w:r>
        <w:rPr>
          <w:rFonts w:ascii="Courier New" w:hAnsi="Courier New"/>
          <w:sz w:val="15"/>
        </w:rPr>
        <w:t xml:space="preserve">  permissions/</w:t>
        <w:br/>
      </w:r>
      <w:r>
        <w:rPr>
          <w:rFonts w:ascii="Courier New" w:hAnsi="Courier New"/>
          <w:sz w:val="15"/>
        </w:rPr>
        <w:t xml:space="preserve">  testing/</w:t>
      </w:r>
    </w:p>
    <w:p>
      <w:pPr>
        <w:pStyle w:val="ListBullet"/>
      </w:pPr>
      <w:r>
        <w:rPr>
          <w:rFonts w:ascii="Arial" w:hAnsi="Arial"/>
        </w:rPr>
        <w:t>Pages compose features; pages SHALL NOT contain direct fetch calls or business-rule duplication.</w:t>
      </w:r>
    </w:p>
    <w:p>
      <w:pPr>
        <w:pStyle w:val="ListBullet"/>
      </w:pPr>
      <w:r>
        <w:rPr>
          <w:rFonts w:ascii="Arial" w:hAnsi="Arial"/>
        </w:rPr>
        <w:t>Remote data SHALL be managed by TanStack Query. Zustand MAY be used only for local cross-component UI state that is not server data.</w:t>
      </w:r>
    </w:p>
    <w:p>
      <w:pPr>
        <w:pStyle w:val="ListBullet"/>
      </w:pPr>
      <w:r>
        <w:rPr>
          <w:rFonts w:ascii="Arial" w:hAnsi="Arial"/>
        </w:rPr>
        <w:t>Route modules SHOULD be lazy loaded. The initial bundle SHALL not include all report, administration, or heavy editor features.</w:t>
      </w:r>
    </w:p>
    <w:p>
      <w:pPr>
        <w:pStyle w:val="ListBullet"/>
      </w:pPr>
      <w:r>
        <w:rPr>
          <w:rFonts w:ascii="Arial" w:hAnsi="Arial"/>
        </w:rPr>
        <w:t>Components SHALL be accessible by keyboard and screen reader. Color alone SHALL NOT communicate status.</w:t>
      </w:r>
    </w:p>
    <w:p>
      <w:pPr>
        <w:pStyle w:val="ListBullet"/>
      </w:pPr>
      <w:r>
        <w:rPr>
          <w:rFonts w:ascii="Arial" w:hAnsi="Arial"/>
        </w:rPr>
        <w:t>All user-facing dates SHALL be formatted in the user timezone; the API sends ISO 8601 UTC timestamps.</w:t>
      </w:r>
    </w:p>
    <w:p>
      <w:pPr>
        <w:pStyle w:val="Heading2"/>
      </w:pPr>
      <w:r>
        <w:t>7.2 Forms and Validation</w:t>
      </w:r>
    </w:p>
    <w:p>
      <w:pPr>
        <w:pStyle w:val="ListBullet"/>
      </w:pPr>
      <w:r>
        <w:rPr>
          <w:rFonts w:ascii="Arial" w:hAnsi="Arial"/>
        </w:rPr>
        <w:t>React Hook Form SHALL manage form state and Zod SHALL define client-side schemas.</w:t>
      </w:r>
    </w:p>
    <w:p>
      <w:pPr>
        <w:pStyle w:val="ListBullet"/>
      </w:pPr>
      <w:r>
        <w:rPr>
          <w:rFonts w:ascii="Arial" w:hAnsi="Arial"/>
        </w:rPr>
        <w:t>Client validation improves usability but never replaces server validation.</w:t>
      </w:r>
    </w:p>
    <w:p>
      <w:pPr>
        <w:pStyle w:val="ListBullet"/>
      </w:pPr>
      <w:r>
        <w:rPr>
          <w:rFonts w:ascii="Arial" w:hAnsi="Arial"/>
        </w:rPr>
        <w:t>Forms SHALL display field-level errors, a summary for multi-step or long forms, loading state, disabled state, and unsaved-change protection.</w:t>
      </w:r>
    </w:p>
    <w:p>
      <w:pPr>
        <w:pStyle w:val="ListBullet"/>
      </w:pPr>
      <w:r>
        <w:rPr>
          <w:rFonts w:ascii="Arial" w:hAnsi="Arial"/>
        </w:rPr>
        <w:t>Sensitive fields such as salary SHALL be rendered only when the permission response explicitly allows them.</w:t>
      </w:r>
    </w:p>
    <w:p>
      <w:pPr>
        <w:pStyle w:val="ListBullet"/>
      </w:pPr>
      <w:r>
        <w:rPr>
          <w:rFonts w:ascii="Arial" w:hAnsi="Arial"/>
        </w:rPr>
        <w:t>Use controlled select values from master data APIs; do not hard-code production status lists in page components.</w:t>
      </w:r>
    </w:p>
    <w:p>
      <w:pPr>
        <w:pStyle w:val="Heading2"/>
      </w:pPr>
      <w:r>
        <w:t>7.3 Query and Mutation Conventions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016"/>
            <w:shd w:fill="5B21B6"/>
            <w:vAlign w:val="center"/>
          </w:tcPr>
          <w:p>
            <w:pPr>
              <w:jc w:val="left"/>
            </w:pPr>
            <w:r>
              <w:rPr>
                <w:rFonts w:ascii="Arial" w:hAnsi="Arial"/>
                <w:b/>
                <w:color w:val="FFFFFF"/>
                <w:sz w:val="15"/>
              </w:rPr>
              <w:t>Concern</w:t>
            </w:r>
          </w:p>
        </w:tc>
        <w:tc>
          <w:tcPr>
            <w:tcW w:type="dxa" w:w="7920"/>
            <w:shd w:fill="5B21B6"/>
            <w:vAlign w:val="center"/>
          </w:tcPr>
          <w:p>
            <w:pPr>
              <w:jc w:val="left"/>
            </w:pPr>
            <w:r>
              <w:rPr>
                <w:rFonts w:ascii="Arial" w:hAnsi="Arial"/>
                <w:b/>
                <w:color w:val="FFFFFF"/>
                <w:sz w:val="15"/>
              </w:rPr>
              <w:t>Rule</w:t>
            </w:r>
          </w:p>
        </w:tc>
      </w:tr>
      <w:tr>
        <w:trPr>
          <w:cantSplit/>
        </w:trPr>
        <w:tc>
          <w:tcPr>
            <w:tcW w:type="dxa" w:w="2016"/>
            <w:vAlign w:val="top"/>
          </w:tcPr>
          <w:p>
            <w:pPr>
              <w:spacing w:after="0"/>
            </w:pPr>
            <w:r>
              <w:rPr>
                <w:rFonts w:ascii="Arial" w:hAnsi="Arial"/>
                <w:color w:val="111827"/>
                <w:sz w:val="15"/>
              </w:rPr>
              <w:t>Query keys</w:t>
            </w:r>
          </w:p>
        </w:tc>
        <w:tc>
          <w:tcPr>
            <w:tcW w:type="dxa" w:w="7920"/>
            <w:vAlign w:val="top"/>
          </w:tcPr>
          <w:p>
            <w:pPr>
              <w:spacing w:after="0"/>
            </w:pPr>
            <w:r>
              <w:rPr>
                <w:rFonts w:ascii="Arial" w:hAnsi="Arial"/>
                <w:color w:val="111827"/>
                <w:sz w:val="15"/>
              </w:rPr>
              <w:t>Use feature-owned factories, for example vacancyKeys.list(filters) and vacancyKeys.detail(id).</w:t>
            </w:r>
          </w:p>
        </w:tc>
      </w:tr>
      <w:tr>
        <w:trPr>
          <w:cantSplit/>
        </w:trPr>
        <w:tc>
          <w:tcPr>
            <w:tcW w:type="dxa" w:w="2016"/>
            <w:vAlign w:val="top"/>
            <w:shd w:fill="F9FAFB"/>
          </w:tcPr>
          <w:p>
            <w:pPr>
              <w:spacing w:after="0"/>
            </w:pPr>
            <w:r>
              <w:rPr>
                <w:rFonts w:ascii="Arial" w:hAnsi="Arial"/>
                <w:color w:val="111827"/>
                <w:sz w:val="15"/>
              </w:rPr>
              <w:t>Retries</w:t>
            </w:r>
          </w:p>
        </w:tc>
        <w:tc>
          <w:tcPr>
            <w:tcW w:type="dxa" w:w="7920"/>
            <w:vAlign w:val="top"/>
            <w:shd w:fill="F9FAFB"/>
          </w:tcPr>
          <w:p>
            <w:pPr>
              <w:spacing w:after="0"/>
            </w:pPr>
            <w:r>
              <w:rPr>
                <w:rFonts w:ascii="Arial" w:hAnsi="Arial"/>
                <w:color w:val="111827"/>
                <w:sz w:val="15"/>
              </w:rPr>
              <w:t>Retry safe reads for transient failures; do not automatically retry business mutations unless idempotency is guaranteed.</w:t>
            </w:r>
          </w:p>
        </w:tc>
      </w:tr>
      <w:tr>
        <w:trPr>
          <w:cantSplit/>
        </w:trPr>
        <w:tc>
          <w:tcPr>
            <w:tcW w:type="dxa" w:w="2016"/>
            <w:vAlign w:val="top"/>
          </w:tcPr>
          <w:p>
            <w:pPr>
              <w:spacing w:after="0"/>
            </w:pPr>
            <w:r>
              <w:rPr>
                <w:rFonts w:ascii="Arial" w:hAnsi="Arial"/>
                <w:color w:val="111827"/>
                <w:sz w:val="15"/>
              </w:rPr>
              <w:t>Invalidation</w:t>
            </w:r>
          </w:p>
        </w:tc>
        <w:tc>
          <w:tcPr>
            <w:tcW w:type="dxa" w:w="7920"/>
            <w:vAlign w:val="top"/>
          </w:tcPr>
          <w:p>
            <w:pPr>
              <w:spacing w:after="0"/>
            </w:pPr>
            <w:r>
              <w:rPr>
                <w:rFonts w:ascii="Arial" w:hAnsi="Arial"/>
                <w:color w:val="111827"/>
                <w:sz w:val="15"/>
              </w:rPr>
              <w:t>Invalidate the smallest affected query scope after mutation. Avoid global cache clears.</w:t>
            </w:r>
          </w:p>
        </w:tc>
      </w:tr>
      <w:tr>
        <w:trPr>
          <w:cantSplit/>
        </w:trPr>
        <w:tc>
          <w:tcPr>
            <w:tcW w:type="dxa" w:w="2016"/>
            <w:vAlign w:val="top"/>
            <w:shd w:fill="F9FAFB"/>
          </w:tcPr>
          <w:p>
            <w:pPr>
              <w:spacing w:after="0"/>
            </w:pPr>
            <w:r>
              <w:rPr>
                <w:rFonts w:ascii="Arial" w:hAnsi="Arial"/>
                <w:color w:val="111827"/>
                <w:sz w:val="15"/>
              </w:rPr>
              <w:t>Optimistic UI</w:t>
            </w:r>
          </w:p>
        </w:tc>
        <w:tc>
          <w:tcPr>
            <w:tcW w:type="dxa" w:w="7920"/>
            <w:vAlign w:val="top"/>
            <w:shd w:fill="F9FAFB"/>
          </w:tcPr>
          <w:p>
            <w:pPr>
              <w:spacing w:after="0"/>
            </w:pPr>
            <w:r>
              <w:rPr>
                <w:rFonts w:ascii="Arial" w:hAnsi="Arial"/>
                <w:color w:val="111827"/>
                <w:sz w:val="15"/>
              </w:rPr>
              <w:t>Allowed only for reversible, low-risk actions. Stage transitions, approvals, offers, and document verification wait for server confirmation.</w:t>
            </w:r>
          </w:p>
        </w:tc>
      </w:tr>
      <w:tr>
        <w:trPr>
          <w:cantSplit/>
        </w:trPr>
        <w:tc>
          <w:tcPr>
            <w:tcW w:type="dxa" w:w="2016"/>
            <w:vAlign w:val="top"/>
          </w:tcPr>
          <w:p>
            <w:pPr>
              <w:spacing w:after="0"/>
            </w:pPr>
            <w:r>
              <w:rPr>
                <w:rFonts w:ascii="Arial" w:hAnsi="Arial"/>
                <w:color w:val="111827"/>
                <w:sz w:val="15"/>
              </w:rPr>
              <w:t>Pagination</w:t>
            </w:r>
          </w:p>
        </w:tc>
        <w:tc>
          <w:tcPr>
            <w:tcW w:type="dxa" w:w="7920"/>
            <w:vAlign w:val="top"/>
          </w:tcPr>
          <w:p>
            <w:pPr>
              <w:spacing w:after="0"/>
            </w:pPr>
            <w:r>
              <w:rPr>
                <w:rFonts w:ascii="Arial" w:hAnsi="Arial"/>
                <w:color w:val="111827"/>
                <w:sz w:val="15"/>
              </w:rPr>
              <w:t>Use server-side cursor or stable keyset pagination for large lists; offset pagination is acceptable for small administrative lists.</w:t>
            </w:r>
          </w:p>
        </w:tc>
      </w:tr>
      <w:tr>
        <w:trPr>
          <w:cantSplit/>
        </w:trPr>
        <w:tc>
          <w:tcPr>
            <w:tcW w:type="dxa" w:w="2016"/>
            <w:vAlign w:val="top"/>
            <w:shd w:fill="F9FAFB"/>
          </w:tcPr>
          <w:p>
            <w:pPr>
              <w:spacing w:after="0"/>
            </w:pPr>
            <w:r>
              <w:rPr>
                <w:rFonts w:ascii="Arial" w:hAnsi="Arial"/>
                <w:color w:val="111827"/>
                <w:sz w:val="15"/>
              </w:rPr>
              <w:t>Errors</w:t>
            </w:r>
          </w:p>
        </w:tc>
        <w:tc>
          <w:tcPr>
            <w:tcW w:type="dxa" w:w="7920"/>
            <w:vAlign w:val="top"/>
            <w:shd w:fill="F9FAFB"/>
          </w:tcPr>
          <w:p>
            <w:pPr>
              <w:spacing w:after="0"/>
            </w:pPr>
            <w:r>
              <w:rPr>
                <w:rFonts w:ascii="Arial" w:hAnsi="Arial"/>
                <w:color w:val="111827"/>
                <w:sz w:val="15"/>
              </w:rPr>
              <w:t>Map application/problem+json responses to actionable messages without exposing internal details.</w:t>
            </w:r>
          </w:p>
        </w:tc>
      </w:tr>
    </w:tbl>
    <w:p>
      <w:pPr>
        <w:spacing w:after="0"/>
      </w:pPr>
    </w:p>
    <w:p>
      <w:pPr>
        <w:pStyle w:val="Heading2"/>
      </w:pPr>
      <w:r>
        <w:t>7.4 Design System Rules</w:t>
      </w:r>
    </w:p>
    <w:p>
      <w:pPr>
        <w:pStyle w:val="ListBullet"/>
      </w:pPr>
      <w:r>
        <w:rPr>
          <w:rFonts w:ascii="Arial" w:hAnsi="Arial"/>
        </w:rPr>
        <w:t>Figma, Tailwind theme tokens, and code tokens SHALL use the same semantic names.</w:t>
      </w:r>
    </w:p>
    <w:p>
      <w:pPr>
        <w:pStyle w:val="ListBullet"/>
      </w:pPr>
      <w:r>
        <w:rPr>
          <w:rFonts w:ascii="Arial" w:hAnsi="Arial"/>
        </w:rPr>
        <w:t>Do not copy shadcn/ui components into multiple feature folders. Maintain one reviewed component implementation.</w:t>
      </w:r>
    </w:p>
    <w:p>
      <w:pPr>
        <w:pStyle w:val="ListBullet"/>
      </w:pPr>
      <w:r>
        <w:rPr>
          <w:rFonts w:ascii="Arial" w:hAnsi="Arial"/>
        </w:rPr>
        <w:t>Tables SHALL support loading, empty, error, filtering, sorting, pagination, column visibility, and permission-aware actions.</w:t>
      </w:r>
    </w:p>
    <w:p>
      <w:pPr>
        <w:pStyle w:val="ListBullet"/>
      </w:pPr>
      <w:r>
        <w:rPr>
          <w:rFonts w:ascii="Arial" w:hAnsi="Arial"/>
        </w:rPr>
        <w:t>The pipeline SHALL provide drag-and-drop plus a keyboard-accessible Move Stage action.</w:t>
      </w:r>
    </w:p>
    <w:p>
      <w:pPr>
        <w:pStyle w:val="ListBullet"/>
      </w:pPr>
      <w:r>
        <w:rPr>
          <w:rFonts w:ascii="Arial" w:hAnsi="Arial"/>
        </w:rPr>
        <w:t>Dark mode MAY be delivered after functional workflows are stable; it SHALL not duplicate business logic or status definitions.</w:t>
      </w:r>
    </w:p>
    <w:p>
      <w:pPr>
        <w:pStyle w:val="Heading1"/>
      </w:pPr>
      <w:r>
        <w:t>8. Backend Engineering Guidelines</w:t>
      </w:r>
    </w:p>
    <w:p>
      <w:pPr>
        <w:pStyle w:val="Heading2"/>
      </w:pPr>
      <w:r>
        <w:t>8.1 NestJS Module Pattern</w:t>
      </w:r>
    </w:p>
    <w:p>
      <w:pPr>
        <w:pStyle w:val="CodeBlock"/>
        <w:shd w:fill="F3F4F6"/>
      </w:pPr>
      <w:r>
        <w:rPr>
          <w:rFonts w:ascii="Courier New" w:hAnsi="Courier New"/>
          <w:sz w:val="15"/>
        </w:rPr>
        <w:t>modules/vacancies/</w:t>
        <w:br/>
      </w:r>
      <w:r>
        <w:rPr>
          <w:rFonts w:ascii="Courier New" w:hAnsi="Courier New"/>
          <w:sz w:val="15"/>
        </w:rPr>
        <w:t xml:space="preserve">  api/</w:t>
        <w:br/>
      </w:r>
      <w:r>
        <w:rPr>
          <w:rFonts w:ascii="Courier New" w:hAnsi="Courier New"/>
          <w:sz w:val="15"/>
        </w:rPr>
        <w:t xml:space="preserve">    vacancy.controller.ts</w:t>
        <w:br/>
      </w:r>
      <w:r>
        <w:rPr>
          <w:rFonts w:ascii="Courier New" w:hAnsi="Courier New"/>
          <w:sz w:val="15"/>
        </w:rPr>
        <w:t xml:space="preserve">    vacancy.dto.ts</w:t>
        <w:br/>
      </w:r>
      <w:r>
        <w:rPr>
          <w:rFonts w:ascii="Courier New" w:hAnsi="Courier New"/>
          <w:sz w:val="15"/>
        </w:rPr>
        <w:t xml:space="preserve">  application/</w:t>
        <w:br/>
      </w:r>
      <w:r>
        <w:rPr>
          <w:rFonts w:ascii="Courier New" w:hAnsi="Courier New"/>
          <w:sz w:val="15"/>
        </w:rPr>
        <w:t xml:space="preserve">    create-vacancy.service.ts</w:t>
        <w:br/>
      </w:r>
      <w:r>
        <w:rPr>
          <w:rFonts w:ascii="Courier New" w:hAnsi="Courier New"/>
          <w:sz w:val="15"/>
        </w:rPr>
        <w:t xml:space="preserve">    change-vacancy-status.service.ts</w:t>
        <w:br/>
      </w:r>
      <w:r>
        <w:rPr>
          <w:rFonts w:ascii="Courier New" w:hAnsi="Courier New"/>
          <w:sz w:val="15"/>
        </w:rPr>
        <w:t xml:space="preserve">  domain/</w:t>
        <w:br/>
      </w:r>
      <w:r>
        <w:rPr>
          <w:rFonts w:ascii="Courier New" w:hAnsi="Courier New"/>
          <w:sz w:val="15"/>
        </w:rPr>
        <w:t xml:space="preserve">    vacancy-policy.ts</w:t>
        <w:br/>
      </w:r>
      <w:r>
        <w:rPr>
          <w:rFonts w:ascii="Courier New" w:hAnsi="Courier New"/>
          <w:sz w:val="15"/>
        </w:rPr>
        <w:t xml:space="preserve">    vacancy.events.ts</w:t>
        <w:br/>
      </w:r>
      <w:r>
        <w:rPr>
          <w:rFonts w:ascii="Courier New" w:hAnsi="Courier New"/>
          <w:sz w:val="15"/>
        </w:rPr>
        <w:t xml:space="preserve">    vacancy.types.ts</w:t>
        <w:br/>
      </w:r>
      <w:r>
        <w:rPr>
          <w:rFonts w:ascii="Courier New" w:hAnsi="Courier New"/>
          <w:sz w:val="15"/>
        </w:rPr>
        <w:t xml:space="preserve">  infrastructure/</w:t>
        <w:br/>
      </w:r>
      <w:r>
        <w:rPr>
          <w:rFonts w:ascii="Courier New" w:hAnsi="Courier New"/>
          <w:sz w:val="15"/>
        </w:rPr>
        <w:t xml:space="preserve">    vacancy.repository.ts</w:t>
        <w:br/>
      </w:r>
      <w:r>
        <w:rPr>
          <w:rFonts w:ascii="Courier New" w:hAnsi="Courier New"/>
          <w:sz w:val="15"/>
        </w:rPr>
        <w:t xml:space="preserve">    vacancy.mapper.ts</w:t>
        <w:br/>
      </w:r>
      <w:r>
        <w:rPr>
          <w:rFonts w:ascii="Courier New" w:hAnsi="Courier New"/>
          <w:sz w:val="15"/>
        </w:rPr>
        <w:t xml:space="preserve">  vacancies.module.ts</w:t>
        <w:br/>
      </w:r>
      <w:r>
        <w:rPr>
          <w:rFonts w:ascii="Courier New" w:hAnsi="Courier New"/>
          <w:sz w:val="15"/>
        </w:rPr>
        <w:t xml:space="preserve">  __tests__/</w:t>
      </w:r>
    </w:p>
    <w:p>
      <w:pPr>
        <w:pStyle w:val="ListBullet"/>
      </w:pPr>
      <w:r>
        <w:rPr>
          <w:rFonts w:ascii="Arial" w:hAnsi="Arial"/>
        </w:rPr>
        <w:t>Controllers SHALL translate HTTP requests into application commands and return response DTOs. They SHALL NOT contain workflow rules.</w:t>
      </w:r>
    </w:p>
    <w:p>
      <w:pPr>
        <w:pStyle w:val="ListBullet"/>
      </w:pPr>
      <w:r>
        <w:rPr>
          <w:rFonts w:ascii="Arial" w:hAnsi="Arial"/>
        </w:rPr>
        <w:t>Application services coordinate authorization, transactions, domain policies, repositories, audit, and outbox events.</w:t>
      </w:r>
    </w:p>
    <w:p>
      <w:pPr>
        <w:pStyle w:val="ListBullet"/>
      </w:pPr>
      <w:r>
        <w:rPr>
          <w:rFonts w:ascii="Arial" w:hAnsi="Arial"/>
        </w:rPr>
        <w:t>Repositories SHALL hide Prisma details from controllers and unrelated modules.</w:t>
      </w:r>
    </w:p>
    <w:p>
      <w:pPr>
        <w:pStyle w:val="ListBullet"/>
      </w:pPr>
      <w:r>
        <w:rPr>
          <w:rFonts w:ascii="Arial" w:hAnsi="Arial"/>
        </w:rPr>
        <w:t>NestJS guards SHALL enforce authentication and coarse permissions; application services SHALL enforce resource scope and state-dependent policy.</w:t>
      </w:r>
    </w:p>
    <w:p>
      <w:pPr>
        <w:pStyle w:val="ListBullet"/>
      </w:pPr>
      <w:r>
        <w:rPr>
          <w:rFonts w:ascii="Arial" w:hAnsi="Arial"/>
        </w:rPr>
        <w:t>Use dependency injection for clocks, ID generation, file storage, mail, queue, and external integration clients to keep tests deterministic.</w:t>
      </w:r>
    </w:p>
    <w:p>
      <w:pPr>
        <w:pStyle w:val="Heading2"/>
      </w:pPr>
      <w:r>
        <w:t>8.2 Error Handling</w:t>
      </w:r>
    </w:p>
    <w:p>
      <w:pPr>
        <w:pStyle w:val="ListBullet"/>
      </w:pPr>
      <w:r>
        <w:rPr>
          <w:rFonts w:ascii="Arial" w:hAnsi="Arial"/>
        </w:rPr>
        <w:t>Expected business failures SHALL be typed domain/application errors, not generic exceptions.</w:t>
      </w:r>
    </w:p>
    <w:p>
      <w:pPr>
        <w:pStyle w:val="ListBullet"/>
      </w:pPr>
      <w:r>
        <w:rPr>
          <w:rFonts w:ascii="Arial" w:hAnsi="Arial"/>
        </w:rPr>
        <w:t>One global exception filter SHALL map errors to RFC 9457 problem details.</w:t>
      </w:r>
    </w:p>
    <w:p>
      <w:pPr>
        <w:pStyle w:val="ListBullet"/>
      </w:pPr>
      <w:r>
        <w:rPr>
          <w:rFonts w:ascii="Arial" w:hAnsi="Arial"/>
        </w:rPr>
        <w:t>Production responses SHALL not expose stack traces, SQL, internal file paths, secret names, or provider payloads.</w:t>
      </w:r>
    </w:p>
    <w:p>
      <w:pPr>
        <w:pStyle w:val="ListBullet"/>
      </w:pPr>
      <w:r>
        <w:rPr>
          <w:rFonts w:ascii="Arial" w:hAnsi="Arial"/>
        </w:rPr>
        <w:t>Every response and log record SHALL include a correlation identifier.</w:t>
      </w:r>
    </w:p>
    <w:p>
      <w:pPr>
        <w:pStyle w:val="Heading2"/>
      </w:pPr>
      <w:r>
        <w:t>8.3 Transactions and Concurrency</w:t>
      </w:r>
    </w:p>
    <w:p>
      <w:pPr>
        <w:pStyle w:val="ListBullet"/>
      </w:pPr>
      <w:r>
        <w:rPr>
          <w:rFonts w:ascii="Arial" w:hAnsi="Arial"/>
        </w:rPr>
        <w:t>Operations that update application stage and stage history SHALL use one transaction.</w:t>
      </w:r>
    </w:p>
    <w:p>
      <w:pPr>
        <w:pStyle w:val="ListBullet"/>
      </w:pPr>
      <w:r>
        <w:rPr>
          <w:rFonts w:ascii="Arial" w:hAnsi="Arial"/>
        </w:rPr>
        <w:t>Offer acceptance SHALL atomically select the accepted version, close competing active versions, create the hiring case, and write audit/outbox records.</w:t>
      </w:r>
    </w:p>
    <w:p>
      <w:pPr>
        <w:pStyle w:val="ListBullet"/>
      </w:pPr>
      <w:r>
        <w:rPr>
          <w:rFonts w:ascii="Arial" w:hAnsi="Arial"/>
        </w:rPr>
        <w:t>Joining confirmation SHALL atomically update the hiring case, application, and vacancy headcount.</w:t>
      </w:r>
    </w:p>
    <w:p>
      <w:pPr>
        <w:pStyle w:val="ListBullet"/>
      </w:pPr>
      <w:r>
        <w:rPr>
          <w:rFonts w:ascii="Arial" w:hAnsi="Arial"/>
        </w:rPr>
        <w:t>Critical headcount and approval operations SHOULD use row locks or optimistic version checks to prevent double processing.</w:t>
      </w:r>
    </w:p>
    <w:p>
      <w:pPr>
        <w:pStyle w:val="ListBullet"/>
      </w:pPr>
      <w:r>
        <w:rPr>
          <w:rFonts w:ascii="Arial" w:hAnsi="Arial"/>
        </w:rPr>
        <w:t>Long-running OCR, file transfer, and email calls SHALL never execute inside a database transaction.</w:t>
      </w:r>
    </w:p>
    <w:p>
      <w:pPr>
        <w:pStyle w:val="Heading1"/>
      </w:pPr>
      <w:r>
        <w:t>9. API Design Standards</w:t>
      </w:r>
    </w:p>
    <w:p>
      <w:pPr>
        <w:spacing w:after="120"/>
      </w:pPr>
      <w:r>
        <w:rPr>
          <w:rFonts w:ascii="Arial" w:hAnsi="Arial"/>
          <w:i/>
          <w:color w:val="6B7280"/>
          <w:sz w:val="18"/>
        </w:rPr>
        <w:t>The REST API is the stable contract between the React application, workers, approved integrations, and future clients.</w:t>
      </w:r>
    </w:p>
    <w:p>
      <w:pPr>
        <w:pStyle w:val="Heading2"/>
      </w:pPr>
      <w:r>
        <w:t>9.1 URL and Versioning</w:t>
      </w:r>
    </w:p>
    <w:p>
      <w:pPr>
        <w:pStyle w:val="CodeBlock"/>
        <w:shd w:fill="F3F4F6"/>
      </w:pPr>
      <w:r>
        <w:rPr>
          <w:rFonts w:ascii="Courier New" w:hAnsi="Courier New"/>
          <w:sz w:val="15"/>
        </w:rPr>
        <w:t>/api/v1/vacancy-requests</w:t>
        <w:br/>
      </w:r>
      <w:r>
        <w:rPr>
          <w:rFonts w:ascii="Courier New" w:hAnsi="Courier New"/>
          <w:sz w:val="15"/>
        </w:rPr>
        <w:t>/api/v1/vacancies/{vacancyId}</w:t>
        <w:br/>
      </w:r>
      <w:r>
        <w:rPr>
          <w:rFonts w:ascii="Courier New" w:hAnsi="Courier New"/>
          <w:sz w:val="15"/>
        </w:rPr>
        <w:t>/api/v1/vacancies/{vacancyId}/applications</w:t>
        <w:br/>
      </w:r>
      <w:r>
        <w:rPr>
          <w:rFonts w:ascii="Courier New" w:hAnsi="Courier New"/>
          <w:sz w:val="15"/>
        </w:rPr>
        <w:t>/api/v1/applications/{applicationId}/stage-transitions</w:t>
        <w:br/>
      </w:r>
      <w:r>
        <w:rPr>
          <w:rFonts w:ascii="Courier New" w:hAnsi="Courier New"/>
          <w:sz w:val="15"/>
        </w:rPr>
        <w:t>/api/v1/interviews/{interviewId}/evaluations</w:t>
        <w:br/>
      </w:r>
      <w:r>
        <w:rPr>
          <w:rFonts w:ascii="Courier New" w:hAnsi="Courier New"/>
          <w:sz w:val="15"/>
        </w:rPr>
        <w:t>/api/v1/offers/{offerId}/versions</w:t>
        <w:br/>
      </w:r>
      <w:r>
        <w:rPr>
          <w:rFonts w:ascii="Courier New" w:hAnsi="Courier New"/>
          <w:sz w:val="15"/>
        </w:rPr>
        <w:t>/api/v1/hiring-cases/{hiringCaseId}/final-approval</w:t>
      </w:r>
    </w:p>
    <w:p>
      <w:pPr>
        <w:pStyle w:val="ListBullet"/>
      </w:pPr>
      <w:r>
        <w:rPr>
          <w:rFonts w:ascii="Arial" w:hAnsi="Arial"/>
        </w:rPr>
        <w:t>Use nouns for resources and explicit sub-resources for workflow actions that create durable records.</w:t>
      </w:r>
    </w:p>
    <w:p>
      <w:pPr>
        <w:pStyle w:val="ListBullet"/>
      </w:pPr>
      <w:r>
        <w:rPr>
          <w:rFonts w:ascii="Arial" w:hAnsi="Arial"/>
        </w:rPr>
        <w:t>Do not expose internal database table names or Prisma model names as the public contract by accident.</w:t>
      </w:r>
    </w:p>
    <w:p>
      <w:pPr>
        <w:pStyle w:val="ListBullet"/>
      </w:pPr>
      <w:r>
        <w:rPr>
          <w:rFonts w:ascii="Arial" w:hAnsi="Arial"/>
        </w:rPr>
        <w:t>Breaking API changes require a new major API version or an approved compatibility plan.</w:t>
      </w:r>
    </w:p>
    <w:p>
      <w:pPr>
        <w:pStyle w:val="ListBullet"/>
      </w:pPr>
      <w:r>
        <w:rPr>
          <w:rFonts w:ascii="Arial" w:hAnsi="Arial"/>
        </w:rPr>
        <w:t>OpenAPI documentation SHALL be generated and validated in CI.</w:t>
      </w:r>
    </w:p>
    <w:p>
      <w:pPr>
        <w:pStyle w:val="Heading2"/>
      </w:pPr>
      <w:r>
        <w:t>9.2 Response Envelope</w:t>
      </w:r>
    </w:p>
    <w:p>
      <w:pPr>
        <w:pStyle w:val="CodeBlock"/>
        <w:shd w:fill="F3F4F6"/>
      </w:pPr>
      <w:r>
        <w:rPr>
          <w:rFonts w:ascii="Courier New" w:hAnsi="Courier New"/>
          <w:sz w:val="15"/>
        </w:rPr>
        <w:t>{</w:t>
        <w:br/>
      </w:r>
      <w:r>
        <w:rPr>
          <w:rFonts w:ascii="Courier New" w:hAnsi="Courier New"/>
          <w:sz w:val="15"/>
        </w:rPr>
        <w:t xml:space="preserve">  "data": { "id": "019...", "status": "OPEN" },</w:t>
        <w:br/>
      </w:r>
      <w:r>
        <w:rPr>
          <w:rFonts w:ascii="Courier New" w:hAnsi="Courier New"/>
          <w:sz w:val="15"/>
        </w:rPr>
        <w:t xml:space="preserve">  "meta": { "correlationId": "01J..." }</w:t>
        <w:br/>
      </w:r>
      <w:r>
        <w:rPr>
          <w:rFonts w:ascii="Courier New" w:hAnsi="Courier New"/>
          <w:sz w:val="15"/>
        </w:rPr>
        <w:t>}</w:t>
      </w:r>
    </w:p>
    <w:p>
      <w:pPr>
        <w:pStyle w:val="CodeBlock"/>
        <w:shd w:fill="F3F4F6"/>
      </w:pPr>
      <w:r>
        <w:rPr>
          <w:rFonts w:ascii="Courier New" w:hAnsi="Courier New"/>
          <w:sz w:val="15"/>
        </w:rPr>
        <w:t>HTTP/1.1 409 Conflict</w:t>
        <w:br/>
      </w:r>
      <w:r>
        <w:rPr>
          <w:rFonts w:ascii="Courier New" w:hAnsi="Courier New"/>
          <w:sz w:val="15"/>
        </w:rPr>
        <w:t>Content-Type: application/problem+json</w:t>
        <w:br/>
      </w:r>
      <w:r>
        <w:rPr>
          <w:rFonts w:ascii="Courier New" w:hAnsi="Courier New"/>
          <w:sz w:val="15"/>
        </w:rPr>
        <w:br/>
      </w:r>
      <w:r>
        <w:rPr>
          <w:rFonts w:ascii="Courier New" w:hAnsi="Courier New"/>
          <w:sz w:val="15"/>
        </w:rPr>
        <w:t>{</w:t>
        <w:br/>
      </w:r>
      <w:r>
        <w:rPr>
          <w:rFonts w:ascii="Courier New" w:hAnsi="Courier New"/>
          <w:sz w:val="15"/>
        </w:rPr>
        <w:t xml:space="preserve">  "type": "https://docs.recruitflow.local/problems/invalid-stage-transition",</w:t>
        <w:br/>
      </w:r>
      <w:r>
        <w:rPr>
          <w:rFonts w:ascii="Courier New" w:hAnsi="Courier New"/>
          <w:sz w:val="15"/>
        </w:rPr>
        <w:t xml:space="preserve">  "title": "The application cannot move to Offer.",</w:t>
        <w:br/>
      </w:r>
      <w:r>
        <w:rPr>
          <w:rFonts w:ascii="Courier New" w:hAnsi="Courier New"/>
          <w:sz w:val="15"/>
        </w:rPr>
        <w:t xml:space="preserve">  "status": 409,</w:t>
        <w:br/>
      </w:r>
      <w:r>
        <w:rPr>
          <w:rFonts w:ascii="Courier New" w:hAnsi="Courier New"/>
          <w:sz w:val="15"/>
        </w:rPr>
        <w:t xml:space="preserve">  "detail": "Required interview feedback is still missing.",</w:t>
        <w:br/>
      </w:r>
      <w:r>
        <w:rPr>
          <w:rFonts w:ascii="Courier New" w:hAnsi="Courier New"/>
          <w:sz w:val="15"/>
        </w:rPr>
        <w:t xml:space="preserve">  "instance": "/api/v1/applications/019.../stage-transitions",</w:t>
        <w:br/>
      </w:r>
      <w:r>
        <w:rPr>
          <w:rFonts w:ascii="Courier New" w:hAnsi="Courier New"/>
          <w:sz w:val="15"/>
        </w:rPr>
        <w:t xml:space="preserve">  "code": "APPLICATION_FEEDBACK_INCOMPLETE",</w:t>
        <w:br/>
      </w:r>
      <w:r>
        <w:rPr>
          <w:rFonts w:ascii="Courier New" w:hAnsi="Courier New"/>
          <w:sz w:val="15"/>
        </w:rPr>
        <w:t xml:space="preserve">  "correlationId": "01J..."</w:t>
        <w:br/>
      </w:r>
      <w:r>
        <w:rPr>
          <w:rFonts w:ascii="Courier New" w:hAnsi="Courier New"/>
          <w:sz w:val="15"/>
        </w:rPr>
        <w:t>}</w:t>
      </w:r>
    </w:p>
    <w:p>
      <w:pPr>
        <w:pStyle w:val="Heading2"/>
      </w:pPr>
      <w:r>
        <w:t>9.3 API Rules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016"/>
            <w:shd w:fill="5B21B6"/>
            <w:vAlign w:val="center"/>
          </w:tcPr>
          <w:p>
            <w:pPr>
              <w:jc w:val="left"/>
            </w:pPr>
            <w:r>
              <w:rPr>
                <w:rFonts w:ascii="Arial" w:hAnsi="Arial"/>
                <w:b/>
                <w:color w:val="FFFFFF"/>
                <w:sz w:val="15"/>
              </w:rPr>
              <w:t>Concern</w:t>
            </w:r>
          </w:p>
        </w:tc>
        <w:tc>
          <w:tcPr>
            <w:tcW w:type="dxa" w:w="7920"/>
            <w:shd w:fill="5B21B6"/>
            <w:vAlign w:val="center"/>
          </w:tcPr>
          <w:p>
            <w:pPr>
              <w:jc w:val="left"/>
            </w:pPr>
            <w:r>
              <w:rPr>
                <w:rFonts w:ascii="Arial" w:hAnsi="Arial"/>
                <w:b/>
                <w:color w:val="FFFFFF"/>
                <w:sz w:val="15"/>
              </w:rPr>
              <w:t>Standard</w:t>
            </w:r>
          </w:p>
        </w:tc>
      </w:tr>
      <w:tr>
        <w:trPr>
          <w:cantSplit/>
        </w:trPr>
        <w:tc>
          <w:tcPr>
            <w:tcW w:type="dxa" w:w="2016"/>
            <w:vAlign w:val="top"/>
          </w:tcPr>
          <w:p>
            <w:pPr>
              <w:spacing w:after="0"/>
            </w:pPr>
            <w:r>
              <w:rPr>
                <w:rFonts w:ascii="Arial" w:hAnsi="Arial"/>
                <w:color w:val="111827"/>
                <w:sz w:val="15"/>
              </w:rPr>
              <w:t>Validation</w:t>
            </w:r>
          </w:p>
        </w:tc>
        <w:tc>
          <w:tcPr>
            <w:tcW w:type="dxa" w:w="7920"/>
            <w:vAlign w:val="top"/>
          </w:tcPr>
          <w:p>
            <w:pPr>
              <w:spacing w:after="0"/>
            </w:pPr>
            <w:r>
              <w:rPr>
                <w:rFonts w:ascii="Arial" w:hAnsi="Arial"/>
                <w:color w:val="111827"/>
                <w:sz w:val="15"/>
              </w:rPr>
              <w:t>Validate path, query, headers, and body. Reject unknown writable fields where practical.</w:t>
            </w:r>
          </w:p>
        </w:tc>
      </w:tr>
      <w:tr>
        <w:trPr>
          <w:cantSplit/>
        </w:trPr>
        <w:tc>
          <w:tcPr>
            <w:tcW w:type="dxa" w:w="2016"/>
            <w:vAlign w:val="top"/>
            <w:shd w:fill="F9FAFB"/>
          </w:tcPr>
          <w:p>
            <w:pPr>
              <w:spacing w:after="0"/>
            </w:pPr>
            <w:r>
              <w:rPr>
                <w:rFonts w:ascii="Arial" w:hAnsi="Arial"/>
                <w:color w:val="111827"/>
                <w:sz w:val="15"/>
              </w:rPr>
              <w:t>Authorization</w:t>
            </w:r>
          </w:p>
        </w:tc>
        <w:tc>
          <w:tcPr>
            <w:tcW w:type="dxa" w:w="7920"/>
            <w:vAlign w:val="top"/>
            <w:shd w:fill="F9FAFB"/>
          </w:tcPr>
          <w:p>
            <w:pPr>
              <w:spacing w:after="0"/>
            </w:pPr>
            <w:r>
              <w:rPr>
                <w:rFonts w:ascii="Arial" w:hAnsi="Arial"/>
                <w:color w:val="111827"/>
                <w:sz w:val="15"/>
              </w:rPr>
              <w:t>Check permission, organization scope, resource scope, and state-dependent business policy.</w:t>
            </w:r>
          </w:p>
        </w:tc>
      </w:tr>
      <w:tr>
        <w:trPr>
          <w:cantSplit/>
        </w:trPr>
        <w:tc>
          <w:tcPr>
            <w:tcW w:type="dxa" w:w="2016"/>
            <w:vAlign w:val="top"/>
          </w:tcPr>
          <w:p>
            <w:pPr>
              <w:spacing w:after="0"/>
            </w:pPr>
            <w:r>
              <w:rPr>
                <w:rFonts w:ascii="Arial" w:hAnsi="Arial"/>
                <w:color w:val="111827"/>
                <w:sz w:val="15"/>
              </w:rPr>
              <w:t>Idempotency</w:t>
            </w:r>
          </w:p>
        </w:tc>
        <w:tc>
          <w:tcPr>
            <w:tcW w:type="dxa" w:w="7920"/>
            <w:vAlign w:val="top"/>
          </w:tcPr>
          <w:p>
            <w:pPr>
              <w:spacing w:after="0"/>
            </w:pPr>
            <w:r>
              <w:rPr>
                <w:rFonts w:ascii="Arial" w:hAnsi="Arial"/>
                <w:color w:val="111827"/>
                <w:sz w:val="15"/>
              </w:rPr>
              <w:t>Require an Idempotency-Key for retry-sensitive operations such as bulk import commit, offer response, and joining confirmation.</w:t>
            </w:r>
          </w:p>
        </w:tc>
      </w:tr>
      <w:tr>
        <w:trPr>
          <w:cantSplit/>
        </w:trPr>
        <w:tc>
          <w:tcPr>
            <w:tcW w:type="dxa" w:w="2016"/>
            <w:vAlign w:val="top"/>
            <w:shd w:fill="F9FAFB"/>
          </w:tcPr>
          <w:p>
            <w:pPr>
              <w:spacing w:after="0"/>
            </w:pPr>
            <w:r>
              <w:rPr>
                <w:rFonts w:ascii="Arial" w:hAnsi="Arial"/>
                <w:color w:val="111827"/>
                <w:sz w:val="15"/>
              </w:rPr>
              <w:t>Pagination</w:t>
            </w:r>
          </w:p>
        </w:tc>
        <w:tc>
          <w:tcPr>
            <w:tcW w:type="dxa" w:w="7920"/>
            <w:vAlign w:val="top"/>
            <w:shd w:fill="F9FAFB"/>
          </w:tcPr>
          <w:p>
            <w:pPr>
              <w:spacing w:after="0"/>
            </w:pPr>
            <w:r>
              <w:rPr>
                <w:rFonts w:ascii="Arial" w:hAnsi="Arial"/>
                <w:color w:val="111827"/>
                <w:sz w:val="15"/>
              </w:rPr>
              <w:t>Return stable cursors or keyset tokens for large operational lists.</w:t>
            </w:r>
          </w:p>
        </w:tc>
      </w:tr>
      <w:tr>
        <w:trPr>
          <w:cantSplit/>
        </w:trPr>
        <w:tc>
          <w:tcPr>
            <w:tcW w:type="dxa" w:w="2016"/>
            <w:vAlign w:val="top"/>
          </w:tcPr>
          <w:p>
            <w:pPr>
              <w:spacing w:after="0"/>
            </w:pPr>
            <w:r>
              <w:rPr>
                <w:rFonts w:ascii="Arial" w:hAnsi="Arial"/>
                <w:color w:val="111827"/>
                <w:sz w:val="15"/>
              </w:rPr>
              <w:t>Filtering</w:t>
            </w:r>
          </w:p>
        </w:tc>
        <w:tc>
          <w:tcPr>
            <w:tcW w:type="dxa" w:w="7920"/>
            <w:vAlign w:val="top"/>
          </w:tcPr>
          <w:p>
            <w:pPr>
              <w:spacing w:after="0"/>
            </w:pPr>
            <w:r>
              <w:rPr>
                <w:rFonts w:ascii="Arial" w:hAnsi="Arial"/>
                <w:color w:val="111827"/>
                <w:sz w:val="15"/>
              </w:rPr>
              <w:t>Use explicit supported fields. Do not accept raw SQL-like filter expressions.</w:t>
            </w:r>
          </w:p>
        </w:tc>
      </w:tr>
      <w:tr>
        <w:trPr>
          <w:cantSplit/>
        </w:trPr>
        <w:tc>
          <w:tcPr>
            <w:tcW w:type="dxa" w:w="2016"/>
            <w:vAlign w:val="top"/>
            <w:shd w:fill="F9FAFB"/>
          </w:tcPr>
          <w:p>
            <w:pPr>
              <w:spacing w:after="0"/>
            </w:pPr>
            <w:r>
              <w:rPr>
                <w:rFonts w:ascii="Arial" w:hAnsi="Arial"/>
                <w:color w:val="111827"/>
                <w:sz w:val="15"/>
              </w:rPr>
              <w:t>Sorting</w:t>
            </w:r>
          </w:p>
        </w:tc>
        <w:tc>
          <w:tcPr>
            <w:tcW w:type="dxa" w:w="7920"/>
            <w:vAlign w:val="top"/>
            <w:shd w:fill="F9FAFB"/>
          </w:tcPr>
          <w:p>
            <w:pPr>
              <w:spacing w:after="0"/>
            </w:pPr>
            <w:r>
              <w:rPr>
                <w:rFonts w:ascii="Arial" w:hAnsi="Arial"/>
                <w:color w:val="111827"/>
                <w:sz w:val="15"/>
              </w:rPr>
              <w:t>Allowlist sortable columns and use a deterministic secondary sort by id.</w:t>
            </w:r>
          </w:p>
        </w:tc>
      </w:tr>
      <w:tr>
        <w:trPr>
          <w:cantSplit/>
        </w:trPr>
        <w:tc>
          <w:tcPr>
            <w:tcW w:type="dxa" w:w="2016"/>
            <w:vAlign w:val="top"/>
          </w:tcPr>
          <w:p>
            <w:pPr>
              <w:spacing w:after="0"/>
            </w:pPr>
            <w:r>
              <w:rPr>
                <w:rFonts w:ascii="Arial" w:hAnsi="Arial"/>
                <w:color w:val="111827"/>
                <w:sz w:val="15"/>
              </w:rPr>
              <w:t>Rate limits</w:t>
            </w:r>
          </w:p>
        </w:tc>
        <w:tc>
          <w:tcPr>
            <w:tcW w:type="dxa" w:w="7920"/>
            <w:vAlign w:val="top"/>
          </w:tcPr>
          <w:p>
            <w:pPr>
              <w:spacing w:after="0"/>
            </w:pPr>
            <w:r>
              <w:rPr>
                <w:rFonts w:ascii="Arial" w:hAnsi="Arial"/>
                <w:color w:val="111827"/>
                <w:sz w:val="15"/>
              </w:rPr>
              <w:t>Apply stricter limits to login, password reset, upload initiation, parsing, exports, and search endpoints.</w:t>
            </w:r>
          </w:p>
        </w:tc>
      </w:tr>
      <w:tr>
        <w:trPr>
          <w:cantSplit/>
        </w:trPr>
        <w:tc>
          <w:tcPr>
            <w:tcW w:type="dxa" w:w="2016"/>
            <w:vAlign w:val="top"/>
            <w:shd w:fill="F9FAFB"/>
          </w:tcPr>
          <w:p>
            <w:pPr>
              <w:spacing w:after="0"/>
            </w:pPr>
            <w:r>
              <w:rPr>
                <w:rFonts w:ascii="Arial" w:hAnsi="Arial"/>
                <w:color w:val="111827"/>
                <w:sz w:val="15"/>
              </w:rPr>
              <w:t>ETag / concurrency</w:t>
            </w:r>
          </w:p>
        </w:tc>
        <w:tc>
          <w:tcPr>
            <w:tcW w:type="dxa" w:w="7920"/>
            <w:vAlign w:val="top"/>
            <w:shd w:fill="F9FAFB"/>
          </w:tcPr>
          <w:p>
            <w:pPr>
              <w:spacing w:after="0"/>
            </w:pPr>
            <w:r>
              <w:rPr>
                <w:rFonts w:ascii="Arial" w:hAnsi="Arial"/>
                <w:color w:val="111827"/>
                <w:sz w:val="15"/>
              </w:rPr>
              <w:t>Use version values or ETags for records where concurrent edits can cause lost updates.</w:t>
            </w:r>
          </w:p>
        </w:tc>
      </w:tr>
      <w:tr>
        <w:trPr>
          <w:cantSplit/>
        </w:trPr>
        <w:tc>
          <w:tcPr>
            <w:tcW w:type="dxa" w:w="2016"/>
            <w:vAlign w:val="top"/>
          </w:tcPr>
          <w:p>
            <w:pPr>
              <w:spacing w:after="0"/>
            </w:pPr>
            <w:r>
              <w:rPr>
                <w:rFonts w:ascii="Arial" w:hAnsi="Arial"/>
                <w:color w:val="111827"/>
                <w:sz w:val="15"/>
              </w:rPr>
              <w:t>Deprecation</w:t>
            </w:r>
          </w:p>
        </w:tc>
        <w:tc>
          <w:tcPr>
            <w:tcW w:type="dxa" w:w="7920"/>
            <w:vAlign w:val="top"/>
          </w:tcPr>
          <w:p>
            <w:pPr>
              <w:spacing w:after="0"/>
            </w:pPr>
            <w:r>
              <w:rPr>
                <w:rFonts w:ascii="Arial" w:hAnsi="Arial"/>
                <w:color w:val="111827"/>
                <w:sz w:val="15"/>
              </w:rPr>
              <w:t>Mark deprecated fields/endpoints in OpenAPI and monitor usage before removal.</w:t>
            </w:r>
          </w:p>
        </w:tc>
      </w:tr>
    </w:tbl>
    <w:p>
      <w:pPr>
        <w:spacing w:after="0"/>
      </w:pPr>
    </w:p>
    <w:p>
      <w:pPr>
        <w:pStyle w:val="Heading1"/>
      </w:pPr>
      <w:r>
        <w:t>10. PostgreSQL and Data Engineering Guidelines</w:t>
      </w:r>
    </w:p>
    <w:tbl>
      <w:tblPr>
        <w:tblW w:type="auto" w:w="0"/>
        <w:jc w:val="center"/>
        <w:tblLayout w:type="autofit"/>
        <w:tblLook w:firstColumn="1" w:firstRow="1" w:lastColumn="0" w:lastRow="0" w:noHBand="0" w:noVBand="1" w:val="04A0"/>
      </w:tblPr>
      <w:tblGrid>
        <w:gridCol w:w="9948"/>
      </w:tblGrid>
      <w:tr>
        <w:tc>
          <w:tcPr>
            <w:tcW w:type="dxa" w:w="9948"/>
            <w:shd w:fill="EDE9FE"/>
            <w:tcBorders>
              <w:top w:val="single" w:sz="10" w:color="7C3AED"/>
              <w:left w:val="single" w:sz="18" w:color="7C3AED"/>
              <w:bottom w:val="single" w:sz="10" w:color="7C3AED"/>
              <w:right w:val="single" w:sz="10" w:color="7C3AED"/>
            </w:tcBorders>
          </w:tcPr>
          <w:p>
            <w:pPr>
              <w:spacing w:after="40"/>
            </w:pPr>
            <w:r>
              <w:rPr>
                <w:rFonts w:ascii="Arial" w:hAnsi="Arial"/>
                <w:b/>
                <w:color w:val="7C3AED"/>
                <w:sz w:val="19"/>
              </w:rPr>
              <w:t>Database baseline</w:t>
            </w:r>
          </w:p>
          <w:p>
            <w:pPr>
              <w:spacing w:after="40"/>
            </w:pPr>
            <w:r>
              <w:rPr>
                <w:rFonts w:ascii="Arial" w:hAnsi="Arial"/>
                <w:sz w:val="17"/>
              </w:rPr>
              <w:t>Target PostgreSQL 18. Use PostgreSQL 17 only when an approved managed platform cannot provide PostgreSQL 18. Do not begin with PostgreSQL 19 beta or any unsupported release.</w:t>
            </w:r>
          </w:p>
        </w:tc>
      </w:tr>
    </w:tbl>
    <w:p>
      <w:pPr>
        <w:spacing w:after="0"/>
      </w:pPr>
    </w:p>
    <w:p>
      <w:pPr>
        <w:pStyle w:val="Heading2"/>
      </w:pPr>
      <w:r>
        <w:t>10.1 Naming and Core Columns</w:t>
      </w:r>
    </w:p>
    <w:p>
      <w:pPr>
        <w:pStyle w:val="ListBullet"/>
      </w:pPr>
      <w:r>
        <w:rPr>
          <w:rFonts w:ascii="Arial" w:hAnsi="Arial"/>
        </w:rPr>
        <w:t>Use snake_case plural table names and snake_case columns.</w:t>
      </w:r>
    </w:p>
    <w:p>
      <w:pPr>
        <w:pStyle w:val="ListBullet"/>
      </w:pPr>
      <w:r>
        <w:rPr>
          <w:rFonts w:ascii="Arial" w:hAnsi="Arial"/>
        </w:rPr>
        <w:t>Use PostgreSQL uuid primary keys with uuidv7() defaults on PostgreSQL 18 for operational tables.</w:t>
      </w:r>
    </w:p>
    <w:p>
      <w:pPr>
        <w:pStyle w:val="ListBullet"/>
      </w:pPr>
      <w:r>
        <w:rPr>
          <w:rFonts w:ascii="Arial" w:hAnsi="Arial"/>
        </w:rPr>
        <w:t>Every mutable business record SHALL contain created_at, created_by, updated_at, updated_by, and version or an equivalent concurrency mechanism.</w:t>
      </w:r>
    </w:p>
    <w:p>
      <w:pPr>
        <w:pStyle w:val="ListBullet"/>
      </w:pPr>
      <w:r>
        <w:rPr>
          <w:rFonts w:ascii="Arial" w:hAnsi="Arial"/>
        </w:rPr>
        <w:t>Soft deletion MAY be used when business history must remain. Use deleted_at and deleted_by; default queries SHALL exclude deleted records.</w:t>
      </w:r>
    </w:p>
    <w:p>
      <w:pPr>
        <w:pStyle w:val="ListBullet"/>
      </w:pPr>
      <w:r>
        <w:rPr>
          <w:rFonts w:ascii="Arial" w:hAnsi="Arial"/>
        </w:rPr>
        <w:t>Store timestamps as timestamptz in UTC. Store dates without time as date.</w:t>
      </w:r>
    </w:p>
    <w:p>
      <w:pPr>
        <w:pStyle w:val="ListBullet"/>
      </w:pPr>
      <w:r>
        <w:rPr>
          <w:rFonts w:ascii="Arial" w:hAnsi="Arial"/>
        </w:rPr>
        <w:t>Store monetary values as numeric(19,4) plus a three-character ISO currency code. Never use floating-point types for money.</w:t>
      </w:r>
    </w:p>
    <w:p>
      <w:pPr>
        <w:pStyle w:val="ListBullet"/>
      </w:pPr>
      <w:r>
        <w:rPr>
          <w:rFonts w:ascii="Arial" w:hAnsi="Arial"/>
        </w:rPr>
        <w:t>Use text plus check constraints or reference tables for configurable statuses; database enums require an ADR because they are harder to evolve across deployments.</w:t>
      </w:r>
    </w:p>
    <w:p>
      <w:pPr>
        <w:pStyle w:val="Heading2"/>
      </w:pPr>
      <w:r>
        <w:t>10.2 Data Type Guidelines</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232"/>
            <w:shd w:fill="5B21B6"/>
            <w:vAlign w:val="center"/>
          </w:tcPr>
          <w:p>
            <w:pPr>
              <w:jc w:val="left"/>
            </w:pPr>
            <w:r>
              <w:rPr>
                <w:rFonts w:ascii="Arial" w:hAnsi="Arial"/>
                <w:b/>
                <w:color w:val="FFFFFF"/>
                <w:sz w:val="14"/>
              </w:rPr>
              <w:t>Business Value</w:t>
            </w:r>
          </w:p>
        </w:tc>
        <w:tc>
          <w:tcPr>
            <w:tcW w:type="dxa" w:w="2520"/>
            <w:shd w:fill="5B21B6"/>
            <w:vAlign w:val="center"/>
          </w:tcPr>
          <w:p>
            <w:pPr>
              <w:jc w:val="left"/>
            </w:pPr>
            <w:r>
              <w:rPr>
                <w:rFonts w:ascii="Arial" w:hAnsi="Arial"/>
                <w:b/>
                <w:color w:val="FFFFFF"/>
                <w:sz w:val="14"/>
              </w:rPr>
              <w:t>PostgreSQL Type</w:t>
            </w:r>
          </w:p>
        </w:tc>
        <w:tc>
          <w:tcPr>
            <w:tcW w:type="dxa" w:w="5184"/>
            <w:shd w:fill="5B21B6"/>
            <w:vAlign w:val="center"/>
          </w:tcPr>
          <w:p>
            <w:pPr>
              <w:jc w:val="left"/>
            </w:pPr>
            <w:r>
              <w:rPr>
                <w:rFonts w:ascii="Arial" w:hAnsi="Arial"/>
                <w:b/>
                <w:color w:val="FFFFFF"/>
                <w:sz w:val="14"/>
              </w:rPr>
              <w:t>Rule</w:t>
            </w:r>
          </w:p>
        </w:tc>
      </w:tr>
      <w:tr>
        <w:trPr>
          <w:cantSplit/>
        </w:trPr>
        <w:tc>
          <w:tcPr>
            <w:tcW w:type="dxa" w:w="2232"/>
            <w:vAlign w:val="top"/>
          </w:tcPr>
          <w:p>
            <w:pPr>
              <w:spacing w:after="0"/>
            </w:pPr>
            <w:r>
              <w:rPr>
                <w:rFonts w:ascii="Arial" w:hAnsi="Arial"/>
                <w:color w:val="111827"/>
                <w:sz w:val="14"/>
              </w:rPr>
              <w:t>Identifier</w:t>
            </w:r>
          </w:p>
        </w:tc>
        <w:tc>
          <w:tcPr>
            <w:tcW w:type="dxa" w:w="2520"/>
            <w:vAlign w:val="top"/>
          </w:tcPr>
          <w:p>
            <w:pPr>
              <w:spacing w:after="0"/>
            </w:pPr>
            <w:r>
              <w:rPr>
                <w:rFonts w:ascii="Arial" w:hAnsi="Arial"/>
                <w:color w:val="111827"/>
                <w:sz w:val="14"/>
              </w:rPr>
              <w:t>uuid</w:t>
            </w:r>
          </w:p>
        </w:tc>
        <w:tc>
          <w:tcPr>
            <w:tcW w:type="dxa" w:w="5184"/>
            <w:vAlign w:val="top"/>
          </w:tcPr>
          <w:p>
            <w:pPr>
              <w:spacing w:after="0"/>
            </w:pPr>
            <w:r>
              <w:rPr>
                <w:rFonts w:ascii="Arial" w:hAnsi="Arial"/>
                <w:color w:val="111827"/>
                <w:sz w:val="14"/>
              </w:rPr>
              <w:t>Prefer uuidv7() for high-write operational tables.</w:t>
            </w:r>
          </w:p>
        </w:tc>
      </w:tr>
      <w:tr>
        <w:trPr>
          <w:cantSplit/>
        </w:trPr>
        <w:tc>
          <w:tcPr>
            <w:tcW w:type="dxa" w:w="2232"/>
            <w:vAlign w:val="top"/>
            <w:shd w:fill="F9FAFB"/>
          </w:tcPr>
          <w:p>
            <w:pPr>
              <w:spacing w:after="0"/>
            </w:pPr>
            <w:r>
              <w:rPr>
                <w:rFonts w:ascii="Arial" w:hAnsi="Arial"/>
                <w:color w:val="111827"/>
                <w:sz w:val="14"/>
              </w:rPr>
              <w:t>Timestamp</w:t>
            </w:r>
          </w:p>
        </w:tc>
        <w:tc>
          <w:tcPr>
            <w:tcW w:type="dxa" w:w="2520"/>
            <w:vAlign w:val="top"/>
            <w:shd w:fill="F9FAFB"/>
          </w:tcPr>
          <w:p>
            <w:pPr>
              <w:spacing w:after="0"/>
            </w:pPr>
            <w:r>
              <w:rPr>
                <w:rFonts w:ascii="Arial" w:hAnsi="Arial"/>
                <w:color w:val="111827"/>
                <w:sz w:val="14"/>
              </w:rPr>
              <w:t>timestamptz</w:t>
            </w:r>
          </w:p>
        </w:tc>
        <w:tc>
          <w:tcPr>
            <w:tcW w:type="dxa" w:w="5184"/>
            <w:vAlign w:val="top"/>
            <w:shd w:fill="F9FAFB"/>
          </w:tcPr>
          <w:p>
            <w:pPr>
              <w:spacing w:after="0"/>
            </w:pPr>
            <w:r>
              <w:rPr>
                <w:rFonts w:ascii="Arial" w:hAnsi="Arial"/>
                <w:color w:val="111827"/>
                <w:sz w:val="14"/>
              </w:rPr>
              <w:t>UTC storage; convert only at presentation boundaries.</w:t>
            </w:r>
          </w:p>
        </w:tc>
      </w:tr>
      <w:tr>
        <w:trPr>
          <w:cantSplit/>
        </w:trPr>
        <w:tc>
          <w:tcPr>
            <w:tcW w:type="dxa" w:w="2232"/>
            <w:vAlign w:val="top"/>
          </w:tcPr>
          <w:p>
            <w:pPr>
              <w:spacing w:after="0"/>
            </w:pPr>
            <w:r>
              <w:rPr>
                <w:rFonts w:ascii="Arial" w:hAnsi="Arial"/>
                <w:color w:val="111827"/>
                <w:sz w:val="14"/>
              </w:rPr>
              <w:t>Business date</w:t>
            </w:r>
          </w:p>
        </w:tc>
        <w:tc>
          <w:tcPr>
            <w:tcW w:type="dxa" w:w="2520"/>
            <w:vAlign w:val="top"/>
          </w:tcPr>
          <w:p>
            <w:pPr>
              <w:spacing w:after="0"/>
            </w:pPr>
            <w:r>
              <w:rPr>
                <w:rFonts w:ascii="Arial" w:hAnsi="Arial"/>
                <w:color w:val="111827"/>
                <w:sz w:val="14"/>
              </w:rPr>
              <w:t>date</w:t>
            </w:r>
          </w:p>
        </w:tc>
        <w:tc>
          <w:tcPr>
            <w:tcW w:type="dxa" w:w="5184"/>
            <w:vAlign w:val="top"/>
          </w:tcPr>
          <w:p>
            <w:pPr>
              <w:spacing w:after="0"/>
            </w:pPr>
            <w:r>
              <w:rPr>
                <w:rFonts w:ascii="Arial" w:hAnsi="Arial"/>
                <w:color w:val="111827"/>
                <w:sz w:val="14"/>
              </w:rPr>
              <w:t>Joining date, expiry date, vacancy start date.</w:t>
            </w:r>
          </w:p>
        </w:tc>
      </w:tr>
      <w:tr>
        <w:trPr>
          <w:cantSplit/>
        </w:trPr>
        <w:tc>
          <w:tcPr>
            <w:tcW w:type="dxa" w:w="2232"/>
            <w:vAlign w:val="top"/>
            <w:shd w:fill="F9FAFB"/>
          </w:tcPr>
          <w:p>
            <w:pPr>
              <w:spacing w:after="0"/>
            </w:pPr>
            <w:r>
              <w:rPr>
                <w:rFonts w:ascii="Arial" w:hAnsi="Arial"/>
                <w:color w:val="111827"/>
                <w:sz w:val="14"/>
              </w:rPr>
              <w:t>Money</w:t>
            </w:r>
          </w:p>
        </w:tc>
        <w:tc>
          <w:tcPr>
            <w:tcW w:type="dxa" w:w="2520"/>
            <w:vAlign w:val="top"/>
            <w:shd w:fill="F9FAFB"/>
          </w:tcPr>
          <w:p>
            <w:pPr>
              <w:spacing w:after="0"/>
            </w:pPr>
            <w:r>
              <w:rPr>
                <w:rFonts w:ascii="Arial" w:hAnsi="Arial"/>
                <w:color w:val="111827"/>
                <w:sz w:val="14"/>
              </w:rPr>
              <w:t>numeric(19,4)</w:t>
            </w:r>
          </w:p>
        </w:tc>
        <w:tc>
          <w:tcPr>
            <w:tcW w:type="dxa" w:w="5184"/>
            <w:vAlign w:val="top"/>
            <w:shd w:fill="F9FAFB"/>
          </w:tcPr>
          <w:p>
            <w:pPr>
              <w:spacing w:after="0"/>
            </w:pPr>
            <w:r>
              <w:rPr>
                <w:rFonts w:ascii="Arial" w:hAnsi="Arial"/>
                <w:color w:val="111827"/>
                <w:sz w:val="14"/>
              </w:rPr>
              <w:t>Always pair with currency_code char(3).</w:t>
            </w:r>
          </w:p>
        </w:tc>
      </w:tr>
      <w:tr>
        <w:trPr>
          <w:cantSplit/>
        </w:trPr>
        <w:tc>
          <w:tcPr>
            <w:tcW w:type="dxa" w:w="2232"/>
            <w:vAlign w:val="top"/>
          </w:tcPr>
          <w:p>
            <w:pPr>
              <w:spacing w:after="0"/>
            </w:pPr>
            <w:r>
              <w:rPr>
                <w:rFonts w:ascii="Arial" w:hAnsi="Arial"/>
                <w:color w:val="111827"/>
                <w:sz w:val="14"/>
              </w:rPr>
              <w:t>Email</w:t>
            </w:r>
          </w:p>
        </w:tc>
        <w:tc>
          <w:tcPr>
            <w:tcW w:type="dxa" w:w="2520"/>
            <w:vAlign w:val="top"/>
          </w:tcPr>
          <w:p>
            <w:pPr>
              <w:spacing w:after="0"/>
            </w:pPr>
            <w:r>
              <w:rPr>
                <w:rFonts w:ascii="Arial" w:hAnsi="Arial"/>
                <w:color w:val="111827"/>
                <w:sz w:val="14"/>
              </w:rPr>
              <w:t>citext or normalized text</w:t>
            </w:r>
          </w:p>
        </w:tc>
        <w:tc>
          <w:tcPr>
            <w:tcW w:type="dxa" w:w="5184"/>
            <w:vAlign w:val="top"/>
          </w:tcPr>
          <w:p>
            <w:pPr>
              <w:spacing w:after="0"/>
            </w:pPr>
            <w:r>
              <w:rPr>
                <w:rFonts w:ascii="Arial" w:hAnsi="Arial"/>
                <w:color w:val="111827"/>
                <w:sz w:val="14"/>
              </w:rPr>
              <w:t>Store original and normalized value where user display requires the original.</w:t>
            </w:r>
          </w:p>
        </w:tc>
      </w:tr>
      <w:tr>
        <w:trPr>
          <w:cantSplit/>
        </w:trPr>
        <w:tc>
          <w:tcPr>
            <w:tcW w:type="dxa" w:w="2232"/>
            <w:vAlign w:val="top"/>
            <w:shd w:fill="F9FAFB"/>
          </w:tcPr>
          <w:p>
            <w:pPr>
              <w:spacing w:after="0"/>
            </w:pPr>
            <w:r>
              <w:rPr>
                <w:rFonts w:ascii="Arial" w:hAnsi="Arial"/>
                <w:color w:val="111827"/>
                <w:sz w:val="14"/>
              </w:rPr>
              <w:t>Phone</w:t>
            </w:r>
          </w:p>
        </w:tc>
        <w:tc>
          <w:tcPr>
            <w:tcW w:type="dxa" w:w="2520"/>
            <w:vAlign w:val="top"/>
            <w:shd w:fill="F9FAFB"/>
          </w:tcPr>
          <w:p>
            <w:pPr>
              <w:spacing w:after="0"/>
            </w:pPr>
            <w:r>
              <w:rPr>
                <w:rFonts w:ascii="Arial" w:hAnsi="Arial"/>
                <w:color w:val="111827"/>
                <w:sz w:val="14"/>
              </w:rPr>
              <w:t>text</w:t>
            </w:r>
          </w:p>
        </w:tc>
        <w:tc>
          <w:tcPr>
            <w:tcW w:type="dxa" w:w="5184"/>
            <w:vAlign w:val="top"/>
            <w:shd w:fill="F9FAFB"/>
          </w:tcPr>
          <w:p>
            <w:pPr>
              <w:spacing w:after="0"/>
            </w:pPr>
            <w:r>
              <w:rPr>
                <w:rFonts w:ascii="Arial" w:hAnsi="Arial"/>
                <w:color w:val="111827"/>
                <w:sz w:val="14"/>
              </w:rPr>
              <w:t>Store E.164 normalized value and optional display value.</w:t>
            </w:r>
          </w:p>
        </w:tc>
      </w:tr>
      <w:tr>
        <w:trPr>
          <w:cantSplit/>
        </w:trPr>
        <w:tc>
          <w:tcPr>
            <w:tcW w:type="dxa" w:w="2232"/>
            <w:vAlign w:val="top"/>
          </w:tcPr>
          <w:p>
            <w:pPr>
              <w:spacing w:after="0"/>
            </w:pPr>
            <w:r>
              <w:rPr>
                <w:rFonts w:ascii="Arial" w:hAnsi="Arial"/>
                <w:color w:val="111827"/>
                <w:sz w:val="14"/>
              </w:rPr>
              <w:t>Flexible payload</w:t>
            </w:r>
          </w:p>
        </w:tc>
        <w:tc>
          <w:tcPr>
            <w:tcW w:type="dxa" w:w="2520"/>
            <w:vAlign w:val="top"/>
          </w:tcPr>
          <w:p>
            <w:pPr>
              <w:spacing w:after="0"/>
            </w:pPr>
            <w:r>
              <w:rPr>
                <w:rFonts w:ascii="Arial" w:hAnsi="Arial"/>
                <w:color w:val="111827"/>
                <w:sz w:val="14"/>
              </w:rPr>
              <w:t>jsonb</w:t>
            </w:r>
          </w:p>
        </w:tc>
        <w:tc>
          <w:tcPr>
            <w:tcW w:type="dxa" w:w="5184"/>
            <w:vAlign w:val="top"/>
          </w:tcPr>
          <w:p>
            <w:pPr>
              <w:spacing w:after="0"/>
            </w:pPr>
            <w:r>
              <w:rPr>
                <w:rFonts w:ascii="Arial" w:hAnsi="Arial"/>
                <w:color w:val="111827"/>
                <w:sz w:val="14"/>
              </w:rPr>
              <w:t>Use a schema/version field and validate at application boundaries.</w:t>
            </w:r>
          </w:p>
        </w:tc>
      </w:tr>
      <w:tr>
        <w:trPr>
          <w:cantSplit/>
        </w:trPr>
        <w:tc>
          <w:tcPr>
            <w:tcW w:type="dxa" w:w="2232"/>
            <w:vAlign w:val="top"/>
            <w:shd w:fill="F9FAFB"/>
          </w:tcPr>
          <w:p>
            <w:pPr>
              <w:spacing w:after="0"/>
            </w:pPr>
            <w:r>
              <w:rPr>
                <w:rFonts w:ascii="Arial" w:hAnsi="Arial"/>
                <w:color w:val="111827"/>
                <w:sz w:val="14"/>
              </w:rPr>
              <w:t>Large extracted text</w:t>
            </w:r>
          </w:p>
        </w:tc>
        <w:tc>
          <w:tcPr>
            <w:tcW w:type="dxa" w:w="2520"/>
            <w:vAlign w:val="top"/>
            <w:shd w:fill="F9FAFB"/>
          </w:tcPr>
          <w:p>
            <w:pPr>
              <w:spacing w:after="0"/>
            </w:pPr>
            <w:r>
              <w:rPr>
                <w:rFonts w:ascii="Arial" w:hAnsi="Arial"/>
                <w:color w:val="111827"/>
                <w:sz w:val="14"/>
              </w:rPr>
              <w:t>text</w:t>
            </w:r>
          </w:p>
        </w:tc>
        <w:tc>
          <w:tcPr>
            <w:tcW w:type="dxa" w:w="5184"/>
            <w:vAlign w:val="top"/>
            <w:shd w:fill="F9FAFB"/>
          </w:tcPr>
          <w:p>
            <w:pPr>
              <w:spacing w:after="0"/>
            </w:pPr>
            <w:r>
              <w:rPr>
                <w:rFonts w:ascii="Arial" w:hAnsi="Arial"/>
                <w:color w:val="111827"/>
                <w:sz w:val="14"/>
              </w:rPr>
              <w:t>Index selectively using full-text search; do not index every field blindly.</w:t>
            </w:r>
          </w:p>
        </w:tc>
      </w:tr>
      <w:tr>
        <w:trPr>
          <w:cantSplit/>
        </w:trPr>
        <w:tc>
          <w:tcPr>
            <w:tcW w:type="dxa" w:w="2232"/>
            <w:vAlign w:val="top"/>
          </w:tcPr>
          <w:p>
            <w:pPr>
              <w:spacing w:after="0"/>
            </w:pPr>
            <w:r>
              <w:rPr>
                <w:rFonts w:ascii="Arial" w:hAnsi="Arial"/>
                <w:color w:val="111827"/>
                <w:sz w:val="14"/>
              </w:rPr>
              <w:t>Version counter</w:t>
            </w:r>
          </w:p>
        </w:tc>
        <w:tc>
          <w:tcPr>
            <w:tcW w:type="dxa" w:w="2520"/>
            <w:vAlign w:val="top"/>
          </w:tcPr>
          <w:p>
            <w:pPr>
              <w:spacing w:after="0"/>
            </w:pPr>
            <w:r>
              <w:rPr>
                <w:rFonts w:ascii="Arial" w:hAnsi="Arial"/>
                <w:color w:val="111827"/>
                <w:sz w:val="14"/>
              </w:rPr>
              <w:t>integer</w:t>
            </w:r>
          </w:p>
        </w:tc>
        <w:tc>
          <w:tcPr>
            <w:tcW w:type="dxa" w:w="5184"/>
            <w:vAlign w:val="top"/>
          </w:tcPr>
          <w:p>
            <w:pPr>
              <w:spacing w:after="0"/>
            </w:pPr>
            <w:r>
              <w:rPr>
                <w:rFonts w:ascii="Arial" w:hAnsi="Arial"/>
                <w:color w:val="111827"/>
                <w:sz w:val="14"/>
              </w:rPr>
              <w:t>Increment on update for optimistic concurrency.</w:t>
            </w:r>
          </w:p>
        </w:tc>
      </w:tr>
    </w:tbl>
    <w:p>
      <w:pPr>
        <w:spacing w:after="0"/>
      </w:pPr>
    </w:p>
    <w:p>
      <w:pPr>
        <w:pStyle w:val="Heading2"/>
      </w:pPr>
      <w:r>
        <w:t>10.3 Relational Integrity</w:t>
      </w:r>
    </w:p>
    <w:p>
      <w:pPr>
        <w:pStyle w:val="ListBullet"/>
      </w:pPr>
      <w:r>
        <w:rPr>
          <w:rFonts w:ascii="Arial" w:hAnsi="Arial"/>
        </w:rPr>
        <w:t>Foreign keys SHALL be enabled. Cascading deletes are prohibited for candidates, applications, offers, hiring cases, audit, and files unless explicitly approved.</w:t>
      </w:r>
    </w:p>
    <w:p>
      <w:pPr>
        <w:pStyle w:val="ListBullet"/>
      </w:pPr>
      <w:r>
        <w:rPr>
          <w:rFonts w:ascii="Arial" w:hAnsi="Arial"/>
        </w:rPr>
        <w:t>Use partial unique indexes for active records, such as one active application per candidate and vacancy when the business rule requires it.</w:t>
      </w:r>
    </w:p>
    <w:p>
      <w:pPr>
        <w:pStyle w:val="ListBullet"/>
      </w:pPr>
      <w:r>
        <w:rPr>
          <w:rFonts w:ascii="Arial" w:hAnsi="Arial"/>
        </w:rPr>
        <w:t>Candidate duplicate matching SHALL use normalized email, normalized phone, and reviewed fuzzy indicators. The database should support duplicate candidates when an authorized override is recorded; a simplistic global unique email constraint may be too rigid.</w:t>
      </w:r>
    </w:p>
    <w:p>
      <w:pPr>
        <w:pStyle w:val="ListBullet"/>
      </w:pPr>
      <w:r>
        <w:rPr>
          <w:rFonts w:ascii="Arial" w:hAnsi="Arial"/>
        </w:rPr>
        <w:t>Application stage history SHALL be append-only. The current stage is stored for fast access and reconciled against the latest history record.</w:t>
      </w:r>
    </w:p>
    <w:p>
      <w:pPr>
        <w:pStyle w:val="ListBullet"/>
      </w:pPr>
      <w:r>
        <w:rPr>
          <w:rFonts w:ascii="Arial" w:hAnsi="Arial"/>
        </w:rPr>
        <w:t>Offer versions SHALL be immutable after approval or sending. Corrections create a new version.</w:t>
      </w:r>
    </w:p>
    <w:p>
      <w:pPr>
        <w:pStyle w:val="Heading2"/>
      </w:pPr>
      <w:r>
        <w:t>10.4 Indexing and Query Review</w:t>
      </w:r>
    </w:p>
    <w:p>
      <w:pPr>
        <w:pStyle w:val="ListBullet"/>
      </w:pPr>
      <w:r>
        <w:rPr>
          <w:rFonts w:ascii="Arial" w:hAnsi="Arial"/>
        </w:rPr>
        <w:t>Create indexes from real access patterns and EXPLAIN ANALYZE evidence, not by indexing every foreign key and JSON path automatically.</w:t>
      </w:r>
    </w:p>
    <w:p>
      <w:pPr>
        <w:pStyle w:val="ListBullet"/>
      </w:pPr>
      <w:r>
        <w:rPr>
          <w:rFonts w:ascii="Arial" w:hAnsi="Arial"/>
        </w:rPr>
        <w:t>Operational list indexes SHOULD begin with organization_id or tenant scope when the schema is tenant-aware.</w:t>
      </w:r>
    </w:p>
    <w:p>
      <w:pPr>
        <w:pStyle w:val="ListBullet"/>
      </w:pPr>
      <w:r>
        <w:rPr>
          <w:rFonts w:ascii="Arial" w:hAnsi="Arial"/>
        </w:rPr>
        <w:t>Use GIN indexes for selected JSONB and full-text columns; use pg_trgm for controlled fuzzy candidate search.</w:t>
      </w:r>
    </w:p>
    <w:p>
      <w:pPr>
        <w:pStyle w:val="ListBullet"/>
      </w:pPr>
      <w:r>
        <w:rPr>
          <w:rFonts w:ascii="Arial" w:hAnsi="Arial"/>
        </w:rPr>
        <w:t>All list and report queries used on production-scale data SHALL have tested query plans and pagination.</w:t>
      </w:r>
    </w:p>
    <w:p>
      <w:pPr>
        <w:pStyle w:val="ListBullet"/>
      </w:pPr>
      <w:r>
        <w:rPr>
          <w:rFonts w:ascii="Arial" w:hAnsi="Arial"/>
        </w:rPr>
        <w:t>Prisma query convenience does not replace SQL review. Complex analytics MAY use database views, materialized views, or parameterized raw SQL in dedicated repositories.</w:t>
      </w:r>
    </w:p>
    <w:p>
      <w:pPr>
        <w:pStyle w:val="Heading2"/>
      </w:pPr>
      <w:r>
        <w:t>10.5 Migrations</w:t>
      </w:r>
    </w:p>
    <w:p>
      <w:pPr>
        <w:pStyle w:val="ListBullet"/>
      </w:pPr>
      <w:r>
        <w:rPr>
          <w:rFonts w:ascii="Arial" w:hAnsi="Arial"/>
        </w:rPr>
        <w:t>Every schema change SHALL be represented by a committed migration and reviewed SQL.</w:t>
      </w:r>
    </w:p>
    <w:p>
      <w:pPr>
        <w:pStyle w:val="ListBullet"/>
      </w:pPr>
      <w:r>
        <w:rPr>
          <w:rFonts w:ascii="Arial" w:hAnsi="Arial"/>
        </w:rPr>
        <w:t>The application SHALL NOT run destructive migrations automatically at startup.</w:t>
      </w:r>
    </w:p>
    <w:p>
      <w:pPr>
        <w:pStyle w:val="ListBullet"/>
      </w:pPr>
      <w:r>
        <w:rPr>
          <w:rFonts w:ascii="Arial" w:hAnsi="Arial"/>
        </w:rPr>
        <w:t>Use expand-and-contract for breaking changes: add compatible structure, backfill, deploy readers/writers, then remove old structure in a later release.</w:t>
      </w:r>
    </w:p>
    <w:p>
      <w:pPr>
        <w:pStyle w:val="ListBullet"/>
      </w:pPr>
      <w:r>
        <w:rPr>
          <w:rFonts w:ascii="Arial" w:hAnsi="Arial"/>
        </w:rPr>
        <w:t>Large backfills SHALL be resumable, observable, and executed in controlled batches.</w:t>
      </w:r>
    </w:p>
    <w:p>
      <w:pPr>
        <w:pStyle w:val="ListBullet"/>
      </w:pPr>
      <w:r>
        <w:rPr>
          <w:rFonts w:ascii="Arial" w:hAnsi="Arial"/>
        </w:rPr>
        <w:t>Production rollback usually means application rollback plus a forward corrective migration; do not assume database migrations can always be reversed safely.</w:t>
      </w:r>
    </w:p>
    <w:p>
      <w:pPr>
        <w:pStyle w:val="Heading1"/>
      </w:pPr>
      <w:r>
        <w:t>11. File and Object Storage Guidelines</w:t>
      </w:r>
    </w:p>
    <w:p>
      <w:pPr>
        <w:jc w:val="center"/>
      </w:pPr>
      <w:r>
        <w:drawing>
          <wp:inline xmlns:a="http://schemas.openxmlformats.org/drawingml/2006/main" xmlns:pic="http://schemas.openxmlformats.org/drawingml/2006/picture">
            <wp:extent cx="6400800" cy="3200400"/>
            <wp:docPr id="3" name="Picture 3"/>
            <wp:cNvGraphicFramePr>
              <a:graphicFrameLocks noChangeAspect="1"/>
            </wp:cNvGraphicFramePr>
            <a:graphic>
              <a:graphicData uri="http://schemas.openxmlformats.org/drawingml/2006/picture">
                <pic:pic>
                  <pic:nvPicPr>
                    <pic:cNvPr id="0" name="file_flow.png"/>
                    <pic:cNvPicPr/>
                  </pic:nvPicPr>
                  <pic:blipFill>
                    <a:blip r:embed="rId12"/>
                    <a:stretch>
                      <a:fillRect/>
                    </a:stretch>
                  </pic:blipFill>
                  <pic:spPr>
                    <a:xfrm>
                      <a:off x="0" y="0"/>
                      <a:ext cx="6400800" cy="3200400"/>
                    </a:xfrm>
                    <a:prstGeom prst="rect"/>
                  </pic:spPr>
                </pic:pic>
              </a:graphicData>
            </a:graphic>
          </wp:inline>
        </w:drawing>
      </w:r>
    </w:p>
    <w:p>
      <w:pPr>
        <w:jc w:val="center"/>
      </w:pPr>
      <w:r>
        <w:rPr>
          <w:rFonts w:ascii="Arial" w:hAnsi="Arial"/>
          <w:i/>
          <w:color w:val="6B7280"/>
          <w:sz w:val="16"/>
        </w:rPr>
        <w:t>Figure 2 - Secure upload, scanning, extraction, and publication workflow.</w:t>
      </w:r>
    </w:p>
    <w:p>
      <w:pPr>
        <w:pStyle w:val="Heading2"/>
      </w:pPr>
      <w:r>
        <w:t>11.1 Storage Rules</w:t>
      </w:r>
    </w:p>
    <w:p>
      <w:pPr>
        <w:pStyle w:val="ListBullet"/>
      </w:pPr>
      <w:r>
        <w:rPr>
          <w:rFonts w:ascii="Arial" w:hAnsi="Arial"/>
        </w:rPr>
        <w:t>Buckets and containers SHALL be private. Public-read ACLs are prohibited.</w:t>
      </w:r>
    </w:p>
    <w:p>
      <w:pPr>
        <w:pStyle w:val="ListBullet"/>
      </w:pPr>
      <w:r>
        <w:rPr>
          <w:rFonts w:ascii="Arial" w:hAnsi="Arial"/>
        </w:rPr>
        <w:t>Object keys SHALL use generated identifiers and SHALL NOT expose candidate names, emails, phone numbers, or internal server paths.</w:t>
      </w:r>
    </w:p>
    <w:p>
      <w:pPr>
        <w:pStyle w:val="ListBullet"/>
      </w:pPr>
      <w:r>
        <w:rPr>
          <w:rFonts w:ascii="Arial" w:hAnsi="Arial"/>
        </w:rPr>
        <w:t>Use short-lived presigned URLs for upload and download. The API SHALL authorize every request before issuing a URL.</w:t>
      </w:r>
    </w:p>
    <w:p>
      <w:pPr>
        <w:pStyle w:val="ListBullet"/>
      </w:pPr>
      <w:r>
        <w:rPr>
          <w:rFonts w:ascii="Arial" w:hAnsi="Arial"/>
        </w:rPr>
        <w:t>Record object key, original filename, content type, size, checksum, uploader, scan state, document type, version, retention class, and timestamps in PostgreSQL.</w:t>
      </w:r>
    </w:p>
    <w:p>
      <w:pPr>
        <w:pStyle w:val="ListBullet"/>
      </w:pPr>
      <w:r>
        <w:rPr>
          <w:rFonts w:ascii="Arial" w:hAnsi="Arial"/>
        </w:rPr>
        <w:t>Enable encryption at rest, TLS in transit, object versioning for critical documents, and lifecycle rules for temporary uploads.</w:t>
      </w:r>
    </w:p>
    <w:p>
      <w:pPr>
        <w:pStyle w:val="ListBullet"/>
      </w:pPr>
      <w:r>
        <w:rPr>
          <w:rFonts w:ascii="Arial" w:hAnsi="Arial"/>
        </w:rPr>
        <w:t>A file is not available to normal users until integrity checks and malware scanning succeed.</w:t>
      </w:r>
    </w:p>
    <w:p>
      <w:pPr>
        <w:pStyle w:val="Heading2"/>
      </w:pPr>
      <w:r>
        <w:t>11.2 File Lifecycle</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944"/>
            <w:shd w:fill="5B21B6"/>
            <w:vAlign w:val="center"/>
          </w:tcPr>
          <w:p>
            <w:pPr>
              <w:jc w:val="left"/>
            </w:pPr>
            <w:r>
              <w:rPr>
                <w:rFonts w:ascii="Arial" w:hAnsi="Arial"/>
                <w:b/>
                <w:color w:val="FFFFFF"/>
                <w:sz w:val="14"/>
              </w:rPr>
              <w:t>State</w:t>
            </w:r>
          </w:p>
        </w:tc>
        <w:tc>
          <w:tcPr>
            <w:tcW w:type="dxa" w:w="4824"/>
            <w:shd w:fill="5B21B6"/>
            <w:vAlign w:val="center"/>
          </w:tcPr>
          <w:p>
            <w:pPr>
              <w:jc w:val="left"/>
            </w:pPr>
            <w:r>
              <w:rPr>
                <w:rFonts w:ascii="Arial" w:hAnsi="Arial"/>
                <w:b/>
                <w:color w:val="FFFFFF"/>
                <w:sz w:val="14"/>
              </w:rPr>
              <w:t>Meaning</w:t>
            </w:r>
          </w:p>
        </w:tc>
        <w:tc>
          <w:tcPr>
            <w:tcW w:type="dxa" w:w="3168"/>
            <w:shd w:fill="5B21B6"/>
            <w:vAlign w:val="center"/>
          </w:tcPr>
          <w:p>
            <w:pPr>
              <w:jc w:val="left"/>
            </w:pPr>
            <w:r>
              <w:rPr>
                <w:rFonts w:ascii="Arial" w:hAnsi="Arial"/>
                <w:b/>
                <w:color w:val="FFFFFF"/>
                <w:sz w:val="14"/>
              </w:rPr>
              <w:t>Allowed Action</w:t>
            </w:r>
          </w:p>
        </w:tc>
      </w:tr>
      <w:tr>
        <w:trPr>
          <w:cantSplit/>
        </w:trPr>
        <w:tc>
          <w:tcPr>
            <w:tcW w:type="dxa" w:w="1944"/>
            <w:vAlign w:val="top"/>
          </w:tcPr>
          <w:p>
            <w:pPr>
              <w:spacing w:after="0"/>
            </w:pPr>
            <w:r>
              <w:rPr>
                <w:rFonts w:ascii="Arial" w:hAnsi="Arial"/>
                <w:color w:val="111827"/>
                <w:sz w:val="14"/>
              </w:rPr>
              <w:t>UPLOADING</w:t>
            </w:r>
          </w:p>
        </w:tc>
        <w:tc>
          <w:tcPr>
            <w:tcW w:type="dxa" w:w="4824"/>
            <w:vAlign w:val="top"/>
          </w:tcPr>
          <w:p>
            <w:pPr>
              <w:spacing w:after="0"/>
            </w:pPr>
            <w:r>
              <w:rPr>
                <w:rFonts w:ascii="Arial" w:hAnsi="Arial"/>
                <w:color w:val="111827"/>
                <w:sz w:val="14"/>
              </w:rPr>
              <w:t>Presigned upload created; final object not confirmed.</w:t>
            </w:r>
          </w:p>
        </w:tc>
        <w:tc>
          <w:tcPr>
            <w:tcW w:type="dxa" w:w="3168"/>
            <w:vAlign w:val="top"/>
          </w:tcPr>
          <w:p>
            <w:pPr>
              <w:spacing w:after="0"/>
            </w:pPr>
            <w:r>
              <w:rPr>
                <w:rFonts w:ascii="Arial" w:hAnsi="Arial"/>
                <w:color w:val="111827"/>
                <w:sz w:val="14"/>
              </w:rPr>
              <w:t>Uploader may retry before expiry.</w:t>
            </w:r>
          </w:p>
        </w:tc>
      </w:tr>
      <w:tr>
        <w:trPr>
          <w:cantSplit/>
        </w:trPr>
        <w:tc>
          <w:tcPr>
            <w:tcW w:type="dxa" w:w="1944"/>
            <w:vAlign w:val="top"/>
            <w:shd w:fill="F9FAFB"/>
          </w:tcPr>
          <w:p>
            <w:pPr>
              <w:spacing w:after="0"/>
            </w:pPr>
            <w:r>
              <w:rPr>
                <w:rFonts w:ascii="Arial" w:hAnsi="Arial"/>
                <w:color w:val="111827"/>
                <w:sz w:val="14"/>
              </w:rPr>
              <w:t>QUARANTINED</w:t>
            </w:r>
          </w:p>
        </w:tc>
        <w:tc>
          <w:tcPr>
            <w:tcW w:type="dxa" w:w="4824"/>
            <w:vAlign w:val="top"/>
            <w:shd w:fill="F9FAFB"/>
          </w:tcPr>
          <w:p>
            <w:pPr>
              <w:spacing w:after="0"/>
            </w:pPr>
            <w:r>
              <w:rPr>
                <w:rFonts w:ascii="Arial" w:hAnsi="Arial"/>
                <w:color w:val="111827"/>
                <w:sz w:val="14"/>
              </w:rPr>
              <w:t>Upload exists but is not yet trusted.</w:t>
            </w:r>
          </w:p>
        </w:tc>
        <w:tc>
          <w:tcPr>
            <w:tcW w:type="dxa" w:w="3168"/>
            <w:vAlign w:val="top"/>
            <w:shd w:fill="F9FAFB"/>
          </w:tcPr>
          <w:p>
            <w:pPr>
              <w:spacing w:after="0"/>
            </w:pPr>
            <w:r>
              <w:rPr>
                <w:rFonts w:ascii="Arial" w:hAnsi="Arial"/>
                <w:color w:val="111827"/>
                <w:sz w:val="14"/>
              </w:rPr>
              <w:t>Security worker only.</w:t>
            </w:r>
          </w:p>
        </w:tc>
      </w:tr>
      <w:tr>
        <w:trPr>
          <w:cantSplit/>
        </w:trPr>
        <w:tc>
          <w:tcPr>
            <w:tcW w:type="dxa" w:w="1944"/>
            <w:vAlign w:val="top"/>
          </w:tcPr>
          <w:p>
            <w:pPr>
              <w:spacing w:after="0"/>
            </w:pPr>
            <w:r>
              <w:rPr>
                <w:rFonts w:ascii="Arial" w:hAnsi="Arial"/>
                <w:color w:val="111827"/>
                <w:sz w:val="14"/>
              </w:rPr>
              <w:t>SCANNING</w:t>
            </w:r>
          </w:p>
        </w:tc>
        <w:tc>
          <w:tcPr>
            <w:tcW w:type="dxa" w:w="4824"/>
            <w:vAlign w:val="top"/>
          </w:tcPr>
          <w:p>
            <w:pPr>
              <w:spacing w:after="0"/>
            </w:pPr>
            <w:r>
              <w:rPr>
                <w:rFonts w:ascii="Arial" w:hAnsi="Arial"/>
                <w:color w:val="111827"/>
                <w:sz w:val="14"/>
              </w:rPr>
              <w:t>Integrity and malware checks are running.</w:t>
            </w:r>
          </w:p>
        </w:tc>
        <w:tc>
          <w:tcPr>
            <w:tcW w:type="dxa" w:w="3168"/>
            <w:vAlign w:val="top"/>
          </w:tcPr>
          <w:p>
            <w:pPr>
              <w:spacing w:after="0"/>
            </w:pPr>
            <w:r>
              <w:rPr>
                <w:rFonts w:ascii="Arial" w:hAnsi="Arial"/>
                <w:color w:val="111827"/>
                <w:sz w:val="14"/>
              </w:rPr>
              <w:t>No user download.</w:t>
            </w:r>
          </w:p>
        </w:tc>
      </w:tr>
      <w:tr>
        <w:trPr>
          <w:cantSplit/>
        </w:trPr>
        <w:tc>
          <w:tcPr>
            <w:tcW w:type="dxa" w:w="1944"/>
            <w:vAlign w:val="top"/>
            <w:shd w:fill="F9FAFB"/>
          </w:tcPr>
          <w:p>
            <w:pPr>
              <w:spacing w:after="0"/>
            </w:pPr>
            <w:r>
              <w:rPr>
                <w:rFonts w:ascii="Arial" w:hAnsi="Arial"/>
                <w:color w:val="111827"/>
                <w:sz w:val="14"/>
              </w:rPr>
              <w:t>PROCESSING</w:t>
            </w:r>
          </w:p>
        </w:tc>
        <w:tc>
          <w:tcPr>
            <w:tcW w:type="dxa" w:w="4824"/>
            <w:vAlign w:val="top"/>
            <w:shd w:fill="F9FAFB"/>
          </w:tcPr>
          <w:p>
            <w:pPr>
              <w:spacing w:after="0"/>
            </w:pPr>
            <w:r>
              <w:rPr>
                <w:rFonts w:ascii="Arial" w:hAnsi="Arial"/>
                <w:color w:val="111827"/>
                <w:sz w:val="14"/>
              </w:rPr>
              <w:t>Text extraction or OCR is running.</w:t>
            </w:r>
          </w:p>
        </w:tc>
        <w:tc>
          <w:tcPr>
            <w:tcW w:type="dxa" w:w="3168"/>
            <w:vAlign w:val="top"/>
            <w:shd w:fill="F9FAFB"/>
          </w:tcPr>
          <w:p>
            <w:pPr>
              <w:spacing w:after="0"/>
            </w:pPr>
            <w:r>
              <w:rPr>
                <w:rFonts w:ascii="Arial" w:hAnsi="Arial"/>
                <w:color w:val="111827"/>
                <w:sz w:val="14"/>
              </w:rPr>
              <w:t>Privileged progress view only.</w:t>
            </w:r>
          </w:p>
        </w:tc>
      </w:tr>
      <w:tr>
        <w:trPr>
          <w:cantSplit/>
        </w:trPr>
        <w:tc>
          <w:tcPr>
            <w:tcW w:type="dxa" w:w="1944"/>
            <w:vAlign w:val="top"/>
          </w:tcPr>
          <w:p>
            <w:pPr>
              <w:spacing w:after="0"/>
            </w:pPr>
            <w:r>
              <w:rPr>
                <w:rFonts w:ascii="Arial" w:hAnsi="Arial"/>
                <w:color w:val="111827"/>
                <w:sz w:val="14"/>
              </w:rPr>
              <w:t>READY_FOR_REVIEW</w:t>
            </w:r>
          </w:p>
        </w:tc>
        <w:tc>
          <w:tcPr>
            <w:tcW w:type="dxa" w:w="4824"/>
            <w:vAlign w:val="top"/>
          </w:tcPr>
          <w:p>
            <w:pPr>
              <w:spacing w:after="0"/>
            </w:pPr>
            <w:r>
              <w:rPr>
                <w:rFonts w:ascii="Arial" w:hAnsi="Arial"/>
                <w:color w:val="111827"/>
                <w:sz w:val="14"/>
              </w:rPr>
              <w:t>Safe file; extracted data requires confirmation.</w:t>
            </w:r>
          </w:p>
        </w:tc>
        <w:tc>
          <w:tcPr>
            <w:tcW w:type="dxa" w:w="3168"/>
            <w:vAlign w:val="top"/>
          </w:tcPr>
          <w:p>
            <w:pPr>
              <w:spacing w:after="0"/>
            </w:pPr>
            <w:r>
              <w:rPr>
                <w:rFonts w:ascii="Arial" w:hAnsi="Arial"/>
                <w:color w:val="111827"/>
                <w:sz w:val="14"/>
              </w:rPr>
              <w:t>Authorized recruiter may review.</w:t>
            </w:r>
          </w:p>
        </w:tc>
      </w:tr>
      <w:tr>
        <w:trPr>
          <w:cantSplit/>
        </w:trPr>
        <w:tc>
          <w:tcPr>
            <w:tcW w:type="dxa" w:w="1944"/>
            <w:vAlign w:val="top"/>
            <w:shd w:fill="F9FAFB"/>
          </w:tcPr>
          <w:p>
            <w:pPr>
              <w:spacing w:after="0"/>
            </w:pPr>
            <w:r>
              <w:rPr>
                <w:rFonts w:ascii="Arial" w:hAnsi="Arial"/>
                <w:color w:val="111827"/>
                <w:sz w:val="14"/>
              </w:rPr>
              <w:t>ACTIVE</w:t>
            </w:r>
          </w:p>
        </w:tc>
        <w:tc>
          <w:tcPr>
            <w:tcW w:type="dxa" w:w="4824"/>
            <w:vAlign w:val="top"/>
            <w:shd w:fill="F9FAFB"/>
          </w:tcPr>
          <w:p>
            <w:pPr>
              <w:spacing w:after="0"/>
            </w:pPr>
            <w:r>
              <w:rPr>
                <w:rFonts w:ascii="Arial" w:hAnsi="Arial"/>
                <w:color w:val="111827"/>
                <w:sz w:val="14"/>
              </w:rPr>
              <w:t>Published and attached to a record.</w:t>
            </w:r>
          </w:p>
        </w:tc>
        <w:tc>
          <w:tcPr>
            <w:tcW w:type="dxa" w:w="3168"/>
            <w:vAlign w:val="top"/>
            <w:shd w:fill="F9FAFB"/>
          </w:tcPr>
          <w:p>
            <w:pPr>
              <w:spacing w:after="0"/>
            </w:pPr>
            <w:r>
              <w:rPr>
                <w:rFonts w:ascii="Arial" w:hAnsi="Arial"/>
                <w:color w:val="111827"/>
                <w:sz w:val="14"/>
              </w:rPr>
              <w:t>Permission-controlled view/download.</w:t>
            </w:r>
          </w:p>
        </w:tc>
      </w:tr>
      <w:tr>
        <w:trPr>
          <w:cantSplit/>
        </w:trPr>
        <w:tc>
          <w:tcPr>
            <w:tcW w:type="dxa" w:w="1944"/>
            <w:vAlign w:val="top"/>
          </w:tcPr>
          <w:p>
            <w:pPr>
              <w:spacing w:after="0"/>
            </w:pPr>
            <w:r>
              <w:rPr>
                <w:rFonts w:ascii="Arial" w:hAnsi="Arial"/>
                <w:color w:val="111827"/>
                <w:sz w:val="14"/>
              </w:rPr>
              <w:t>REJECTED</w:t>
            </w:r>
          </w:p>
        </w:tc>
        <w:tc>
          <w:tcPr>
            <w:tcW w:type="dxa" w:w="4824"/>
            <w:vAlign w:val="top"/>
          </w:tcPr>
          <w:p>
            <w:pPr>
              <w:spacing w:after="0"/>
            </w:pPr>
            <w:r>
              <w:rPr>
                <w:rFonts w:ascii="Arial" w:hAnsi="Arial"/>
                <w:color w:val="111827"/>
                <w:sz w:val="14"/>
              </w:rPr>
              <w:t>Unsafe, corrupted, unsupported, or invalid.</w:t>
            </w:r>
          </w:p>
        </w:tc>
        <w:tc>
          <w:tcPr>
            <w:tcW w:type="dxa" w:w="3168"/>
            <w:vAlign w:val="top"/>
          </w:tcPr>
          <w:p>
            <w:pPr>
              <w:spacing w:after="0"/>
            </w:pPr>
            <w:r>
              <w:rPr>
                <w:rFonts w:ascii="Arial" w:hAnsi="Arial"/>
                <w:color w:val="111827"/>
                <w:sz w:val="14"/>
              </w:rPr>
              <w:t>Delete or retain under security policy.</w:t>
            </w:r>
          </w:p>
        </w:tc>
      </w:tr>
      <w:tr>
        <w:trPr>
          <w:cantSplit/>
        </w:trPr>
        <w:tc>
          <w:tcPr>
            <w:tcW w:type="dxa" w:w="1944"/>
            <w:vAlign w:val="top"/>
            <w:shd w:fill="F9FAFB"/>
          </w:tcPr>
          <w:p>
            <w:pPr>
              <w:spacing w:after="0"/>
            </w:pPr>
            <w:r>
              <w:rPr>
                <w:rFonts w:ascii="Arial" w:hAnsi="Arial"/>
                <w:color w:val="111827"/>
                <w:sz w:val="14"/>
              </w:rPr>
              <w:t>ARCHIVED</w:t>
            </w:r>
          </w:p>
        </w:tc>
        <w:tc>
          <w:tcPr>
            <w:tcW w:type="dxa" w:w="4824"/>
            <w:vAlign w:val="top"/>
            <w:shd w:fill="F9FAFB"/>
          </w:tcPr>
          <w:p>
            <w:pPr>
              <w:spacing w:after="0"/>
            </w:pPr>
            <w:r>
              <w:rPr>
                <w:rFonts w:ascii="Arial" w:hAnsi="Arial"/>
                <w:color w:val="111827"/>
                <w:sz w:val="14"/>
              </w:rPr>
              <w:t>Retained but not active.</w:t>
            </w:r>
          </w:p>
        </w:tc>
        <w:tc>
          <w:tcPr>
            <w:tcW w:type="dxa" w:w="3168"/>
            <w:vAlign w:val="top"/>
            <w:shd w:fill="F9FAFB"/>
          </w:tcPr>
          <w:p>
            <w:pPr>
              <w:spacing w:after="0"/>
            </w:pPr>
            <w:r>
              <w:rPr>
                <w:rFonts w:ascii="Arial" w:hAnsi="Arial"/>
                <w:color w:val="111827"/>
                <w:sz w:val="14"/>
              </w:rPr>
              <w:t>Restricted access.</w:t>
            </w:r>
          </w:p>
        </w:tc>
      </w:tr>
      <w:tr>
        <w:trPr>
          <w:cantSplit/>
        </w:trPr>
        <w:tc>
          <w:tcPr>
            <w:tcW w:type="dxa" w:w="1944"/>
            <w:vAlign w:val="top"/>
          </w:tcPr>
          <w:p>
            <w:pPr>
              <w:spacing w:after="0"/>
            </w:pPr>
            <w:r>
              <w:rPr>
                <w:rFonts w:ascii="Arial" w:hAnsi="Arial"/>
                <w:color w:val="111827"/>
                <w:sz w:val="14"/>
              </w:rPr>
              <w:t>DELETED</w:t>
            </w:r>
          </w:p>
        </w:tc>
        <w:tc>
          <w:tcPr>
            <w:tcW w:type="dxa" w:w="4824"/>
            <w:vAlign w:val="top"/>
          </w:tcPr>
          <w:p>
            <w:pPr>
              <w:spacing w:after="0"/>
            </w:pPr>
            <w:r>
              <w:rPr>
                <w:rFonts w:ascii="Arial" w:hAnsi="Arial"/>
                <w:color w:val="111827"/>
                <w:sz w:val="14"/>
              </w:rPr>
              <w:t>Logically deleted; physical purge pending.</w:t>
            </w:r>
          </w:p>
        </w:tc>
        <w:tc>
          <w:tcPr>
            <w:tcW w:type="dxa" w:w="3168"/>
            <w:vAlign w:val="top"/>
          </w:tcPr>
          <w:p>
            <w:pPr>
              <w:spacing w:after="0"/>
            </w:pPr>
            <w:r>
              <w:rPr>
                <w:rFonts w:ascii="Arial" w:hAnsi="Arial"/>
                <w:color w:val="111827"/>
                <w:sz w:val="14"/>
              </w:rPr>
              <w:t>Administrators only.</w:t>
            </w:r>
          </w:p>
        </w:tc>
      </w:tr>
    </w:tbl>
    <w:p>
      <w:pPr>
        <w:spacing w:after="0"/>
      </w:pPr>
    </w:p>
    <w:p>
      <w:pPr>
        <w:pStyle w:val="Heading2"/>
      </w:pPr>
      <w:r>
        <w:t>11.3 Upload Controls</w:t>
      </w:r>
    </w:p>
    <w:p>
      <w:pPr>
        <w:pStyle w:val="ListBullet"/>
      </w:pPr>
      <w:r>
        <w:rPr>
          <w:rFonts w:ascii="Arial" w:hAnsi="Arial"/>
        </w:rPr>
        <w:t>Allowlist formats: PDF, DOCX, JPG, and PNG for candidate files. Additional formats require security review.</w:t>
      </w:r>
    </w:p>
    <w:p>
      <w:pPr>
        <w:pStyle w:val="ListBullet"/>
      </w:pPr>
      <w:r>
        <w:rPr>
          <w:rFonts w:ascii="Arial" w:hAnsi="Arial"/>
        </w:rPr>
        <w:t>Initial file-size limit SHOULD be 20 MB per file and configurable by document type.</w:t>
      </w:r>
    </w:p>
    <w:p>
      <w:pPr>
        <w:pStyle w:val="ListBullet"/>
      </w:pPr>
      <w:r>
        <w:rPr>
          <w:rFonts w:ascii="Arial" w:hAnsi="Arial"/>
        </w:rPr>
        <w:t>Verify extension, declared MIME type, detected file signature, size, and checksum.</w:t>
      </w:r>
    </w:p>
    <w:p>
      <w:pPr>
        <w:pStyle w:val="ListBullet"/>
      </w:pPr>
      <w:r>
        <w:rPr>
          <w:rFonts w:ascii="Arial" w:hAnsi="Arial"/>
        </w:rPr>
        <w:t>Sanitize original filenames for display and never use them as the storage key.</w:t>
      </w:r>
    </w:p>
    <w:p>
      <w:pPr>
        <w:pStyle w:val="ListBullet"/>
      </w:pPr>
      <w:r>
        <w:rPr>
          <w:rFonts w:ascii="Arial" w:hAnsi="Arial"/>
        </w:rPr>
        <w:t>Limit page count and decompressed size to reduce zip-bomb and parser resource-exhaustion risk.</w:t>
      </w:r>
    </w:p>
    <w:p>
      <w:pPr>
        <w:pStyle w:val="ListBullet"/>
      </w:pPr>
      <w:r>
        <w:rPr>
          <w:rFonts w:ascii="Arial" w:hAnsi="Arial"/>
        </w:rPr>
        <w:t>Record download and preview events for sensitive files such as offers, licenses, contracts, and identity documents.</w:t>
      </w:r>
    </w:p>
    <w:p>
      <w:pPr>
        <w:pStyle w:val="Heading1"/>
      </w:pPr>
      <w:r>
        <w:t>12. CV Processing and Document Automation</w:t>
      </w:r>
    </w:p>
    <w:p>
      <w:pPr>
        <w:spacing w:after="120"/>
      </w:pPr>
      <w:r>
        <w:rPr>
          <w:rFonts w:ascii="Arial" w:hAnsi="Arial"/>
          <w:i/>
          <w:color w:val="6B7280"/>
          <w:sz w:val="18"/>
        </w:rPr>
        <w:t>CV automation assists users; it does not become an autonomous hiring decision system.</w:t>
      </w:r>
    </w:p>
    <w:p>
      <w:pPr>
        <w:pStyle w:val="Heading2"/>
      </w:pPr>
      <w:r>
        <w:t>12.1 Processing Pipeline</w:t>
      </w:r>
    </w:p>
    <w:p>
      <w:pPr>
        <w:pStyle w:val="ListNumber"/>
      </w:pPr>
      <w:r>
        <w:rPr>
          <w:rFonts w:ascii="Arial" w:hAnsi="Arial"/>
        </w:rPr>
        <w:t>Confirm upload and place the object in quarantine.</w:t>
      </w:r>
    </w:p>
    <w:p>
      <w:pPr>
        <w:pStyle w:val="ListNumber"/>
      </w:pPr>
      <w:r>
        <w:rPr>
          <w:rFonts w:ascii="Arial" w:hAnsi="Arial"/>
        </w:rPr>
        <w:t>Validate content and complete malware scanning.</w:t>
      </w:r>
    </w:p>
    <w:p>
      <w:pPr>
        <w:pStyle w:val="ListNumber"/>
      </w:pPr>
      <w:r>
        <w:rPr>
          <w:rFonts w:ascii="Arial" w:hAnsi="Arial"/>
        </w:rPr>
        <w:t>Classify the file as text PDF, scanned PDF, DOCX, or image.</w:t>
      </w:r>
    </w:p>
    <w:p>
      <w:pPr>
        <w:pStyle w:val="ListNumber"/>
      </w:pPr>
      <w:r>
        <w:rPr>
          <w:rFonts w:ascii="Arial" w:hAnsi="Arial"/>
        </w:rPr>
        <w:t>Extract native text when available; run OCR only for pages that require it.</w:t>
      </w:r>
    </w:p>
    <w:p>
      <w:pPr>
        <w:pStyle w:val="ListNumber"/>
      </w:pPr>
      <w:r>
        <w:rPr>
          <w:rFonts w:ascii="Arial" w:hAnsi="Arial"/>
        </w:rPr>
        <w:t>Normalize text and detect language.</w:t>
      </w:r>
    </w:p>
    <w:p>
      <w:pPr>
        <w:pStyle w:val="ListNumber"/>
      </w:pPr>
      <w:r>
        <w:rPr>
          <w:rFonts w:ascii="Arial" w:hAnsi="Arial"/>
        </w:rPr>
        <w:t>Extract candidate field suggestions and confidence values.</w:t>
      </w:r>
    </w:p>
    <w:p>
      <w:pPr>
        <w:pStyle w:val="ListNumber"/>
      </w:pPr>
      <w:r>
        <w:rPr>
          <w:rFonts w:ascii="Arial" w:hAnsi="Arial"/>
        </w:rPr>
        <w:t>Run duplicate matching against normalized email, phone, LinkedIn URL, and reviewed fuzzy signals.</w:t>
      </w:r>
    </w:p>
    <w:p>
      <w:pPr>
        <w:pStyle w:val="ListNumber"/>
      </w:pPr>
      <w:r>
        <w:rPr>
          <w:rFonts w:ascii="Arial" w:hAnsi="Arial"/>
        </w:rPr>
        <w:t>Present the CV, extracted values, confidence, warnings, and duplicate candidates to an authorized user.</w:t>
      </w:r>
    </w:p>
    <w:p>
      <w:pPr>
        <w:pStyle w:val="ListNumber"/>
      </w:pPr>
      <w:r>
        <w:rPr>
          <w:rFonts w:ascii="Arial" w:hAnsi="Arial"/>
        </w:rPr>
        <w:t>Save only confirmed candidate data; retain extraction payload and parser version for traceability.</w:t>
      </w:r>
    </w:p>
    <w:p>
      <w:pPr>
        <w:pStyle w:val="Heading2"/>
      </w:pPr>
      <w:r>
        <w:t>12.2 Technology Guidelines</w:t>
      </w:r>
    </w:p>
    <w:p>
      <w:pPr>
        <w:pStyle w:val="ListBullet"/>
      </w:pPr>
      <w:r>
        <w:rPr>
          <w:rFonts w:ascii="Arial" w:hAnsi="Arial"/>
        </w:rPr>
        <w:t>Use an internal extraction interface so PDF.js, Tesseract, a managed OCR provider, or a future service can be replaced without changing candidate workflows.</w:t>
      </w:r>
    </w:p>
    <w:p>
      <w:pPr>
        <w:pStyle w:val="ListBullet"/>
      </w:pPr>
      <w:r>
        <w:rPr>
          <w:rFonts w:ascii="Arial" w:hAnsi="Arial"/>
        </w:rPr>
        <w:t>DOCX extraction SHOULD use a purpose-built parser rather than invoking a desktop office application in the API process.</w:t>
      </w:r>
    </w:p>
    <w:p>
      <w:pPr>
        <w:pStyle w:val="ListBullet"/>
      </w:pPr>
      <w:r>
        <w:rPr>
          <w:rFonts w:ascii="Arial" w:hAnsi="Arial"/>
        </w:rPr>
        <w:t>OCR and parsing SHALL run in workers with CPU and memory limits, timeouts, retries, and dead-letter handling.</w:t>
      </w:r>
    </w:p>
    <w:p>
      <w:pPr>
        <w:pStyle w:val="ListBullet"/>
      </w:pPr>
      <w:r>
        <w:rPr>
          <w:rFonts w:ascii="Arial" w:hAnsi="Arial"/>
        </w:rPr>
        <w:t>Store parser name, parser version, started_at, completed_at, status, error code, extracted_text, structured_payload, and confidence in processing records.</w:t>
      </w:r>
    </w:p>
    <w:p>
      <w:pPr>
        <w:pStyle w:val="ListBullet"/>
      </w:pPr>
      <w:r>
        <w:rPr>
          <w:rFonts w:ascii="Arial" w:hAnsi="Arial"/>
        </w:rPr>
        <w:t>Do not send candidate files or PII to an external AI or OCR provider without an approved data-processing agreement, region review, retention settings, and explicit configuration.</w:t>
      </w:r>
    </w:p>
    <w:p>
      <w:pPr>
        <w:pStyle w:val="ListBullet"/>
      </w:pPr>
      <w:r>
        <w:rPr>
          <w:rFonts w:ascii="Arial" w:hAnsi="Arial"/>
        </w:rPr>
        <w:t>AI-generated summaries, rankings, or matching scores SHALL be explainable aids and SHALL NOT make or automatically execute rejection decisions.</w:t>
      </w:r>
    </w:p>
    <w:p>
      <w:pPr>
        <w:pStyle w:val="Heading1"/>
      </w:pPr>
      <w:r>
        <w:t>13. Authentication and Authorization</w:t>
      </w:r>
    </w:p>
    <w:p>
      <w:pPr>
        <w:pStyle w:val="Heading2"/>
      </w:pPr>
      <w:r>
        <w:t>13.1 Authentication</w:t>
      </w:r>
    </w:p>
    <w:p>
      <w:pPr>
        <w:pStyle w:val="ListBullet"/>
      </w:pPr>
      <w:r>
        <w:rPr>
          <w:rFonts w:ascii="Arial" w:hAnsi="Arial"/>
        </w:rPr>
        <w:t>Production SHALL support secure server-managed sessions using HttpOnly, Secure cookies with SameSite protection.</w:t>
      </w:r>
    </w:p>
    <w:p>
      <w:pPr>
        <w:pStyle w:val="ListBullet"/>
      </w:pPr>
      <w:r>
        <w:rPr>
          <w:rFonts w:ascii="Arial" w:hAnsi="Arial"/>
        </w:rPr>
        <w:t>Local credentials, when enabled, SHALL use Argon2id password hashing and rate-limited login and reset flows.</w:t>
      </w:r>
    </w:p>
    <w:p>
      <w:pPr>
        <w:pStyle w:val="ListBullet"/>
      </w:pPr>
      <w:r>
        <w:rPr>
          <w:rFonts w:ascii="Arial" w:hAnsi="Arial"/>
        </w:rPr>
        <w:t>Enterprise deployments SHOULD support OpenID Connect with Microsoft Entra ID or another approved identity provider. SAML MAY be added through an approved identity layer.</w:t>
      </w:r>
    </w:p>
    <w:p>
      <w:pPr>
        <w:pStyle w:val="ListBullet"/>
      </w:pPr>
      <w:r>
        <w:rPr>
          <w:rFonts w:ascii="Arial" w:hAnsi="Arial"/>
        </w:rPr>
        <w:t>MFA SHOULD be required for administrators, approvers, salary access, bulk export, and restore operations.</w:t>
      </w:r>
    </w:p>
    <w:p>
      <w:pPr>
        <w:pStyle w:val="ListBullet"/>
      </w:pPr>
      <w:r>
        <w:rPr>
          <w:rFonts w:ascii="Arial" w:hAnsi="Arial"/>
        </w:rPr>
        <w:t>Sessions SHALL support inactivity timeout, absolute lifetime, revocation, device visibility, and forced sign-out.</w:t>
      </w:r>
    </w:p>
    <w:p>
      <w:pPr>
        <w:pStyle w:val="Heading2"/>
      </w:pPr>
      <w:r>
        <w:t>13.2 Authorization Model</w:t>
      </w:r>
    </w:p>
    <w:p>
      <w:r>
        <w:rPr>
          <w:rFonts w:ascii="Arial" w:hAnsi="Arial"/>
        </w:rPr>
        <w:t>RecruitFlow SHALL combine role-based access control with resource scope and context-sensitive policy. A role grants capabilities; scope limits where they apply; policy checks the record state and workflow conditions.</w:t>
      </w:r>
    </w:p>
    <w:p>
      <w:pPr>
        <w:pStyle w:val="CodeBlock"/>
        <w:shd w:fill="F3F4F6"/>
      </w:pPr>
      <w:r>
        <w:rPr>
          <w:rFonts w:ascii="Courier New" w:hAnsi="Courier New"/>
          <w:sz w:val="15"/>
        </w:rPr>
        <w:t>Permission: offers.view_compensation</w:t>
        <w:br/>
      </w:r>
      <w:r>
        <w:rPr>
          <w:rFonts w:ascii="Courier New" w:hAnsi="Courier New"/>
          <w:sz w:val="15"/>
        </w:rPr>
        <w:t>Scope: legal_entity in [LE-001] AND branch in [DXB, SHJ]</w:t>
        <w:br/>
      </w:r>
      <w:r>
        <w:rPr>
          <w:rFonts w:ascii="Courier New" w:hAnsi="Courier New"/>
          <w:sz w:val="15"/>
        </w:rPr>
        <w:t>Context rule: user is assigned recruiter OR belongs to HR management</w:t>
        <w:br/>
      </w:r>
      <w:r>
        <w:rPr>
          <w:rFonts w:ascii="Courier New" w:hAnsi="Courier New"/>
          <w:sz w:val="15"/>
        </w:rPr>
        <w:t>Record rule: offer is not soft-deleted</w:t>
      </w:r>
    </w:p>
    <w:p>
      <w:pPr>
        <w:pStyle w:val="ListBullet"/>
      </w:pPr>
      <w:r>
        <w:rPr>
          <w:rFonts w:ascii="Arial" w:hAnsi="Arial"/>
        </w:rPr>
        <w:t>Permissions SHALL use explicit codes such as candidates.view_pii, applications.move_stage, offers.approve, documents.download, hiring.final_approve, and audit.export.</w:t>
      </w:r>
    </w:p>
    <w:p>
      <w:pPr>
        <w:pStyle w:val="ListBullet"/>
      </w:pPr>
      <w:r>
        <w:rPr>
          <w:rFonts w:ascii="Arial" w:hAnsi="Arial"/>
        </w:rPr>
        <w:t>Field-level response mapping SHALL prevent unauthorized salary, document, and PII fields from leaving the API. Hiding a field in React is not security.</w:t>
      </w:r>
    </w:p>
    <w:p>
      <w:pPr>
        <w:pStyle w:val="ListBullet"/>
      </w:pPr>
      <w:r>
        <w:rPr>
          <w:rFonts w:ascii="Arial" w:hAnsi="Arial"/>
        </w:rPr>
        <w:t>Every endpoint that accepts an object identifier SHALL check object-level authorization.</w:t>
      </w:r>
    </w:p>
    <w:p>
      <w:pPr>
        <w:pStyle w:val="ListBullet"/>
      </w:pPr>
      <w:r>
        <w:rPr>
          <w:rFonts w:ascii="Arial" w:hAnsi="Arial"/>
        </w:rPr>
        <w:t>Administrative override permissions SHALL require a reason and produce a high-severity audit event.</w:t>
      </w:r>
    </w:p>
    <w:p>
      <w:pPr>
        <w:pStyle w:val="ListBullet"/>
      </w:pPr>
      <w:r>
        <w:rPr>
          <w:rFonts w:ascii="Arial" w:hAnsi="Arial"/>
        </w:rPr>
        <w:t>Service accounts and integration credentials SHALL have separate identities, least privilege, rotation, and expiration.</w:t>
      </w:r>
    </w:p>
    <w:p>
      <w:pPr>
        <w:pStyle w:val="Heading1"/>
      </w:pPr>
      <w:r>
        <w:t>14. Security and Privacy Engineering</w:t>
      </w:r>
    </w:p>
    <w:tbl>
      <w:tblPr>
        <w:tblW w:type="auto" w:w="0"/>
        <w:jc w:val="center"/>
        <w:tblLayout w:type="autofit"/>
        <w:tblLook w:firstColumn="1" w:firstRow="1" w:lastColumn="0" w:lastRow="0" w:noHBand="0" w:noVBand="1" w:val="04A0"/>
      </w:tblPr>
      <w:tblGrid>
        <w:gridCol w:w="9948"/>
      </w:tblGrid>
      <w:tr>
        <w:tc>
          <w:tcPr>
            <w:tcW w:type="dxa" w:w="9948"/>
            <w:shd w:fill="FEE2E2"/>
            <w:tcBorders>
              <w:top w:val="single" w:sz="10" w:color="DC2626"/>
              <w:left w:val="single" w:sz="18" w:color="DC2626"/>
              <w:bottom w:val="single" w:sz="10" w:color="DC2626"/>
              <w:right w:val="single" w:sz="10" w:color="DC2626"/>
            </w:tcBorders>
          </w:tcPr>
          <w:p>
            <w:pPr>
              <w:spacing w:after="40"/>
            </w:pPr>
            <w:r>
              <w:rPr>
                <w:rFonts w:ascii="Arial" w:hAnsi="Arial"/>
                <w:b/>
                <w:color w:val="DC2626"/>
                <w:sz w:val="19"/>
              </w:rPr>
              <w:t>Security baseline</w:t>
            </w:r>
          </w:p>
          <w:p>
            <w:pPr>
              <w:spacing w:after="40"/>
            </w:pPr>
            <w:r>
              <w:rPr>
                <w:rFonts w:ascii="Arial" w:hAnsi="Arial"/>
                <w:sz w:val="17"/>
              </w:rPr>
              <w:t>Security acceptance SHALL be mapped to OWASP ASVS 5.0 controls appropriate to the deployment risk and OWASP API Security Top 10 risks, with particular emphasis on object-level authorization, property-level authorization, resource limits, sensitive business flows, and API inventory.</w:t>
            </w:r>
          </w:p>
        </w:tc>
      </w:tr>
    </w:tbl>
    <w:p>
      <w:pPr>
        <w:spacing w:after="0"/>
      </w:pP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1800"/>
            <w:shd w:fill="5B21B6"/>
            <w:vAlign w:val="center"/>
          </w:tcPr>
          <w:p>
            <w:pPr>
              <w:jc w:val="left"/>
            </w:pPr>
            <w:r>
              <w:rPr>
                <w:rFonts w:ascii="Arial" w:hAnsi="Arial"/>
                <w:b/>
                <w:color w:val="FFFFFF"/>
                <w:sz w:val="14"/>
              </w:rPr>
              <w:t>Control Area</w:t>
            </w:r>
          </w:p>
        </w:tc>
        <w:tc>
          <w:tcPr>
            <w:tcW w:type="dxa" w:w="8136"/>
            <w:shd w:fill="5B21B6"/>
            <w:vAlign w:val="center"/>
          </w:tcPr>
          <w:p>
            <w:pPr>
              <w:jc w:val="left"/>
            </w:pPr>
            <w:r>
              <w:rPr>
                <w:rFonts w:ascii="Arial" w:hAnsi="Arial"/>
                <w:b/>
                <w:color w:val="FFFFFF"/>
                <w:sz w:val="14"/>
              </w:rPr>
              <w:t>Mandatory Guideline</w:t>
            </w:r>
          </w:p>
        </w:tc>
      </w:tr>
      <w:tr>
        <w:trPr>
          <w:cantSplit/>
        </w:trPr>
        <w:tc>
          <w:tcPr>
            <w:tcW w:type="dxa" w:w="1800"/>
            <w:vAlign w:val="top"/>
          </w:tcPr>
          <w:p>
            <w:pPr>
              <w:spacing w:after="0"/>
            </w:pPr>
            <w:r>
              <w:rPr>
                <w:rFonts w:ascii="Arial" w:hAnsi="Arial"/>
                <w:color w:val="111827"/>
                <w:sz w:val="14"/>
              </w:rPr>
              <w:t>Transport</w:t>
            </w:r>
          </w:p>
        </w:tc>
        <w:tc>
          <w:tcPr>
            <w:tcW w:type="dxa" w:w="8136"/>
            <w:vAlign w:val="top"/>
          </w:tcPr>
          <w:p>
            <w:pPr>
              <w:spacing w:after="0"/>
            </w:pPr>
            <w:r>
              <w:rPr>
                <w:rFonts w:ascii="Arial" w:hAnsi="Arial"/>
                <w:color w:val="111827"/>
                <w:sz w:val="14"/>
              </w:rPr>
              <w:t>TLS for all production traffic; HSTS at the ingress; no mixed content.</w:t>
            </w:r>
          </w:p>
        </w:tc>
      </w:tr>
      <w:tr>
        <w:trPr>
          <w:cantSplit/>
        </w:trPr>
        <w:tc>
          <w:tcPr>
            <w:tcW w:type="dxa" w:w="1800"/>
            <w:vAlign w:val="top"/>
            <w:shd w:fill="F9FAFB"/>
          </w:tcPr>
          <w:p>
            <w:pPr>
              <w:spacing w:after="0"/>
            </w:pPr>
            <w:r>
              <w:rPr>
                <w:rFonts w:ascii="Arial" w:hAnsi="Arial"/>
                <w:color w:val="111827"/>
                <w:sz w:val="14"/>
              </w:rPr>
              <w:t>Headers</w:t>
            </w:r>
          </w:p>
        </w:tc>
        <w:tc>
          <w:tcPr>
            <w:tcW w:type="dxa" w:w="8136"/>
            <w:vAlign w:val="top"/>
            <w:shd w:fill="F9FAFB"/>
          </w:tcPr>
          <w:p>
            <w:pPr>
              <w:spacing w:after="0"/>
            </w:pPr>
            <w:r>
              <w:rPr>
                <w:rFonts w:ascii="Arial" w:hAnsi="Arial"/>
                <w:color w:val="111827"/>
                <w:sz w:val="14"/>
              </w:rPr>
              <w:t>Content Security Policy, frame restrictions, MIME sniffing protection, referrer policy, and secure cache headers.</w:t>
            </w:r>
          </w:p>
        </w:tc>
      </w:tr>
      <w:tr>
        <w:trPr>
          <w:cantSplit/>
        </w:trPr>
        <w:tc>
          <w:tcPr>
            <w:tcW w:type="dxa" w:w="1800"/>
            <w:vAlign w:val="top"/>
          </w:tcPr>
          <w:p>
            <w:pPr>
              <w:spacing w:after="0"/>
            </w:pPr>
            <w:r>
              <w:rPr>
                <w:rFonts w:ascii="Arial" w:hAnsi="Arial"/>
                <w:color w:val="111827"/>
                <w:sz w:val="14"/>
              </w:rPr>
              <w:t>Input</w:t>
            </w:r>
          </w:p>
        </w:tc>
        <w:tc>
          <w:tcPr>
            <w:tcW w:type="dxa" w:w="8136"/>
            <w:vAlign w:val="top"/>
          </w:tcPr>
          <w:p>
            <w:pPr>
              <w:spacing w:after="0"/>
            </w:pPr>
            <w:r>
              <w:rPr>
                <w:rFonts w:ascii="Arial" w:hAnsi="Arial"/>
                <w:color w:val="111827"/>
                <w:sz w:val="14"/>
              </w:rPr>
              <w:t>Schema validation, length limits, allowlists, canonicalization, and output encoding.</w:t>
            </w:r>
          </w:p>
        </w:tc>
      </w:tr>
      <w:tr>
        <w:trPr>
          <w:cantSplit/>
        </w:trPr>
        <w:tc>
          <w:tcPr>
            <w:tcW w:type="dxa" w:w="1800"/>
            <w:vAlign w:val="top"/>
            <w:shd w:fill="F9FAFB"/>
          </w:tcPr>
          <w:p>
            <w:pPr>
              <w:spacing w:after="0"/>
            </w:pPr>
            <w:r>
              <w:rPr>
                <w:rFonts w:ascii="Arial" w:hAnsi="Arial"/>
                <w:color w:val="111827"/>
                <w:sz w:val="14"/>
              </w:rPr>
              <w:t>SQL</w:t>
            </w:r>
          </w:p>
        </w:tc>
        <w:tc>
          <w:tcPr>
            <w:tcW w:type="dxa" w:w="8136"/>
            <w:vAlign w:val="top"/>
            <w:shd w:fill="F9FAFB"/>
          </w:tcPr>
          <w:p>
            <w:pPr>
              <w:spacing w:after="0"/>
            </w:pPr>
            <w:r>
              <w:rPr>
                <w:rFonts w:ascii="Arial" w:hAnsi="Arial"/>
                <w:color w:val="111827"/>
                <w:sz w:val="14"/>
              </w:rPr>
              <w:t>Parameterized queries through Prisma or reviewed parameterized SQL; no string-built SQL.</w:t>
            </w:r>
          </w:p>
        </w:tc>
      </w:tr>
      <w:tr>
        <w:trPr>
          <w:cantSplit/>
        </w:trPr>
        <w:tc>
          <w:tcPr>
            <w:tcW w:type="dxa" w:w="1800"/>
            <w:vAlign w:val="top"/>
          </w:tcPr>
          <w:p>
            <w:pPr>
              <w:spacing w:after="0"/>
            </w:pPr>
            <w:r>
              <w:rPr>
                <w:rFonts w:ascii="Arial" w:hAnsi="Arial"/>
                <w:color w:val="111827"/>
                <w:sz w:val="14"/>
              </w:rPr>
              <w:t>Secrets</w:t>
            </w:r>
          </w:p>
        </w:tc>
        <w:tc>
          <w:tcPr>
            <w:tcW w:type="dxa" w:w="8136"/>
            <w:vAlign w:val="top"/>
          </w:tcPr>
          <w:p>
            <w:pPr>
              <w:spacing w:after="0"/>
            </w:pPr>
            <w:r>
              <w:rPr>
                <w:rFonts w:ascii="Arial" w:hAnsi="Arial"/>
                <w:color w:val="111827"/>
                <w:sz w:val="14"/>
              </w:rPr>
              <w:t>Secrets manager or protected environment injection; no secrets in source, images, logs, or browser bundles.</w:t>
            </w:r>
          </w:p>
        </w:tc>
      </w:tr>
      <w:tr>
        <w:trPr>
          <w:cantSplit/>
        </w:trPr>
        <w:tc>
          <w:tcPr>
            <w:tcW w:type="dxa" w:w="1800"/>
            <w:vAlign w:val="top"/>
            <w:shd w:fill="F9FAFB"/>
          </w:tcPr>
          <w:p>
            <w:pPr>
              <w:spacing w:after="0"/>
            </w:pPr>
            <w:r>
              <w:rPr>
                <w:rFonts w:ascii="Arial" w:hAnsi="Arial"/>
                <w:color w:val="111827"/>
                <w:sz w:val="14"/>
              </w:rPr>
              <w:t>Dependencies</w:t>
            </w:r>
          </w:p>
        </w:tc>
        <w:tc>
          <w:tcPr>
            <w:tcW w:type="dxa" w:w="8136"/>
            <w:vAlign w:val="top"/>
            <w:shd w:fill="F9FAFB"/>
          </w:tcPr>
          <w:p>
            <w:pPr>
              <w:spacing w:after="0"/>
            </w:pPr>
            <w:r>
              <w:rPr>
                <w:rFonts w:ascii="Arial" w:hAnsi="Arial"/>
                <w:color w:val="111827"/>
                <w:sz w:val="14"/>
              </w:rPr>
              <w:t>Automated vulnerability scanning, lockfile review, patch cadence, and emergency upgrade path.</w:t>
            </w:r>
          </w:p>
        </w:tc>
      </w:tr>
      <w:tr>
        <w:trPr>
          <w:cantSplit/>
        </w:trPr>
        <w:tc>
          <w:tcPr>
            <w:tcW w:type="dxa" w:w="1800"/>
            <w:vAlign w:val="top"/>
          </w:tcPr>
          <w:p>
            <w:pPr>
              <w:spacing w:after="0"/>
            </w:pPr>
            <w:r>
              <w:rPr>
                <w:rFonts w:ascii="Arial" w:hAnsi="Arial"/>
                <w:color w:val="111827"/>
                <w:sz w:val="14"/>
              </w:rPr>
              <w:t>Files</w:t>
            </w:r>
          </w:p>
        </w:tc>
        <w:tc>
          <w:tcPr>
            <w:tcW w:type="dxa" w:w="8136"/>
            <w:vAlign w:val="top"/>
          </w:tcPr>
          <w:p>
            <w:pPr>
              <w:spacing w:after="0"/>
            </w:pPr>
            <w:r>
              <w:rPr>
                <w:rFonts w:ascii="Arial" w:hAnsi="Arial"/>
                <w:color w:val="111827"/>
                <w:sz w:val="14"/>
              </w:rPr>
              <w:t>Signature validation, malware scanning, quarantine, decompression limits, and private access.</w:t>
            </w:r>
          </w:p>
        </w:tc>
      </w:tr>
      <w:tr>
        <w:trPr>
          <w:cantSplit/>
        </w:trPr>
        <w:tc>
          <w:tcPr>
            <w:tcW w:type="dxa" w:w="1800"/>
            <w:vAlign w:val="top"/>
            <w:shd w:fill="F9FAFB"/>
          </w:tcPr>
          <w:p>
            <w:pPr>
              <w:spacing w:after="0"/>
            </w:pPr>
            <w:r>
              <w:rPr>
                <w:rFonts w:ascii="Arial" w:hAnsi="Arial"/>
                <w:color w:val="111827"/>
                <w:sz w:val="14"/>
              </w:rPr>
              <w:t>Exports</w:t>
            </w:r>
          </w:p>
        </w:tc>
        <w:tc>
          <w:tcPr>
            <w:tcW w:type="dxa" w:w="8136"/>
            <w:vAlign w:val="top"/>
            <w:shd w:fill="F9FAFB"/>
          </w:tcPr>
          <w:p>
            <w:pPr>
              <w:spacing w:after="0"/>
            </w:pPr>
            <w:r>
              <w:rPr>
                <w:rFonts w:ascii="Arial" w:hAnsi="Arial"/>
                <w:color w:val="111827"/>
                <w:sz w:val="14"/>
              </w:rPr>
              <w:t>Permission, purpose, filter summary, record count, watermarking where required, audit, and expiration.</w:t>
            </w:r>
          </w:p>
        </w:tc>
      </w:tr>
      <w:tr>
        <w:trPr>
          <w:cantSplit/>
        </w:trPr>
        <w:tc>
          <w:tcPr>
            <w:tcW w:type="dxa" w:w="1800"/>
            <w:vAlign w:val="top"/>
          </w:tcPr>
          <w:p>
            <w:pPr>
              <w:spacing w:after="0"/>
            </w:pPr>
            <w:r>
              <w:rPr>
                <w:rFonts w:ascii="Arial" w:hAnsi="Arial"/>
                <w:color w:val="111827"/>
                <w:sz w:val="14"/>
              </w:rPr>
              <w:t>PII</w:t>
            </w:r>
          </w:p>
        </w:tc>
        <w:tc>
          <w:tcPr>
            <w:tcW w:type="dxa" w:w="8136"/>
            <w:vAlign w:val="top"/>
          </w:tcPr>
          <w:p>
            <w:pPr>
              <w:spacing w:after="0"/>
            </w:pPr>
            <w:r>
              <w:rPr>
                <w:rFonts w:ascii="Arial" w:hAnsi="Arial"/>
                <w:color w:val="111827"/>
                <w:sz w:val="14"/>
              </w:rPr>
              <w:t>Data minimization, classified fields, retention schedule, deletion/anonymization workflow, and access logging.</w:t>
            </w:r>
          </w:p>
        </w:tc>
      </w:tr>
      <w:tr>
        <w:trPr>
          <w:cantSplit/>
        </w:trPr>
        <w:tc>
          <w:tcPr>
            <w:tcW w:type="dxa" w:w="1800"/>
            <w:vAlign w:val="top"/>
            <w:shd w:fill="F9FAFB"/>
          </w:tcPr>
          <w:p>
            <w:pPr>
              <w:spacing w:after="0"/>
            </w:pPr>
            <w:r>
              <w:rPr>
                <w:rFonts w:ascii="Arial" w:hAnsi="Arial"/>
                <w:color w:val="111827"/>
                <w:sz w:val="14"/>
              </w:rPr>
              <w:t>Logs</w:t>
            </w:r>
          </w:p>
        </w:tc>
        <w:tc>
          <w:tcPr>
            <w:tcW w:type="dxa" w:w="8136"/>
            <w:vAlign w:val="top"/>
            <w:shd w:fill="F9FAFB"/>
          </w:tcPr>
          <w:p>
            <w:pPr>
              <w:spacing w:after="0"/>
            </w:pPr>
            <w:r>
              <w:rPr>
                <w:rFonts w:ascii="Arial" w:hAnsi="Arial"/>
                <w:color w:val="111827"/>
                <w:sz w:val="14"/>
              </w:rPr>
              <w:t>No passwords, session tokens, CV content, identity numbers, or complete salary payloads in application logs.</w:t>
            </w:r>
          </w:p>
        </w:tc>
      </w:tr>
      <w:tr>
        <w:trPr>
          <w:cantSplit/>
        </w:trPr>
        <w:tc>
          <w:tcPr>
            <w:tcW w:type="dxa" w:w="1800"/>
            <w:vAlign w:val="top"/>
          </w:tcPr>
          <w:p>
            <w:pPr>
              <w:spacing w:after="0"/>
            </w:pPr>
            <w:r>
              <w:rPr>
                <w:rFonts w:ascii="Arial" w:hAnsi="Arial"/>
                <w:color w:val="111827"/>
                <w:sz w:val="14"/>
              </w:rPr>
              <w:t>Backups</w:t>
            </w:r>
          </w:p>
        </w:tc>
        <w:tc>
          <w:tcPr>
            <w:tcW w:type="dxa" w:w="8136"/>
            <w:vAlign w:val="top"/>
          </w:tcPr>
          <w:p>
            <w:pPr>
              <w:spacing w:after="0"/>
            </w:pPr>
            <w:r>
              <w:rPr>
                <w:rFonts w:ascii="Arial" w:hAnsi="Arial"/>
                <w:color w:val="111827"/>
                <w:sz w:val="14"/>
              </w:rPr>
              <w:t>Encrypted, access-controlled, retention-managed, and restoration-tested.</w:t>
            </w:r>
          </w:p>
        </w:tc>
      </w:tr>
      <w:tr>
        <w:trPr>
          <w:cantSplit/>
        </w:trPr>
        <w:tc>
          <w:tcPr>
            <w:tcW w:type="dxa" w:w="1800"/>
            <w:vAlign w:val="top"/>
            <w:shd w:fill="F9FAFB"/>
          </w:tcPr>
          <w:p>
            <w:pPr>
              <w:spacing w:after="0"/>
            </w:pPr>
            <w:r>
              <w:rPr>
                <w:rFonts w:ascii="Arial" w:hAnsi="Arial"/>
                <w:color w:val="111827"/>
                <w:sz w:val="14"/>
              </w:rPr>
              <w:t>Incident response</w:t>
            </w:r>
          </w:p>
        </w:tc>
        <w:tc>
          <w:tcPr>
            <w:tcW w:type="dxa" w:w="8136"/>
            <w:vAlign w:val="top"/>
            <w:shd w:fill="F9FAFB"/>
          </w:tcPr>
          <w:p>
            <w:pPr>
              <w:spacing w:after="0"/>
            </w:pPr>
            <w:r>
              <w:rPr>
                <w:rFonts w:ascii="Arial" w:hAnsi="Arial"/>
                <w:color w:val="111827"/>
                <w:sz w:val="14"/>
              </w:rPr>
              <w:t>Documented severity, containment, credential rotation, evidence preservation, and notification procedure.</w:t>
            </w:r>
          </w:p>
        </w:tc>
      </w:tr>
    </w:tbl>
    <w:p>
      <w:pPr>
        <w:spacing w:after="0"/>
      </w:pPr>
    </w:p>
    <w:p>
      <w:pPr>
        <w:pStyle w:val="Heading2"/>
      </w:pPr>
      <w:r>
        <w:t>14.1 Privacy Controls</w:t>
      </w:r>
    </w:p>
    <w:p>
      <w:pPr>
        <w:pStyle w:val="ListBullet"/>
      </w:pPr>
      <w:r>
        <w:rPr>
          <w:rFonts w:ascii="Arial" w:hAnsi="Arial"/>
        </w:rPr>
        <w:t>Candidate consent and lawful-processing basis SHALL be configurable according to the operating country and approved policy.</w:t>
      </w:r>
    </w:p>
    <w:p>
      <w:pPr>
        <w:pStyle w:val="ListBullet"/>
      </w:pPr>
      <w:r>
        <w:rPr>
          <w:rFonts w:ascii="Arial" w:hAnsi="Arial"/>
        </w:rPr>
        <w:t>Retention rules SHALL support reminders, restricted access, anonymization, and physical file purge.</w:t>
      </w:r>
    </w:p>
    <w:p>
      <w:pPr>
        <w:pStyle w:val="ListBullet"/>
      </w:pPr>
      <w:r>
        <w:rPr>
          <w:rFonts w:ascii="Arial" w:hAnsi="Arial"/>
        </w:rPr>
        <w:t>Data-subject access, correction, export, and deletion requests SHALL be auditable workflows, not direct database edits.</w:t>
      </w:r>
    </w:p>
    <w:p>
      <w:pPr>
        <w:pStyle w:val="ListBullet"/>
      </w:pPr>
      <w:r>
        <w:rPr>
          <w:rFonts w:ascii="Arial" w:hAnsi="Arial"/>
        </w:rPr>
        <w:t>Analytics SHOULD use aggregated or pseudonymized data when personal detail is unnecessary.</w:t>
      </w:r>
    </w:p>
    <w:p>
      <w:pPr>
        <w:pStyle w:val="ListBullet"/>
      </w:pPr>
      <w:r>
        <w:rPr>
          <w:rFonts w:ascii="Arial" w:hAnsi="Arial"/>
        </w:rPr>
        <w:t>Production data SHALL NOT be copied into development or test environments. Use generated or anonymized datasets.</w:t>
      </w:r>
    </w:p>
    <w:p>
      <w:pPr>
        <w:pStyle w:val="Heading1"/>
      </w:pPr>
      <w:r>
        <w:t>15. Background Jobs and Domain Events</w:t>
      </w:r>
    </w:p>
    <w:p>
      <w:pPr>
        <w:spacing w:after="120"/>
      </w:pPr>
      <w:r>
        <w:rPr>
          <w:rFonts w:ascii="Arial" w:hAnsi="Arial"/>
          <w:i/>
          <w:color w:val="6B7280"/>
          <w:sz w:val="18"/>
        </w:rPr>
        <w:t>Asynchronous processing protects API responsiveness and provides controlled retries for work that depends on files, providers, or large datasets.</w:t>
      </w:r>
    </w:p>
    <w:p>
      <w:pPr>
        <w:pStyle w:val="Heading2"/>
      </w:pPr>
      <w:r>
        <w:t>15.1 Approved Job Types</w:t>
      </w:r>
    </w:p>
    <w:p>
      <w:pPr>
        <w:pStyle w:val="ListBullet"/>
      </w:pPr>
      <w:r>
        <w:rPr>
          <w:rFonts w:ascii="Arial" w:hAnsi="Arial"/>
        </w:rPr>
        <w:t>CV text extraction and OCR.</w:t>
      </w:r>
    </w:p>
    <w:p>
      <w:pPr>
        <w:pStyle w:val="ListBullet"/>
      </w:pPr>
      <w:r>
        <w:rPr>
          <w:rFonts w:ascii="Arial" w:hAnsi="Arial"/>
        </w:rPr>
        <w:t>Candidate duplicate enrichment.</w:t>
      </w:r>
    </w:p>
    <w:p>
      <w:pPr>
        <w:pStyle w:val="ListBullet"/>
      </w:pPr>
      <w:r>
        <w:rPr>
          <w:rFonts w:ascii="Arial" w:hAnsi="Arial"/>
        </w:rPr>
        <w:t>Bulk Excel validation and commit.</w:t>
      </w:r>
    </w:p>
    <w:p>
      <w:pPr>
        <w:pStyle w:val="ListBullet"/>
      </w:pPr>
      <w:r>
        <w:rPr>
          <w:rFonts w:ascii="Arial" w:hAnsi="Arial"/>
        </w:rPr>
        <w:t>Excel and PDF report generation.</w:t>
      </w:r>
    </w:p>
    <w:p>
      <w:pPr>
        <w:pStyle w:val="ListBullet"/>
      </w:pPr>
      <w:r>
        <w:rPr>
          <w:rFonts w:ascii="Arial" w:hAnsi="Arial"/>
        </w:rPr>
        <w:t>Email and notification delivery.</w:t>
      </w:r>
    </w:p>
    <w:p>
      <w:pPr>
        <w:pStyle w:val="ListBullet"/>
      </w:pPr>
      <w:r>
        <w:rPr>
          <w:rFonts w:ascii="Arial" w:hAnsi="Arial"/>
        </w:rPr>
        <w:t>Interview reminders and SLA escalation.</w:t>
      </w:r>
    </w:p>
    <w:p>
      <w:pPr>
        <w:pStyle w:val="ListBullet"/>
      </w:pPr>
      <w:r>
        <w:rPr>
          <w:rFonts w:ascii="Arial" w:hAnsi="Arial"/>
        </w:rPr>
        <w:t>Offer expiry checks.</w:t>
      </w:r>
    </w:p>
    <w:p>
      <w:pPr>
        <w:pStyle w:val="ListBullet"/>
      </w:pPr>
      <w:r>
        <w:rPr>
          <w:rFonts w:ascii="Arial" w:hAnsi="Arial"/>
        </w:rPr>
        <w:t>License and document expiry reminders.</w:t>
      </w:r>
    </w:p>
    <w:p>
      <w:pPr>
        <w:pStyle w:val="ListBullet"/>
      </w:pPr>
      <w:r>
        <w:rPr>
          <w:rFonts w:ascii="Arial" w:hAnsi="Arial"/>
        </w:rPr>
        <w:t>Integration synchronization and webhook delivery.</w:t>
      </w:r>
    </w:p>
    <w:p>
      <w:pPr>
        <w:pStyle w:val="ListBullet"/>
      </w:pPr>
      <w:r>
        <w:rPr>
          <w:rFonts w:ascii="Arial" w:hAnsi="Arial"/>
        </w:rPr>
        <w:t>Retention, archival, and purge tasks.</w:t>
      </w:r>
    </w:p>
    <w:p>
      <w:pPr>
        <w:pStyle w:val="Heading2"/>
      </w:pPr>
      <w:r>
        <w:t>15.2 Queue Rules</w:t>
      </w:r>
    </w:p>
    <w:p>
      <w:pPr>
        <w:pStyle w:val="ListBullet"/>
      </w:pPr>
      <w:r>
        <w:rPr>
          <w:rFonts w:ascii="Arial" w:hAnsi="Arial"/>
        </w:rPr>
        <w:t>Jobs SHALL include a stable job name, schema version, correlation ID, organization scope, actor/system identity, and idempotency key.</w:t>
      </w:r>
    </w:p>
    <w:p>
      <w:pPr>
        <w:pStyle w:val="ListBullet"/>
      </w:pPr>
      <w:r>
        <w:rPr>
          <w:rFonts w:ascii="Arial" w:hAnsi="Arial"/>
        </w:rPr>
        <w:t>Retry only transient failures. Permanent validation or authorization failures SHALL go directly to a dead-letter or failed state.</w:t>
      </w:r>
    </w:p>
    <w:p>
      <w:pPr>
        <w:pStyle w:val="ListBullet"/>
      </w:pPr>
      <w:r>
        <w:rPr>
          <w:rFonts w:ascii="Arial" w:hAnsi="Arial"/>
        </w:rPr>
        <w:t>Use exponential backoff with jitter and a maximum attempt count appropriate to the provider.</w:t>
      </w:r>
    </w:p>
    <w:p>
      <w:pPr>
        <w:pStyle w:val="ListBullet"/>
      </w:pPr>
      <w:r>
        <w:rPr>
          <w:rFonts w:ascii="Arial" w:hAnsi="Arial"/>
        </w:rPr>
        <w:t>Workers SHALL record progress for long jobs and expose safe status through the API.</w:t>
      </w:r>
    </w:p>
    <w:p>
      <w:pPr>
        <w:pStyle w:val="ListBullet"/>
      </w:pPr>
      <w:r>
        <w:rPr>
          <w:rFonts w:ascii="Arial" w:hAnsi="Arial"/>
        </w:rPr>
        <w:t>Queue payloads SHALL contain references, not full CV text or sensitive documents.</w:t>
      </w:r>
    </w:p>
    <w:p>
      <w:pPr>
        <w:pStyle w:val="ListBullet"/>
      </w:pPr>
      <w:r>
        <w:rPr>
          <w:rFonts w:ascii="Arial" w:hAnsi="Arial"/>
        </w:rPr>
        <w:t>The transactional outbox SHALL be used when a database transaction must reliably create an asynchronous event.</w:t>
      </w:r>
    </w:p>
    <w:p>
      <w:pPr>
        <w:pStyle w:val="Heading1"/>
      </w:pPr>
      <w:r>
        <w:t>16. Integrations and External Services</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728"/>
            <w:shd w:fill="5B21B6"/>
            <w:vAlign w:val="center"/>
          </w:tcPr>
          <w:p>
            <w:pPr>
              <w:jc w:val="left"/>
            </w:pPr>
            <w:r>
              <w:rPr>
                <w:rFonts w:ascii="Arial" w:hAnsi="Arial"/>
                <w:b/>
                <w:color w:val="FFFFFF"/>
                <w:sz w:val="14"/>
              </w:rPr>
              <w:t>Integration</w:t>
            </w:r>
          </w:p>
        </w:tc>
        <w:tc>
          <w:tcPr>
            <w:tcW w:type="dxa" w:w="3528"/>
            <w:shd w:fill="5B21B6"/>
            <w:vAlign w:val="center"/>
          </w:tcPr>
          <w:p>
            <w:pPr>
              <w:jc w:val="left"/>
            </w:pPr>
            <w:r>
              <w:rPr>
                <w:rFonts w:ascii="Arial" w:hAnsi="Arial"/>
                <w:b/>
                <w:color w:val="FFFFFF"/>
                <w:sz w:val="14"/>
              </w:rPr>
              <w:t>Approach</w:t>
            </w:r>
          </w:p>
        </w:tc>
        <w:tc>
          <w:tcPr>
            <w:tcW w:type="dxa" w:w="4680"/>
            <w:shd w:fill="5B21B6"/>
            <w:vAlign w:val="center"/>
          </w:tcPr>
          <w:p>
            <w:pPr>
              <w:jc w:val="left"/>
            </w:pPr>
            <w:r>
              <w:rPr>
                <w:rFonts w:ascii="Arial" w:hAnsi="Arial"/>
                <w:b/>
                <w:color w:val="FFFFFF"/>
                <w:sz w:val="14"/>
              </w:rPr>
              <w:t>Controls</w:t>
            </w:r>
          </w:p>
        </w:tc>
      </w:tr>
      <w:tr>
        <w:trPr>
          <w:cantSplit/>
        </w:trPr>
        <w:tc>
          <w:tcPr>
            <w:tcW w:type="dxa" w:w="1728"/>
            <w:vAlign w:val="top"/>
          </w:tcPr>
          <w:p>
            <w:pPr>
              <w:spacing w:after="0"/>
            </w:pPr>
            <w:r>
              <w:rPr>
                <w:rFonts w:ascii="Arial" w:hAnsi="Arial"/>
                <w:color w:val="111827"/>
                <w:sz w:val="14"/>
              </w:rPr>
              <w:t>Email</w:t>
            </w:r>
          </w:p>
        </w:tc>
        <w:tc>
          <w:tcPr>
            <w:tcW w:type="dxa" w:w="3528"/>
            <w:vAlign w:val="top"/>
          </w:tcPr>
          <w:p>
            <w:pPr>
              <w:spacing w:after="0"/>
            </w:pPr>
            <w:r>
              <w:rPr>
                <w:rFonts w:ascii="Arial" w:hAnsi="Arial"/>
                <w:color w:val="111827"/>
                <w:sz w:val="14"/>
              </w:rPr>
              <w:t>Provider abstraction supporting SMTP or approved cloud email service.</w:t>
            </w:r>
          </w:p>
        </w:tc>
        <w:tc>
          <w:tcPr>
            <w:tcW w:type="dxa" w:w="4680"/>
            <w:vAlign w:val="top"/>
          </w:tcPr>
          <w:p>
            <w:pPr>
              <w:spacing w:after="0"/>
            </w:pPr>
            <w:r>
              <w:rPr>
                <w:rFonts w:ascii="Arial" w:hAnsi="Arial"/>
                <w:color w:val="111827"/>
                <w:sz w:val="14"/>
              </w:rPr>
              <w:t>Templates, rate limits, bounce tracking, no secrets in templates.</w:t>
            </w:r>
          </w:p>
        </w:tc>
      </w:tr>
      <w:tr>
        <w:trPr>
          <w:cantSplit/>
        </w:trPr>
        <w:tc>
          <w:tcPr>
            <w:tcW w:type="dxa" w:w="1728"/>
            <w:vAlign w:val="top"/>
            <w:shd w:fill="F9FAFB"/>
          </w:tcPr>
          <w:p>
            <w:pPr>
              <w:spacing w:after="0"/>
            </w:pPr>
            <w:r>
              <w:rPr>
                <w:rFonts w:ascii="Arial" w:hAnsi="Arial"/>
                <w:color w:val="111827"/>
                <w:sz w:val="14"/>
              </w:rPr>
              <w:t>Calendar</w:t>
            </w:r>
          </w:p>
        </w:tc>
        <w:tc>
          <w:tcPr>
            <w:tcW w:type="dxa" w:w="3528"/>
            <w:vAlign w:val="top"/>
            <w:shd w:fill="F9FAFB"/>
          </w:tcPr>
          <w:p>
            <w:pPr>
              <w:spacing w:after="0"/>
            </w:pPr>
            <w:r>
              <w:rPr>
                <w:rFonts w:ascii="Arial" w:hAnsi="Arial"/>
                <w:color w:val="111827"/>
                <w:sz w:val="14"/>
              </w:rPr>
              <w:t>Microsoft Graph and/or Google Calendar adapter.</w:t>
            </w:r>
          </w:p>
        </w:tc>
        <w:tc>
          <w:tcPr>
            <w:tcW w:type="dxa" w:w="4680"/>
            <w:vAlign w:val="top"/>
            <w:shd w:fill="F9FAFB"/>
          </w:tcPr>
          <w:p>
            <w:pPr>
              <w:spacing w:after="0"/>
            </w:pPr>
            <w:r>
              <w:rPr>
                <w:rFonts w:ascii="Arial" w:hAnsi="Arial"/>
                <w:color w:val="111827"/>
                <w:sz w:val="14"/>
              </w:rPr>
              <w:t>OAuth scopes, attendee privacy, timezone, retries, idempotency.</w:t>
            </w:r>
          </w:p>
        </w:tc>
      </w:tr>
      <w:tr>
        <w:trPr>
          <w:cantSplit/>
        </w:trPr>
        <w:tc>
          <w:tcPr>
            <w:tcW w:type="dxa" w:w="1728"/>
            <w:vAlign w:val="top"/>
          </w:tcPr>
          <w:p>
            <w:pPr>
              <w:spacing w:after="0"/>
            </w:pPr>
            <w:r>
              <w:rPr>
                <w:rFonts w:ascii="Arial" w:hAnsi="Arial"/>
                <w:color w:val="111827"/>
                <w:sz w:val="14"/>
              </w:rPr>
              <w:t>Meetings</w:t>
            </w:r>
          </w:p>
        </w:tc>
        <w:tc>
          <w:tcPr>
            <w:tcW w:type="dxa" w:w="3528"/>
            <w:vAlign w:val="top"/>
          </w:tcPr>
          <w:p>
            <w:pPr>
              <w:spacing w:after="0"/>
            </w:pPr>
            <w:r>
              <w:rPr>
                <w:rFonts w:ascii="Arial" w:hAnsi="Arial"/>
                <w:color w:val="111827"/>
                <w:sz w:val="14"/>
              </w:rPr>
              <w:t>Teams, Google Meet, or Zoom through calendar/provider adapter.</w:t>
            </w:r>
          </w:p>
        </w:tc>
        <w:tc>
          <w:tcPr>
            <w:tcW w:type="dxa" w:w="4680"/>
            <w:vAlign w:val="top"/>
          </w:tcPr>
          <w:p>
            <w:pPr>
              <w:spacing w:after="0"/>
            </w:pPr>
            <w:r>
              <w:rPr>
                <w:rFonts w:ascii="Arial" w:hAnsi="Arial"/>
                <w:color w:val="111827"/>
                <w:sz w:val="14"/>
              </w:rPr>
              <w:t>Do not expose organizer tokens; record meeting provider and external ID.</w:t>
            </w:r>
          </w:p>
        </w:tc>
      </w:tr>
      <w:tr>
        <w:trPr>
          <w:cantSplit/>
        </w:trPr>
        <w:tc>
          <w:tcPr>
            <w:tcW w:type="dxa" w:w="1728"/>
            <w:vAlign w:val="top"/>
            <w:shd w:fill="F9FAFB"/>
          </w:tcPr>
          <w:p>
            <w:pPr>
              <w:spacing w:after="0"/>
            </w:pPr>
            <w:r>
              <w:rPr>
                <w:rFonts w:ascii="Arial" w:hAnsi="Arial"/>
                <w:color w:val="111827"/>
                <w:sz w:val="14"/>
              </w:rPr>
              <w:t>HRIS</w:t>
            </w:r>
          </w:p>
        </w:tc>
        <w:tc>
          <w:tcPr>
            <w:tcW w:type="dxa" w:w="3528"/>
            <w:vAlign w:val="top"/>
            <w:shd w:fill="F9FAFB"/>
          </w:tcPr>
          <w:p>
            <w:pPr>
              <w:spacing w:after="0"/>
            </w:pPr>
            <w:r>
              <w:rPr>
                <w:rFonts w:ascii="Arial" w:hAnsi="Arial"/>
                <w:color w:val="111827"/>
                <w:sz w:val="14"/>
              </w:rPr>
              <w:t>Outbound hired-employee handoff after joined or approved milestone.</w:t>
            </w:r>
          </w:p>
        </w:tc>
        <w:tc>
          <w:tcPr>
            <w:tcW w:type="dxa" w:w="4680"/>
            <w:vAlign w:val="top"/>
            <w:shd w:fill="F9FAFB"/>
          </w:tcPr>
          <w:p>
            <w:pPr>
              <w:spacing w:after="0"/>
            </w:pPr>
            <w:r>
              <w:rPr>
                <w:rFonts w:ascii="Arial" w:hAnsi="Arial"/>
                <w:color w:val="111827"/>
                <w:sz w:val="14"/>
              </w:rPr>
              <w:t>Mapping version, retries, reconciliation, no silent overwrite.</w:t>
            </w:r>
          </w:p>
        </w:tc>
      </w:tr>
      <w:tr>
        <w:trPr>
          <w:cantSplit/>
        </w:trPr>
        <w:tc>
          <w:tcPr>
            <w:tcW w:type="dxa" w:w="1728"/>
            <w:vAlign w:val="top"/>
          </w:tcPr>
          <w:p>
            <w:pPr>
              <w:spacing w:after="0"/>
            </w:pPr>
            <w:r>
              <w:rPr>
                <w:rFonts w:ascii="Arial" w:hAnsi="Arial"/>
                <w:color w:val="111827"/>
                <w:sz w:val="14"/>
              </w:rPr>
              <w:t>Job boards</w:t>
            </w:r>
          </w:p>
        </w:tc>
        <w:tc>
          <w:tcPr>
            <w:tcW w:type="dxa" w:w="3528"/>
            <w:vAlign w:val="top"/>
          </w:tcPr>
          <w:p>
            <w:pPr>
              <w:spacing w:after="0"/>
            </w:pPr>
            <w:r>
              <w:rPr>
                <w:rFonts w:ascii="Arial" w:hAnsi="Arial"/>
                <w:color w:val="111827"/>
                <w:sz w:val="14"/>
              </w:rPr>
              <w:t>Adapter per provider.</w:t>
            </w:r>
          </w:p>
        </w:tc>
        <w:tc>
          <w:tcPr>
            <w:tcW w:type="dxa" w:w="4680"/>
            <w:vAlign w:val="top"/>
          </w:tcPr>
          <w:p>
            <w:pPr>
              <w:spacing w:after="0"/>
            </w:pPr>
            <w:r>
              <w:rPr>
                <w:rFonts w:ascii="Arial" w:hAnsi="Arial"/>
                <w:color w:val="111827"/>
                <w:sz w:val="14"/>
              </w:rPr>
              <w:t>Source attribution, webhook verification, payload validation, API inventory.</w:t>
            </w:r>
          </w:p>
        </w:tc>
      </w:tr>
      <w:tr>
        <w:trPr>
          <w:cantSplit/>
        </w:trPr>
        <w:tc>
          <w:tcPr>
            <w:tcW w:type="dxa" w:w="1728"/>
            <w:vAlign w:val="top"/>
            <w:shd w:fill="F9FAFB"/>
          </w:tcPr>
          <w:p>
            <w:pPr>
              <w:spacing w:after="0"/>
            </w:pPr>
            <w:r>
              <w:rPr>
                <w:rFonts w:ascii="Arial" w:hAnsi="Arial"/>
                <w:color w:val="111827"/>
                <w:sz w:val="14"/>
              </w:rPr>
              <w:t>OCR / AI</w:t>
            </w:r>
          </w:p>
        </w:tc>
        <w:tc>
          <w:tcPr>
            <w:tcW w:type="dxa" w:w="3528"/>
            <w:vAlign w:val="top"/>
            <w:shd w:fill="F9FAFB"/>
          </w:tcPr>
          <w:p>
            <w:pPr>
              <w:spacing w:after="0"/>
            </w:pPr>
            <w:r>
              <w:rPr>
                <w:rFonts w:ascii="Arial" w:hAnsi="Arial"/>
                <w:color w:val="111827"/>
                <w:sz w:val="14"/>
              </w:rPr>
              <w:t>Optional approved provider behind an internal interface.</w:t>
            </w:r>
          </w:p>
        </w:tc>
        <w:tc>
          <w:tcPr>
            <w:tcW w:type="dxa" w:w="4680"/>
            <w:vAlign w:val="top"/>
            <w:shd w:fill="F9FAFB"/>
          </w:tcPr>
          <w:p>
            <w:pPr>
              <w:spacing w:after="0"/>
            </w:pPr>
            <w:r>
              <w:rPr>
                <w:rFonts w:ascii="Arial" w:hAnsi="Arial"/>
                <w:color w:val="111827"/>
                <w:sz w:val="14"/>
              </w:rPr>
              <w:t>DPA, region, retention, encryption, redaction, opt-in configuration.</w:t>
            </w:r>
          </w:p>
        </w:tc>
      </w:tr>
      <w:tr>
        <w:trPr>
          <w:cantSplit/>
        </w:trPr>
        <w:tc>
          <w:tcPr>
            <w:tcW w:type="dxa" w:w="1728"/>
            <w:vAlign w:val="top"/>
          </w:tcPr>
          <w:p>
            <w:pPr>
              <w:spacing w:after="0"/>
            </w:pPr>
            <w:r>
              <w:rPr>
                <w:rFonts w:ascii="Arial" w:hAnsi="Arial"/>
                <w:color w:val="111827"/>
                <w:sz w:val="14"/>
              </w:rPr>
              <w:t>Webhooks</w:t>
            </w:r>
          </w:p>
        </w:tc>
        <w:tc>
          <w:tcPr>
            <w:tcW w:type="dxa" w:w="3528"/>
            <w:vAlign w:val="top"/>
          </w:tcPr>
          <w:p>
            <w:pPr>
              <w:spacing w:after="0"/>
            </w:pPr>
            <w:r>
              <w:rPr>
                <w:rFonts w:ascii="Arial" w:hAnsi="Arial"/>
                <w:color w:val="111827"/>
                <w:sz w:val="14"/>
              </w:rPr>
              <w:t>Signed outbound events and verified inbound signatures.</w:t>
            </w:r>
          </w:p>
        </w:tc>
        <w:tc>
          <w:tcPr>
            <w:tcW w:type="dxa" w:w="4680"/>
            <w:vAlign w:val="top"/>
          </w:tcPr>
          <w:p>
            <w:pPr>
              <w:spacing w:after="0"/>
            </w:pPr>
            <w:r>
              <w:rPr>
                <w:rFonts w:ascii="Arial" w:hAnsi="Arial"/>
                <w:color w:val="111827"/>
                <w:sz w:val="14"/>
              </w:rPr>
              <w:t>Replay protection, timestamp tolerance, retry, dead letter, allowlist.</w:t>
            </w:r>
          </w:p>
        </w:tc>
      </w:tr>
    </w:tbl>
    <w:p>
      <w:pPr>
        <w:spacing w:after="0"/>
      </w:pPr>
    </w:p>
    <w:p>
      <w:pPr>
        <w:pStyle w:val="ListBullet"/>
      </w:pPr>
      <w:r>
        <w:rPr>
          <w:rFonts w:ascii="Arial" w:hAnsi="Arial"/>
        </w:rPr>
        <w:t>All third-party responses are untrusted input and SHALL be validated before persistence or rendering.</w:t>
      </w:r>
    </w:p>
    <w:p>
      <w:pPr>
        <w:pStyle w:val="ListBullet"/>
      </w:pPr>
      <w:r>
        <w:rPr>
          <w:rFonts w:ascii="Arial" w:hAnsi="Arial"/>
        </w:rPr>
        <w:t>External clients SHALL have timeouts, bounded retries, circuit-breaker behavior where appropriate, and observable failure metrics.</w:t>
      </w:r>
    </w:p>
    <w:p>
      <w:pPr>
        <w:pStyle w:val="ListBullet"/>
      </w:pPr>
      <w:r>
        <w:rPr>
          <w:rFonts w:ascii="Arial" w:hAnsi="Arial"/>
        </w:rPr>
        <w:t>Provider-specific payloads SHALL be isolated inside adapter modules and stored only when needed for support or reconciliation.</w:t>
      </w:r>
    </w:p>
    <w:p>
      <w:pPr>
        <w:pStyle w:val="ListBullet"/>
      </w:pPr>
      <w:r>
        <w:rPr>
          <w:rFonts w:ascii="Arial" w:hAnsi="Arial"/>
        </w:rPr>
        <w:t>Integration credentials SHALL be organization-specific where required and encrypted at rest.</w:t>
      </w:r>
    </w:p>
    <w:p>
      <w:pPr>
        <w:pStyle w:val="Heading1"/>
      </w:pPr>
      <w:r>
        <w:t>17. Search, Reporting, and Analytics</w:t>
      </w:r>
    </w:p>
    <w:p>
      <w:pPr>
        <w:pStyle w:val="Heading2"/>
      </w:pPr>
      <w:r>
        <w:t>17.1 Search</w:t>
      </w:r>
    </w:p>
    <w:p>
      <w:pPr>
        <w:pStyle w:val="ListBullet"/>
      </w:pPr>
      <w:r>
        <w:rPr>
          <w:rFonts w:ascii="Arial" w:hAnsi="Arial"/>
        </w:rPr>
        <w:t>MVP search SHALL use PostgreSQL full-text search plus pg_trgm for controlled fuzzy matching.</w:t>
      </w:r>
    </w:p>
    <w:p>
      <w:pPr>
        <w:pStyle w:val="ListBullet"/>
      </w:pPr>
      <w:r>
        <w:rPr>
          <w:rFonts w:ascii="Arial" w:hAnsi="Arial"/>
        </w:rPr>
        <w:t>Candidate search SHALL respect field and record permissions before returning results or facets.</w:t>
      </w:r>
    </w:p>
    <w:p>
      <w:pPr>
        <w:pStyle w:val="ListBullet"/>
      </w:pPr>
      <w:r>
        <w:rPr>
          <w:rFonts w:ascii="Arial" w:hAnsi="Arial"/>
        </w:rPr>
        <w:t>Index extracted CV text only after a file is safe and approved for use.</w:t>
      </w:r>
    </w:p>
    <w:p>
      <w:pPr>
        <w:pStyle w:val="ListBullet"/>
      </w:pPr>
      <w:r>
        <w:rPr>
          <w:rFonts w:ascii="Arial" w:hAnsi="Arial"/>
        </w:rPr>
        <w:t>Search results SHALL identify whether a match came from profile data, skills, experience, or CV text where practical.</w:t>
      </w:r>
    </w:p>
    <w:p>
      <w:pPr>
        <w:pStyle w:val="ListBullet"/>
      </w:pPr>
      <w:r>
        <w:rPr>
          <w:rFonts w:ascii="Arial" w:hAnsi="Arial"/>
        </w:rPr>
        <w:t>OpenSearch or Elasticsearch MAY be introduced only when documented scale, relevance, or aggregation requirements exceed PostgreSQL capabilities.</w:t>
      </w:r>
    </w:p>
    <w:p>
      <w:pPr>
        <w:pStyle w:val="Heading2"/>
      </w:pPr>
      <w:r>
        <w:t>17.2 Reporting Architecture</w:t>
      </w:r>
    </w:p>
    <w:p>
      <w:pPr>
        <w:pStyle w:val="ListBullet"/>
      </w:pPr>
      <w:r>
        <w:rPr>
          <w:rFonts w:ascii="Arial" w:hAnsi="Arial"/>
        </w:rPr>
        <w:t>Operational dashboards MAY query optimized views with short-lived caching.</w:t>
      </w:r>
    </w:p>
    <w:p>
      <w:pPr>
        <w:pStyle w:val="ListBullet"/>
      </w:pPr>
      <w:r>
        <w:rPr>
          <w:rFonts w:ascii="Arial" w:hAnsi="Arial"/>
        </w:rPr>
        <w:t>Complex KPI calculations SHOULD use versioned SQL views or materialized views to keep definitions consistent.</w:t>
      </w:r>
    </w:p>
    <w:p>
      <w:pPr>
        <w:pStyle w:val="ListBullet"/>
      </w:pPr>
      <w:r>
        <w:rPr>
          <w:rFonts w:ascii="Arial" w:hAnsi="Arial"/>
        </w:rPr>
        <w:t>Large exports SHALL be background jobs that write private expiring files to object storage.</w:t>
      </w:r>
    </w:p>
    <w:p>
      <w:pPr>
        <w:pStyle w:val="ListBullet"/>
      </w:pPr>
      <w:r>
        <w:rPr>
          <w:rFonts w:ascii="Arial" w:hAnsi="Arial"/>
        </w:rPr>
        <w:t>Every report SHALL define metric meaning, date basis, timezone, filters, grain, exclusions, and row-level security.</w:t>
      </w:r>
    </w:p>
    <w:p>
      <w:pPr>
        <w:pStyle w:val="ListBullet"/>
      </w:pPr>
      <w:r>
        <w:rPr>
          <w:rFonts w:ascii="Arial" w:hAnsi="Arial"/>
        </w:rPr>
        <w:t>Do not calculate official KPIs independently in multiple React components.</w:t>
      </w:r>
    </w:p>
    <w:p>
      <w:pPr>
        <w:pStyle w:val="Heading2"/>
      </w:pPr>
      <w:r>
        <w:t>17.3 Initial KPI Performance Model</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232"/>
            <w:shd w:fill="5B21B6"/>
            <w:vAlign w:val="center"/>
          </w:tcPr>
          <w:p>
            <w:pPr>
              <w:jc w:val="left"/>
            </w:pPr>
            <w:r>
              <w:rPr>
                <w:rFonts w:ascii="Arial" w:hAnsi="Arial"/>
                <w:b/>
                <w:color w:val="FFFFFF"/>
                <w:sz w:val="15"/>
              </w:rPr>
              <w:t>KPI</w:t>
            </w:r>
          </w:p>
        </w:tc>
        <w:tc>
          <w:tcPr>
            <w:tcW w:type="dxa" w:w="7704"/>
            <w:shd w:fill="5B21B6"/>
            <w:vAlign w:val="center"/>
          </w:tcPr>
          <w:p>
            <w:pPr>
              <w:jc w:val="left"/>
            </w:pPr>
            <w:r>
              <w:rPr>
                <w:rFonts w:ascii="Arial" w:hAnsi="Arial"/>
                <w:b/>
                <w:color w:val="FFFFFF"/>
                <w:sz w:val="15"/>
              </w:rPr>
              <w:t>Required Technical Basis</w:t>
            </w:r>
          </w:p>
        </w:tc>
      </w:tr>
      <w:tr>
        <w:trPr>
          <w:cantSplit/>
        </w:trPr>
        <w:tc>
          <w:tcPr>
            <w:tcW w:type="dxa" w:w="2232"/>
            <w:vAlign w:val="top"/>
          </w:tcPr>
          <w:p>
            <w:pPr>
              <w:spacing w:after="0"/>
            </w:pPr>
            <w:r>
              <w:rPr>
                <w:rFonts w:ascii="Arial" w:hAnsi="Arial"/>
                <w:color w:val="111827"/>
                <w:sz w:val="15"/>
              </w:rPr>
              <w:t>Time to Fill</w:t>
            </w:r>
          </w:p>
        </w:tc>
        <w:tc>
          <w:tcPr>
            <w:tcW w:type="dxa" w:w="7704"/>
            <w:vAlign w:val="top"/>
          </w:tcPr>
          <w:p>
            <w:pPr>
              <w:spacing w:after="0"/>
            </w:pPr>
            <w:r>
              <w:rPr>
                <w:rFonts w:ascii="Arial" w:hAnsi="Arial"/>
                <w:color w:val="111827"/>
                <w:sz w:val="15"/>
              </w:rPr>
              <w:t>Vacancy open timestamp to actual joined date or approved closure definition.</w:t>
            </w:r>
          </w:p>
        </w:tc>
      </w:tr>
      <w:tr>
        <w:trPr>
          <w:cantSplit/>
        </w:trPr>
        <w:tc>
          <w:tcPr>
            <w:tcW w:type="dxa" w:w="2232"/>
            <w:vAlign w:val="top"/>
            <w:shd w:fill="F9FAFB"/>
          </w:tcPr>
          <w:p>
            <w:pPr>
              <w:spacing w:after="0"/>
            </w:pPr>
            <w:r>
              <w:rPr>
                <w:rFonts w:ascii="Arial" w:hAnsi="Arial"/>
                <w:color w:val="111827"/>
                <w:sz w:val="15"/>
              </w:rPr>
              <w:t>Time to Hire</w:t>
            </w:r>
          </w:p>
        </w:tc>
        <w:tc>
          <w:tcPr>
            <w:tcW w:type="dxa" w:w="7704"/>
            <w:vAlign w:val="top"/>
            <w:shd w:fill="F9FAFB"/>
          </w:tcPr>
          <w:p>
            <w:pPr>
              <w:spacing w:after="0"/>
            </w:pPr>
            <w:r>
              <w:rPr>
                <w:rFonts w:ascii="Arial" w:hAnsi="Arial"/>
                <w:color w:val="111827"/>
                <w:sz w:val="15"/>
              </w:rPr>
              <w:t>Application creation or chosen sourcing milestone to accepted offer / joined milestone as defined.</w:t>
            </w:r>
          </w:p>
        </w:tc>
      </w:tr>
      <w:tr>
        <w:trPr>
          <w:cantSplit/>
        </w:trPr>
        <w:tc>
          <w:tcPr>
            <w:tcW w:type="dxa" w:w="2232"/>
            <w:vAlign w:val="top"/>
          </w:tcPr>
          <w:p>
            <w:pPr>
              <w:spacing w:after="0"/>
            </w:pPr>
            <w:r>
              <w:rPr>
                <w:rFonts w:ascii="Arial" w:hAnsi="Arial"/>
                <w:color w:val="111827"/>
                <w:sz w:val="15"/>
              </w:rPr>
              <w:t>Stage Aging</w:t>
            </w:r>
          </w:p>
        </w:tc>
        <w:tc>
          <w:tcPr>
            <w:tcW w:type="dxa" w:w="7704"/>
            <w:vAlign w:val="top"/>
          </w:tcPr>
          <w:p>
            <w:pPr>
              <w:spacing w:after="0"/>
            </w:pPr>
            <w:r>
              <w:rPr>
                <w:rFonts w:ascii="Arial" w:hAnsi="Arial"/>
                <w:color w:val="111827"/>
                <w:sz w:val="15"/>
              </w:rPr>
              <w:t>Stage-history entry timestamp to exit timestamp or current time.</w:t>
            </w:r>
          </w:p>
        </w:tc>
      </w:tr>
      <w:tr>
        <w:trPr>
          <w:cantSplit/>
        </w:trPr>
        <w:tc>
          <w:tcPr>
            <w:tcW w:type="dxa" w:w="2232"/>
            <w:vAlign w:val="top"/>
            <w:shd w:fill="F9FAFB"/>
          </w:tcPr>
          <w:p>
            <w:pPr>
              <w:spacing w:after="0"/>
            </w:pPr>
            <w:r>
              <w:rPr>
                <w:rFonts w:ascii="Arial" w:hAnsi="Arial"/>
                <w:color w:val="111827"/>
                <w:sz w:val="15"/>
              </w:rPr>
              <w:t>Offer Acceptance Rate</w:t>
            </w:r>
          </w:p>
        </w:tc>
        <w:tc>
          <w:tcPr>
            <w:tcW w:type="dxa" w:w="7704"/>
            <w:vAlign w:val="top"/>
            <w:shd w:fill="F9FAFB"/>
          </w:tcPr>
          <w:p>
            <w:pPr>
              <w:spacing w:after="0"/>
            </w:pPr>
            <w:r>
              <w:rPr>
                <w:rFonts w:ascii="Arial" w:hAnsi="Arial"/>
                <w:color w:val="111827"/>
                <w:sz w:val="15"/>
              </w:rPr>
              <w:t>Accepted offers divided by eligible sent offers with clear exclusion rules.</w:t>
            </w:r>
          </w:p>
        </w:tc>
      </w:tr>
      <w:tr>
        <w:trPr>
          <w:cantSplit/>
        </w:trPr>
        <w:tc>
          <w:tcPr>
            <w:tcW w:type="dxa" w:w="2232"/>
            <w:vAlign w:val="top"/>
          </w:tcPr>
          <w:p>
            <w:pPr>
              <w:spacing w:after="0"/>
            </w:pPr>
            <w:r>
              <w:rPr>
                <w:rFonts w:ascii="Arial" w:hAnsi="Arial"/>
                <w:color w:val="111827"/>
                <w:sz w:val="15"/>
              </w:rPr>
              <w:t>Source Quality</w:t>
            </w:r>
          </w:p>
        </w:tc>
        <w:tc>
          <w:tcPr>
            <w:tcW w:type="dxa" w:w="7704"/>
            <w:vAlign w:val="top"/>
          </w:tcPr>
          <w:p>
            <w:pPr>
              <w:spacing w:after="0"/>
            </w:pPr>
            <w:r>
              <w:rPr>
                <w:rFonts w:ascii="Arial" w:hAnsi="Arial"/>
                <w:color w:val="111827"/>
                <w:sz w:val="15"/>
              </w:rPr>
              <w:t>Source-linked applications, stage conversion, offers, and joined outcomes.</w:t>
            </w:r>
          </w:p>
        </w:tc>
      </w:tr>
      <w:tr>
        <w:trPr>
          <w:cantSplit/>
        </w:trPr>
        <w:tc>
          <w:tcPr>
            <w:tcW w:type="dxa" w:w="2232"/>
            <w:vAlign w:val="top"/>
            <w:shd w:fill="F9FAFB"/>
          </w:tcPr>
          <w:p>
            <w:pPr>
              <w:spacing w:after="0"/>
            </w:pPr>
            <w:r>
              <w:rPr>
                <w:rFonts w:ascii="Arial" w:hAnsi="Arial"/>
                <w:color w:val="111827"/>
                <w:sz w:val="15"/>
              </w:rPr>
              <w:t>Recruiter Workload</w:t>
            </w:r>
          </w:p>
        </w:tc>
        <w:tc>
          <w:tcPr>
            <w:tcW w:type="dxa" w:w="7704"/>
            <w:vAlign w:val="top"/>
            <w:shd w:fill="F9FAFB"/>
          </w:tcPr>
          <w:p>
            <w:pPr>
              <w:spacing w:after="0"/>
            </w:pPr>
            <w:r>
              <w:rPr>
                <w:rFonts w:ascii="Arial" w:hAnsi="Arial"/>
                <w:color w:val="111827"/>
                <w:sz w:val="15"/>
              </w:rPr>
              <w:t>Assigned vacancies, active applications, overdue tasks, interviews, offers, and hiring cases.</w:t>
            </w:r>
          </w:p>
        </w:tc>
      </w:tr>
    </w:tbl>
    <w:p>
      <w:pPr>
        <w:spacing w:after="0"/>
      </w:pPr>
    </w:p>
    <w:p>
      <w:pPr>
        <w:pStyle w:val="Heading1"/>
      </w:pPr>
      <w:r>
        <w:t>18. Observability, Logging, and Audit</w:t>
      </w:r>
    </w:p>
    <w:p>
      <w:pPr>
        <w:pStyle w:val="Heading2"/>
      </w:pPr>
      <w:r>
        <w:t>18.1 Three Different Records</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872"/>
            <w:shd w:fill="5B21B6"/>
            <w:vAlign w:val="center"/>
          </w:tcPr>
          <w:p>
            <w:pPr>
              <w:jc w:val="left"/>
            </w:pPr>
            <w:r>
              <w:rPr>
                <w:rFonts w:ascii="Arial" w:hAnsi="Arial"/>
                <w:b/>
                <w:color w:val="FFFFFF"/>
                <w:sz w:val="15"/>
              </w:rPr>
              <w:t>Record</w:t>
            </w:r>
          </w:p>
        </w:tc>
        <w:tc>
          <w:tcPr>
            <w:tcW w:type="dxa" w:w="3888"/>
            <w:shd w:fill="5B21B6"/>
            <w:vAlign w:val="center"/>
          </w:tcPr>
          <w:p>
            <w:pPr>
              <w:jc w:val="left"/>
            </w:pPr>
            <w:r>
              <w:rPr>
                <w:rFonts w:ascii="Arial" w:hAnsi="Arial"/>
                <w:b/>
                <w:color w:val="FFFFFF"/>
                <w:sz w:val="15"/>
              </w:rPr>
              <w:t>Purpose</w:t>
            </w:r>
          </w:p>
        </w:tc>
        <w:tc>
          <w:tcPr>
            <w:tcW w:type="dxa" w:w="4176"/>
            <w:shd w:fill="5B21B6"/>
            <w:vAlign w:val="center"/>
          </w:tcPr>
          <w:p>
            <w:pPr>
              <w:jc w:val="left"/>
            </w:pPr>
            <w:r>
              <w:rPr>
                <w:rFonts w:ascii="Arial" w:hAnsi="Arial"/>
                <w:b/>
                <w:color w:val="FFFFFF"/>
                <w:sz w:val="15"/>
              </w:rPr>
              <w:t>Examples</w:t>
            </w:r>
          </w:p>
        </w:tc>
      </w:tr>
      <w:tr>
        <w:trPr>
          <w:cantSplit/>
        </w:trPr>
        <w:tc>
          <w:tcPr>
            <w:tcW w:type="dxa" w:w="1872"/>
            <w:vAlign w:val="top"/>
          </w:tcPr>
          <w:p>
            <w:pPr>
              <w:spacing w:after="0"/>
            </w:pPr>
            <w:r>
              <w:rPr>
                <w:rFonts w:ascii="Arial" w:hAnsi="Arial"/>
                <w:color w:val="111827"/>
                <w:sz w:val="15"/>
              </w:rPr>
              <w:t>Application log</w:t>
            </w:r>
          </w:p>
        </w:tc>
        <w:tc>
          <w:tcPr>
            <w:tcW w:type="dxa" w:w="3888"/>
            <w:vAlign w:val="top"/>
          </w:tcPr>
          <w:p>
            <w:pPr>
              <w:spacing w:after="0"/>
            </w:pPr>
            <w:r>
              <w:rPr>
                <w:rFonts w:ascii="Arial" w:hAnsi="Arial"/>
                <w:color w:val="111827"/>
                <w:sz w:val="15"/>
              </w:rPr>
              <w:t>Technical operations and troubleshooting.</w:t>
            </w:r>
          </w:p>
        </w:tc>
        <w:tc>
          <w:tcPr>
            <w:tcW w:type="dxa" w:w="4176"/>
            <w:vAlign w:val="top"/>
          </w:tcPr>
          <w:p>
            <w:pPr>
              <w:spacing w:after="0"/>
            </w:pPr>
            <w:r>
              <w:rPr>
                <w:rFonts w:ascii="Arial" w:hAnsi="Arial"/>
                <w:color w:val="111827"/>
                <w:sz w:val="15"/>
              </w:rPr>
              <w:t>Request failure, provider timeout, worker retry, startup.</w:t>
            </w:r>
          </w:p>
        </w:tc>
      </w:tr>
      <w:tr>
        <w:trPr>
          <w:cantSplit/>
        </w:trPr>
        <w:tc>
          <w:tcPr>
            <w:tcW w:type="dxa" w:w="1872"/>
            <w:vAlign w:val="top"/>
            <w:shd w:fill="F9FAFB"/>
          </w:tcPr>
          <w:p>
            <w:pPr>
              <w:spacing w:after="0"/>
            </w:pPr>
            <w:r>
              <w:rPr>
                <w:rFonts w:ascii="Arial" w:hAnsi="Arial"/>
                <w:color w:val="111827"/>
                <w:sz w:val="15"/>
              </w:rPr>
              <w:t>Telemetry</w:t>
            </w:r>
          </w:p>
        </w:tc>
        <w:tc>
          <w:tcPr>
            <w:tcW w:type="dxa" w:w="3888"/>
            <w:vAlign w:val="top"/>
            <w:shd w:fill="F9FAFB"/>
          </w:tcPr>
          <w:p>
            <w:pPr>
              <w:spacing w:after="0"/>
            </w:pPr>
            <w:r>
              <w:rPr>
                <w:rFonts w:ascii="Arial" w:hAnsi="Arial"/>
                <w:color w:val="111827"/>
                <w:sz w:val="15"/>
              </w:rPr>
              <w:t>Performance and distributed behavior.</w:t>
            </w:r>
          </w:p>
        </w:tc>
        <w:tc>
          <w:tcPr>
            <w:tcW w:type="dxa" w:w="4176"/>
            <w:vAlign w:val="top"/>
            <w:shd w:fill="F9FAFB"/>
          </w:tcPr>
          <w:p>
            <w:pPr>
              <w:spacing w:after="0"/>
            </w:pPr>
            <w:r>
              <w:rPr>
                <w:rFonts w:ascii="Arial" w:hAnsi="Arial"/>
                <w:color w:val="111827"/>
                <w:sz w:val="15"/>
              </w:rPr>
              <w:t>HTTP latency, database spans, queue depth, OCR duration.</w:t>
            </w:r>
          </w:p>
        </w:tc>
      </w:tr>
      <w:tr>
        <w:trPr>
          <w:cantSplit/>
        </w:trPr>
        <w:tc>
          <w:tcPr>
            <w:tcW w:type="dxa" w:w="1872"/>
            <w:vAlign w:val="top"/>
          </w:tcPr>
          <w:p>
            <w:pPr>
              <w:spacing w:after="0"/>
            </w:pPr>
            <w:r>
              <w:rPr>
                <w:rFonts w:ascii="Arial" w:hAnsi="Arial"/>
                <w:color w:val="111827"/>
                <w:sz w:val="15"/>
              </w:rPr>
              <w:t>Business audit</w:t>
            </w:r>
          </w:p>
        </w:tc>
        <w:tc>
          <w:tcPr>
            <w:tcW w:type="dxa" w:w="3888"/>
            <w:vAlign w:val="top"/>
          </w:tcPr>
          <w:p>
            <w:pPr>
              <w:spacing w:after="0"/>
            </w:pPr>
            <w:r>
              <w:rPr>
                <w:rFonts w:ascii="Arial" w:hAnsi="Arial"/>
                <w:color w:val="111827"/>
                <w:sz w:val="15"/>
              </w:rPr>
              <w:t>Who changed or accessed important business data.</w:t>
            </w:r>
          </w:p>
        </w:tc>
        <w:tc>
          <w:tcPr>
            <w:tcW w:type="dxa" w:w="4176"/>
            <w:vAlign w:val="top"/>
          </w:tcPr>
          <w:p>
            <w:pPr>
              <w:spacing w:after="0"/>
            </w:pPr>
            <w:r>
              <w:rPr>
                <w:rFonts w:ascii="Arial" w:hAnsi="Arial"/>
                <w:color w:val="111827"/>
                <w:sz w:val="15"/>
              </w:rPr>
              <w:t>Stage change, offer approval, salary view, document download, override.</w:t>
            </w:r>
          </w:p>
        </w:tc>
      </w:tr>
    </w:tbl>
    <w:p>
      <w:pPr>
        <w:spacing w:after="0"/>
      </w:pPr>
    </w:p>
    <w:p>
      <w:pPr>
        <w:pStyle w:val="Heading2"/>
      </w:pPr>
      <w:r>
        <w:t>18.2 Logging Standard</w:t>
      </w:r>
    </w:p>
    <w:p>
      <w:pPr>
        <w:pStyle w:val="ListBullet"/>
      </w:pPr>
      <w:r>
        <w:rPr>
          <w:rFonts w:ascii="Arial" w:hAnsi="Arial"/>
        </w:rPr>
        <w:t>Use structured JSON logs with timestamp, severity, service, environment, version, correlation_id, trace_id, user/service identity, organization, event name, and safe context.</w:t>
      </w:r>
    </w:p>
    <w:p>
      <w:pPr>
        <w:pStyle w:val="ListBullet"/>
      </w:pPr>
      <w:r>
        <w:rPr>
          <w:rFonts w:ascii="Arial" w:hAnsi="Arial"/>
        </w:rPr>
        <w:t>Production log level is INFO by default. DEBUG requires controlled temporary activation.</w:t>
      </w:r>
    </w:p>
    <w:p>
      <w:pPr>
        <w:pStyle w:val="ListBullet"/>
      </w:pPr>
      <w:r>
        <w:rPr>
          <w:rFonts w:ascii="Arial" w:hAnsi="Arial"/>
        </w:rPr>
        <w:t>Errors SHALL include a stable error code and safe message; stack traces remain in protected technical logs only.</w:t>
      </w:r>
    </w:p>
    <w:p>
      <w:pPr>
        <w:pStyle w:val="ListBullet"/>
      </w:pPr>
      <w:r>
        <w:rPr>
          <w:rFonts w:ascii="Arial" w:hAnsi="Arial"/>
        </w:rPr>
        <w:t>Health endpoints SHALL distinguish liveness from readiness and SHALL not reveal credentials or internal topology.</w:t>
      </w:r>
    </w:p>
    <w:p>
      <w:pPr>
        <w:pStyle w:val="Heading2"/>
      </w:pPr>
      <w:r>
        <w:t>18.3 Metrics and Alerts</w:t>
      </w:r>
    </w:p>
    <w:p>
      <w:pPr>
        <w:pStyle w:val="ListBullet"/>
      </w:pPr>
      <w:r>
        <w:rPr>
          <w:rFonts w:ascii="Arial" w:hAnsi="Arial"/>
        </w:rPr>
        <w:t>Track HTTP request rate, error rate, p50/p95/p99 latency, active sessions, and authorization denials.</w:t>
      </w:r>
    </w:p>
    <w:p>
      <w:pPr>
        <w:pStyle w:val="ListBullet"/>
      </w:pPr>
      <w:r>
        <w:rPr>
          <w:rFonts w:ascii="Arial" w:hAnsi="Arial"/>
        </w:rPr>
        <w:t>Track PostgreSQL connections, slow queries, lock waits, deadlocks, replication/backup status, and storage growth.</w:t>
      </w:r>
    </w:p>
    <w:p>
      <w:pPr>
        <w:pStyle w:val="ListBullet"/>
      </w:pPr>
      <w:r>
        <w:rPr>
          <w:rFonts w:ascii="Arial" w:hAnsi="Arial"/>
        </w:rPr>
        <w:t>Track queue waiting/active/failed counts, retry rate, age of oldest job, and dead-letter growth.</w:t>
      </w:r>
    </w:p>
    <w:p>
      <w:pPr>
        <w:pStyle w:val="ListBullet"/>
      </w:pPr>
      <w:r>
        <w:rPr>
          <w:rFonts w:ascii="Arial" w:hAnsi="Arial"/>
        </w:rPr>
        <w:t>Track upload rejection, malware detection, extraction failure, OCR duration, import errors, email failures, and integration latency.</w:t>
      </w:r>
    </w:p>
    <w:p>
      <w:pPr>
        <w:pStyle w:val="ListBullet"/>
      </w:pPr>
      <w:r>
        <w:rPr>
          <w:rFonts w:ascii="Arial" w:hAnsi="Arial"/>
        </w:rPr>
        <w:t>Alerts SHALL link to a runbook and include impact, likely cause, and first diagnostic action.</w:t>
      </w:r>
    </w:p>
    <w:p>
      <w:pPr>
        <w:pStyle w:val="Heading1"/>
      </w:pPr>
      <w:r>
        <w:t>19. Testing and Quality Strategy</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728"/>
            <w:shd w:fill="5B21B6"/>
            <w:vAlign w:val="center"/>
          </w:tcPr>
          <w:p>
            <w:pPr>
              <w:jc w:val="left"/>
            </w:pPr>
            <w:r>
              <w:rPr>
                <w:rFonts w:ascii="Arial" w:hAnsi="Arial"/>
                <w:b/>
                <w:color w:val="FFFFFF"/>
                <w:sz w:val="14"/>
              </w:rPr>
              <w:t>Test Level</w:t>
            </w:r>
          </w:p>
        </w:tc>
        <w:tc>
          <w:tcPr>
            <w:tcW w:type="dxa" w:w="2880"/>
            <w:shd w:fill="5B21B6"/>
            <w:vAlign w:val="center"/>
          </w:tcPr>
          <w:p>
            <w:pPr>
              <w:jc w:val="left"/>
            </w:pPr>
            <w:r>
              <w:rPr>
                <w:rFonts w:ascii="Arial" w:hAnsi="Arial"/>
                <w:b/>
                <w:color w:val="FFFFFF"/>
                <w:sz w:val="14"/>
              </w:rPr>
              <w:t>Tools</w:t>
            </w:r>
          </w:p>
        </w:tc>
        <w:tc>
          <w:tcPr>
            <w:tcW w:type="dxa" w:w="5328"/>
            <w:shd w:fill="5B21B6"/>
            <w:vAlign w:val="center"/>
          </w:tcPr>
          <w:p>
            <w:pPr>
              <w:jc w:val="left"/>
            </w:pPr>
            <w:r>
              <w:rPr>
                <w:rFonts w:ascii="Arial" w:hAnsi="Arial"/>
                <w:b/>
                <w:color w:val="FFFFFF"/>
                <w:sz w:val="14"/>
              </w:rPr>
              <w:t>Mandatory Coverage</w:t>
            </w:r>
          </w:p>
        </w:tc>
      </w:tr>
      <w:tr>
        <w:trPr>
          <w:cantSplit/>
        </w:trPr>
        <w:tc>
          <w:tcPr>
            <w:tcW w:type="dxa" w:w="1728"/>
            <w:vAlign w:val="top"/>
          </w:tcPr>
          <w:p>
            <w:pPr>
              <w:spacing w:after="0"/>
            </w:pPr>
            <w:r>
              <w:rPr>
                <w:rFonts w:ascii="Arial" w:hAnsi="Arial"/>
                <w:color w:val="111827"/>
                <w:sz w:val="14"/>
              </w:rPr>
              <w:t>Unit</w:t>
            </w:r>
          </w:p>
        </w:tc>
        <w:tc>
          <w:tcPr>
            <w:tcW w:type="dxa" w:w="2880"/>
            <w:vAlign w:val="top"/>
          </w:tcPr>
          <w:p>
            <w:pPr>
              <w:spacing w:after="0"/>
            </w:pPr>
            <w:r>
              <w:rPr>
                <w:rFonts w:ascii="Arial" w:hAnsi="Arial"/>
                <w:color w:val="111827"/>
                <w:sz w:val="14"/>
              </w:rPr>
              <w:t>Vitest</w:t>
            </w:r>
          </w:p>
        </w:tc>
        <w:tc>
          <w:tcPr>
            <w:tcW w:type="dxa" w:w="5328"/>
            <w:vAlign w:val="top"/>
          </w:tcPr>
          <w:p>
            <w:pPr>
              <w:spacing w:after="0"/>
            </w:pPr>
            <w:r>
              <w:rPr>
                <w:rFonts w:ascii="Arial" w:hAnsi="Arial"/>
                <w:color w:val="111827"/>
                <w:sz w:val="14"/>
              </w:rPr>
              <w:t>Domain policies, validation, calculations, permission decisions, mappers.</w:t>
            </w:r>
          </w:p>
        </w:tc>
      </w:tr>
      <w:tr>
        <w:trPr>
          <w:cantSplit/>
        </w:trPr>
        <w:tc>
          <w:tcPr>
            <w:tcW w:type="dxa" w:w="1728"/>
            <w:vAlign w:val="top"/>
            <w:shd w:fill="F9FAFB"/>
          </w:tcPr>
          <w:p>
            <w:pPr>
              <w:spacing w:after="0"/>
            </w:pPr>
            <w:r>
              <w:rPr>
                <w:rFonts w:ascii="Arial" w:hAnsi="Arial"/>
                <w:color w:val="111827"/>
                <w:sz w:val="14"/>
              </w:rPr>
              <w:t>Component</w:t>
            </w:r>
          </w:p>
        </w:tc>
        <w:tc>
          <w:tcPr>
            <w:tcW w:type="dxa" w:w="2880"/>
            <w:vAlign w:val="top"/>
            <w:shd w:fill="F9FAFB"/>
          </w:tcPr>
          <w:p>
            <w:pPr>
              <w:spacing w:after="0"/>
            </w:pPr>
            <w:r>
              <w:rPr>
                <w:rFonts w:ascii="Arial" w:hAnsi="Arial"/>
                <w:color w:val="111827"/>
                <w:sz w:val="14"/>
              </w:rPr>
              <w:t>React Testing Library</w:t>
            </w:r>
          </w:p>
        </w:tc>
        <w:tc>
          <w:tcPr>
            <w:tcW w:type="dxa" w:w="5328"/>
            <w:vAlign w:val="top"/>
            <w:shd w:fill="F9FAFB"/>
          </w:tcPr>
          <w:p>
            <w:pPr>
              <w:spacing w:after="0"/>
            </w:pPr>
            <w:r>
              <w:rPr>
                <w:rFonts w:ascii="Arial" w:hAnsi="Arial"/>
                <w:color w:val="111827"/>
                <w:sz w:val="14"/>
              </w:rPr>
              <w:t>Forms, tables, permission states, loading/error/empty states, accessibility.</w:t>
            </w:r>
          </w:p>
        </w:tc>
      </w:tr>
      <w:tr>
        <w:trPr>
          <w:cantSplit/>
        </w:trPr>
        <w:tc>
          <w:tcPr>
            <w:tcW w:type="dxa" w:w="1728"/>
            <w:vAlign w:val="top"/>
          </w:tcPr>
          <w:p>
            <w:pPr>
              <w:spacing w:after="0"/>
            </w:pPr>
            <w:r>
              <w:rPr>
                <w:rFonts w:ascii="Arial" w:hAnsi="Arial"/>
                <w:color w:val="111827"/>
                <w:sz w:val="14"/>
              </w:rPr>
              <w:t>API integration</w:t>
            </w:r>
          </w:p>
        </w:tc>
        <w:tc>
          <w:tcPr>
            <w:tcW w:type="dxa" w:w="2880"/>
            <w:vAlign w:val="top"/>
          </w:tcPr>
          <w:p>
            <w:pPr>
              <w:spacing w:after="0"/>
            </w:pPr>
            <w:r>
              <w:rPr>
                <w:rFonts w:ascii="Arial" w:hAnsi="Arial"/>
                <w:color w:val="111827"/>
                <w:sz w:val="14"/>
              </w:rPr>
              <w:t>Vitest + Supertest + Testcontainers</w:t>
            </w:r>
          </w:p>
        </w:tc>
        <w:tc>
          <w:tcPr>
            <w:tcW w:type="dxa" w:w="5328"/>
            <w:vAlign w:val="top"/>
          </w:tcPr>
          <w:p>
            <w:pPr>
              <w:spacing w:after="0"/>
            </w:pPr>
            <w:r>
              <w:rPr>
                <w:rFonts w:ascii="Arial" w:hAnsi="Arial"/>
                <w:color w:val="111827"/>
                <w:sz w:val="14"/>
              </w:rPr>
              <w:t>Controllers, guards, transactions, repositories, PostgreSQL constraints.</w:t>
            </w:r>
          </w:p>
        </w:tc>
      </w:tr>
      <w:tr>
        <w:trPr>
          <w:cantSplit/>
        </w:trPr>
        <w:tc>
          <w:tcPr>
            <w:tcW w:type="dxa" w:w="1728"/>
            <w:vAlign w:val="top"/>
            <w:shd w:fill="F9FAFB"/>
          </w:tcPr>
          <w:p>
            <w:pPr>
              <w:spacing w:after="0"/>
            </w:pPr>
            <w:r>
              <w:rPr>
                <w:rFonts w:ascii="Arial" w:hAnsi="Arial"/>
                <w:color w:val="111827"/>
                <w:sz w:val="14"/>
              </w:rPr>
              <w:t>Worker integration</w:t>
            </w:r>
          </w:p>
        </w:tc>
        <w:tc>
          <w:tcPr>
            <w:tcW w:type="dxa" w:w="2880"/>
            <w:vAlign w:val="top"/>
            <w:shd w:fill="F9FAFB"/>
          </w:tcPr>
          <w:p>
            <w:pPr>
              <w:spacing w:after="0"/>
            </w:pPr>
            <w:r>
              <w:rPr>
                <w:rFonts w:ascii="Arial" w:hAnsi="Arial"/>
                <w:color w:val="111827"/>
                <w:sz w:val="14"/>
              </w:rPr>
              <w:t>Vitest + Testcontainers</w:t>
            </w:r>
          </w:p>
        </w:tc>
        <w:tc>
          <w:tcPr>
            <w:tcW w:type="dxa" w:w="5328"/>
            <w:vAlign w:val="top"/>
            <w:shd w:fill="F9FAFB"/>
          </w:tcPr>
          <w:p>
            <w:pPr>
              <w:spacing w:after="0"/>
            </w:pPr>
            <w:r>
              <w:rPr>
                <w:rFonts w:ascii="Arial" w:hAnsi="Arial"/>
                <w:color w:val="111827"/>
                <w:sz w:val="14"/>
              </w:rPr>
              <w:t>Queue retries, idempotency, file states, outbox processing.</w:t>
            </w:r>
          </w:p>
        </w:tc>
      </w:tr>
      <w:tr>
        <w:trPr>
          <w:cantSplit/>
        </w:trPr>
        <w:tc>
          <w:tcPr>
            <w:tcW w:type="dxa" w:w="1728"/>
            <w:vAlign w:val="top"/>
          </w:tcPr>
          <w:p>
            <w:pPr>
              <w:spacing w:after="0"/>
            </w:pPr>
            <w:r>
              <w:rPr>
                <w:rFonts w:ascii="Arial" w:hAnsi="Arial"/>
                <w:color w:val="111827"/>
                <w:sz w:val="14"/>
              </w:rPr>
              <w:t>Contract</w:t>
            </w:r>
          </w:p>
        </w:tc>
        <w:tc>
          <w:tcPr>
            <w:tcW w:type="dxa" w:w="2880"/>
            <w:vAlign w:val="top"/>
          </w:tcPr>
          <w:p>
            <w:pPr>
              <w:spacing w:after="0"/>
            </w:pPr>
            <w:r>
              <w:rPr>
                <w:rFonts w:ascii="Arial" w:hAnsi="Arial"/>
                <w:color w:val="111827"/>
                <w:sz w:val="14"/>
              </w:rPr>
              <w:t>OpenAPI validation / schema tests</w:t>
            </w:r>
          </w:p>
        </w:tc>
        <w:tc>
          <w:tcPr>
            <w:tcW w:type="dxa" w:w="5328"/>
            <w:vAlign w:val="top"/>
          </w:tcPr>
          <w:p>
            <w:pPr>
              <w:spacing w:after="0"/>
            </w:pPr>
            <w:r>
              <w:rPr>
                <w:rFonts w:ascii="Arial" w:hAnsi="Arial"/>
                <w:color w:val="111827"/>
                <w:sz w:val="14"/>
              </w:rPr>
              <w:t>Backward compatibility and provider adapter payloads.</w:t>
            </w:r>
          </w:p>
        </w:tc>
      </w:tr>
      <w:tr>
        <w:trPr>
          <w:cantSplit/>
        </w:trPr>
        <w:tc>
          <w:tcPr>
            <w:tcW w:type="dxa" w:w="1728"/>
            <w:vAlign w:val="top"/>
            <w:shd w:fill="F9FAFB"/>
          </w:tcPr>
          <w:p>
            <w:pPr>
              <w:spacing w:after="0"/>
            </w:pPr>
            <w:r>
              <w:rPr>
                <w:rFonts w:ascii="Arial" w:hAnsi="Arial"/>
                <w:color w:val="111827"/>
                <w:sz w:val="14"/>
              </w:rPr>
              <w:t>End-to-end</w:t>
            </w:r>
          </w:p>
        </w:tc>
        <w:tc>
          <w:tcPr>
            <w:tcW w:type="dxa" w:w="2880"/>
            <w:vAlign w:val="top"/>
            <w:shd w:fill="F9FAFB"/>
          </w:tcPr>
          <w:p>
            <w:pPr>
              <w:spacing w:after="0"/>
            </w:pPr>
            <w:r>
              <w:rPr>
                <w:rFonts w:ascii="Arial" w:hAnsi="Arial"/>
                <w:color w:val="111827"/>
                <w:sz w:val="14"/>
              </w:rPr>
              <w:t>Playwright</w:t>
            </w:r>
          </w:p>
        </w:tc>
        <w:tc>
          <w:tcPr>
            <w:tcW w:type="dxa" w:w="5328"/>
            <w:vAlign w:val="top"/>
            <w:shd w:fill="F9FAFB"/>
          </w:tcPr>
          <w:p>
            <w:pPr>
              <w:spacing w:after="0"/>
            </w:pPr>
            <w:r>
              <w:rPr>
                <w:rFonts w:ascii="Arial" w:hAnsi="Arial"/>
                <w:color w:val="111827"/>
                <w:sz w:val="14"/>
              </w:rPr>
              <w:t>Critical business paths from vacancy request through joining.</w:t>
            </w:r>
          </w:p>
        </w:tc>
      </w:tr>
      <w:tr>
        <w:trPr>
          <w:cantSplit/>
        </w:trPr>
        <w:tc>
          <w:tcPr>
            <w:tcW w:type="dxa" w:w="1728"/>
            <w:vAlign w:val="top"/>
          </w:tcPr>
          <w:p>
            <w:pPr>
              <w:spacing w:after="0"/>
            </w:pPr>
            <w:r>
              <w:rPr>
                <w:rFonts w:ascii="Arial" w:hAnsi="Arial"/>
                <w:color w:val="111827"/>
                <w:sz w:val="14"/>
              </w:rPr>
              <w:t>Performance</w:t>
            </w:r>
          </w:p>
        </w:tc>
        <w:tc>
          <w:tcPr>
            <w:tcW w:type="dxa" w:w="2880"/>
            <w:vAlign w:val="top"/>
          </w:tcPr>
          <w:p>
            <w:pPr>
              <w:spacing w:after="0"/>
            </w:pPr>
            <w:r>
              <w:rPr>
                <w:rFonts w:ascii="Arial" w:hAnsi="Arial"/>
                <w:color w:val="111827"/>
                <w:sz w:val="14"/>
              </w:rPr>
              <w:t>k6 or approved equivalent</w:t>
            </w:r>
          </w:p>
        </w:tc>
        <w:tc>
          <w:tcPr>
            <w:tcW w:type="dxa" w:w="5328"/>
            <w:vAlign w:val="top"/>
          </w:tcPr>
          <w:p>
            <w:pPr>
              <w:spacing w:after="0"/>
            </w:pPr>
            <w:r>
              <w:rPr>
                <w:rFonts w:ascii="Arial" w:hAnsi="Arial"/>
                <w:color w:val="111827"/>
                <w:sz w:val="14"/>
              </w:rPr>
              <w:t>Search, list, import, export, stage transitions, upload initiation.</w:t>
            </w:r>
          </w:p>
        </w:tc>
      </w:tr>
      <w:tr>
        <w:trPr>
          <w:cantSplit/>
        </w:trPr>
        <w:tc>
          <w:tcPr>
            <w:tcW w:type="dxa" w:w="1728"/>
            <w:vAlign w:val="top"/>
            <w:shd w:fill="F9FAFB"/>
          </w:tcPr>
          <w:p>
            <w:pPr>
              <w:spacing w:after="0"/>
            </w:pPr>
            <w:r>
              <w:rPr>
                <w:rFonts w:ascii="Arial" w:hAnsi="Arial"/>
                <w:color w:val="111827"/>
                <w:sz w:val="14"/>
              </w:rPr>
              <w:t>Security</w:t>
            </w:r>
          </w:p>
        </w:tc>
        <w:tc>
          <w:tcPr>
            <w:tcW w:type="dxa" w:w="2880"/>
            <w:vAlign w:val="top"/>
            <w:shd w:fill="F9FAFB"/>
          </w:tcPr>
          <w:p>
            <w:pPr>
              <w:spacing w:after="0"/>
            </w:pPr>
            <w:r>
              <w:rPr>
                <w:rFonts w:ascii="Arial" w:hAnsi="Arial"/>
                <w:color w:val="111827"/>
                <w:sz w:val="14"/>
              </w:rPr>
              <w:t>SAST, dependency scan, container scan, DAST where available</w:t>
            </w:r>
          </w:p>
        </w:tc>
        <w:tc>
          <w:tcPr>
            <w:tcW w:type="dxa" w:w="5328"/>
            <w:vAlign w:val="top"/>
            <w:shd w:fill="F9FAFB"/>
          </w:tcPr>
          <w:p>
            <w:pPr>
              <w:spacing w:after="0"/>
            </w:pPr>
            <w:r>
              <w:rPr>
                <w:rFonts w:ascii="Arial" w:hAnsi="Arial"/>
                <w:color w:val="111827"/>
                <w:sz w:val="14"/>
              </w:rPr>
              <w:t>OWASP controls, authorization matrix, upload abuse, rate limits.</w:t>
            </w:r>
          </w:p>
        </w:tc>
      </w:tr>
    </w:tbl>
    <w:p>
      <w:pPr>
        <w:spacing w:after="0"/>
      </w:pPr>
    </w:p>
    <w:p>
      <w:pPr>
        <w:pStyle w:val="Heading2"/>
      </w:pPr>
      <w:r>
        <w:t>19.1 Mandatory End-to-End Scenarios</w:t>
      </w:r>
    </w:p>
    <w:p>
      <w:pPr>
        <w:pStyle w:val="ListBullet"/>
      </w:pPr>
      <w:r>
        <w:rPr>
          <w:rFonts w:ascii="Arial" w:hAnsi="Arial"/>
        </w:rPr>
        <w:t>Create and approve a vacancy request; open the resulting vacancy.</w:t>
      </w:r>
    </w:p>
    <w:p>
      <w:pPr>
        <w:pStyle w:val="ListBullet"/>
      </w:pPr>
      <w:r>
        <w:rPr>
          <w:rFonts w:ascii="Arial" w:hAnsi="Arial"/>
        </w:rPr>
        <w:t>Add a new candidate, detect a duplicate, and create a new application on the existing candidate.</w:t>
      </w:r>
    </w:p>
    <w:p>
      <w:pPr>
        <w:pStyle w:val="ListBullet"/>
      </w:pPr>
      <w:r>
        <w:rPr>
          <w:rFonts w:ascii="Arial" w:hAnsi="Arial"/>
        </w:rPr>
        <w:t>Complete screening, schedule multiple interviewers, submit feedback, and enforce missing-feedback rules.</w:t>
      </w:r>
    </w:p>
    <w:p>
      <w:pPr>
        <w:pStyle w:val="ListBullet"/>
      </w:pPr>
      <w:r>
        <w:rPr>
          <w:rFonts w:ascii="Arial" w:hAnsi="Arial"/>
        </w:rPr>
        <w:t>Create, approve, send, revise, reapprove, and accept an offer version.</w:t>
      </w:r>
    </w:p>
    <w:p>
      <w:pPr>
        <w:pStyle w:val="ListBullet"/>
      </w:pPr>
      <w:r>
        <w:rPr>
          <w:rFonts w:ascii="Arial" w:hAnsi="Arial"/>
        </w:rPr>
        <w:t>Collect documents, verify license requirements, request changes, and complete final hiring approval.</w:t>
      </w:r>
    </w:p>
    <w:p>
      <w:pPr>
        <w:pStyle w:val="ListBullet"/>
      </w:pPr>
      <w:r>
        <w:rPr>
          <w:rFonts w:ascii="Arial" w:hAnsi="Arial"/>
        </w:rPr>
        <w:t>Confirm actual joining and verify atomic vacancy headcount updates.</w:t>
      </w:r>
    </w:p>
    <w:p>
      <w:pPr>
        <w:pStyle w:val="ListBullet"/>
      </w:pPr>
      <w:r>
        <w:rPr>
          <w:rFonts w:ascii="Arial" w:hAnsi="Arial"/>
        </w:rPr>
        <w:t>Verify a user cannot see salary, download a document, approve an offer, or access another branch without permission.</w:t>
      </w:r>
    </w:p>
    <w:p>
      <w:pPr>
        <w:pStyle w:val="ListBullet"/>
      </w:pPr>
      <w:r>
        <w:rPr>
          <w:rFonts w:ascii="Arial" w:hAnsi="Arial"/>
        </w:rPr>
        <w:t>Verify import retry and idempotency do not create duplicate records.</w:t>
      </w:r>
    </w:p>
    <w:p>
      <w:pPr>
        <w:pStyle w:val="Heading2"/>
      </w:pPr>
      <w:r>
        <w:t>19.2 Quality Gates</w:t>
      </w:r>
    </w:p>
    <w:p>
      <w:pPr>
        <w:pStyle w:val="ListBullet"/>
      </w:pPr>
      <w:r>
        <w:rPr>
          <w:rFonts w:ascii="Arial" w:hAnsi="Arial"/>
        </w:rPr>
        <w:t>No merge with failing lint, formatting, type-check, unit tests, integration tests, migration validation, or security scan above the approved threshold.</w:t>
      </w:r>
    </w:p>
    <w:p>
      <w:pPr>
        <w:pStyle w:val="ListBullet"/>
      </w:pPr>
      <w:r>
        <w:rPr>
          <w:rFonts w:ascii="Arial" w:hAnsi="Arial"/>
        </w:rPr>
        <w:t>Changed business rules require unit tests and at least one higher-level regression test.</w:t>
      </w:r>
    </w:p>
    <w:p>
      <w:pPr>
        <w:pStyle w:val="ListBullet"/>
      </w:pPr>
      <w:r>
        <w:rPr>
          <w:rFonts w:ascii="Arial" w:hAnsi="Arial"/>
        </w:rPr>
        <w:t>Database migrations require review by a backend/database owner and a tested deployment plan.</w:t>
      </w:r>
    </w:p>
    <w:p>
      <w:pPr>
        <w:pStyle w:val="ListBullet"/>
      </w:pPr>
      <w:r>
        <w:rPr>
          <w:rFonts w:ascii="Arial" w:hAnsi="Arial"/>
        </w:rPr>
        <w:t>Accessibility checks and keyboard testing are required for new interactive components.</w:t>
      </w:r>
    </w:p>
    <w:p>
      <w:pPr>
        <w:pStyle w:val="Heading1"/>
      </w:pPr>
      <w:r>
        <w:t>20. DevOps, Environments, and CI/CD</w:t>
      </w:r>
    </w:p>
    <w:p>
      <w:pPr>
        <w:jc w:val="center"/>
      </w:pPr>
      <w:r>
        <w:drawing>
          <wp:inline xmlns:a="http://schemas.openxmlformats.org/drawingml/2006/main" xmlns:pic="http://schemas.openxmlformats.org/drawingml/2006/picture">
            <wp:extent cx="6400800" cy="3733800"/>
            <wp:docPr id="4" name="Picture 4"/>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6400800" cy="3733800"/>
                    </a:xfrm>
                    <a:prstGeom prst="rect"/>
                  </pic:spPr>
                </pic:pic>
              </a:graphicData>
            </a:graphic>
          </wp:inline>
        </w:drawing>
      </w:r>
    </w:p>
    <w:p>
      <w:pPr>
        <w:jc w:val="center"/>
      </w:pPr>
      <w:r>
        <w:rPr>
          <w:rFonts w:ascii="Arial" w:hAnsi="Arial"/>
          <w:i/>
          <w:color w:val="6B7280"/>
          <w:sz w:val="16"/>
        </w:rPr>
        <w:t>Figure 3 - Recommended production deployment and persistent service boundaries.</w:t>
      </w:r>
    </w:p>
    <w:p>
      <w:pPr>
        <w:pStyle w:val="Heading2"/>
      </w:pPr>
      <w:r>
        <w:t>20.1 Environments</w:t>
      </w:r>
    </w:p>
    <w:tbl>
      <w:tblPr>
        <w:tblStyle w:val="TableGrid"/>
        <w:tblW w:type="auto" w:w="0"/>
        <w:jc w:val="center"/>
        <w:tblLayout w:type="fixed"/>
        <w:tblLook w:firstColumn="1" w:firstRow="1" w:lastColumn="0" w:lastRow="0" w:noHBand="0" w:noVBand="1" w:val="04A0"/>
      </w:tblPr>
      <w:tblGrid>
        <w:gridCol w:w="2487"/>
        <w:gridCol w:w="2487"/>
        <w:gridCol w:w="2487"/>
        <w:gridCol w:w="2487"/>
      </w:tblGrid>
      <w:tr>
        <w:trPr>
          <w:tblHeader w:val="true"/>
          <w:cantSplit/>
        </w:trPr>
        <w:tc>
          <w:tcPr>
            <w:tcW w:type="dxa" w:w="1440"/>
            <w:shd w:fill="5B21B6"/>
            <w:vAlign w:val="center"/>
          </w:tcPr>
          <w:p>
            <w:pPr>
              <w:jc w:val="left"/>
            </w:pPr>
            <w:r>
              <w:rPr>
                <w:rFonts w:ascii="Arial" w:hAnsi="Arial"/>
                <w:b/>
                <w:color w:val="FFFFFF"/>
                <w:sz w:val="14"/>
              </w:rPr>
              <w:t>Environment</w:t>
            </w:r>
          </w:p>
        </w:tc>
        <w:tc>
          <w:tcPr>
            <w:tcW w:type="dxa" w:w="2088"/>
            <w:shd w:fill="5B21B6"/>
            <w:vAlign w:val="center"/>
          </w:tcPr>
          <w:p>
            <w:pPr>
              <w:jc w:val="left"/>
            </w:pPr>
            <w:r>
              <w:rPr>
                <w:rFonts w:ascii="Arial" w:hAnsi="Arial"/>
                <w:b/>
                <w:color w:val="FFFFFF"/>
                <w:sz w:val="14"/>
              </w:rPr>
              <w:t>Data</w:t>
            </w:r>
          </w:p>
        </w:tc>
        <w:tc>
          <w:tcPr>
            <w:tcW w:type="dxa" w:w="3168"/>
            <w:shd w:fill="5B21B6"/>
            <w:vAlign w:val="center"/>
          </w:tcPr>
          <w:p>
            <w:pPr>
              <w:jc w:val="left"/>
            </w:pPr>
            <w:r>
              <w:rPr>
                <w:rFonts w:ascii="Arial" w:hAnsi="Arial"/>
                <w:b/>
                <w:color w:val="FFFFFF"/>
                <w:sz w:val="14"/>
              </w:rPr>
              <w:t>Purpose</w:t>
            </w:r>
          </w:p>
        </w:tc>
        <w:tc>
          <w:tcPr>
            <w:tcW w:type="dxa" w:w="3240"/>
            <w:shd w:fill="5B21B6"/>
            <w:vAlign w:val="center"/>
          </w:tcPr>
          <w:p>
            <w:pPr>
              <w:jc w:val="left"/>
            </w:pPr>
            <w:r>
              <w:rPr>
                <w:rFonts w:ascii="Arial" w:hAnsi="Arial"/>
                <w:b/>
                <w:color w:val="FFFFFF"/>
                <w:sz w:val="14"/>
              </w:rPr>
              <w:t>Deployment Rule</w:t>
            </w:r>
          </w:p>
        </w:tc>
      </w:tr>
      <w:tr>
        <w:trPr>
          <w:cantSplit/>
        </w:trPr>
        <w:tc>
          <w:tcPr>
            <w:tcW w:type="dxa" w:w="1440"/>
            <w:vAlign w:val="top"/>
          </w:tcPr>
          <w:p>
            <w:pPr>
              <w:spacing w:after="0"/>
            </w:pPr>
            <w:r>
              <w:rPr>
                <w:rFonts w:ascii="Arial" w:hAnsi="Arial"/>
                <w:color w:val="111827"/>
                <w:sz w:val="14"/>
              </w:rPr>
              <w:t>Local</w:t>
            </w:r>
          </w:p>
        </w:tc>
        <w:tc>
          <w:tcPr>
            <w:tcW w:type="dxa" w:w="2088"/>
            <w:vAlign w:val="top"/>
          </w:tcPr>
          <w:p>
            <w:pPr>
              <w:spacing w:after="0"/>
            </w:pPr>
            <w:r>
              <w:rPr>
                <w:rFonts w:ascii="Arial" w:hAnsi="Arial"/>
                <w:color w:val="111827"/>
                <w:sz w:val="14"/>
              </w:rPr>
              <w:t>Generated fixtures only</w:t>
            </w:r>
          </w:p>
        </w:tc>
        <w:tc>
          <w:tcPr>
            <w:tcW w:type="dxa" w:w="3168"/>
            <w:vAlign w:val="top"/>
          </w:tcPr>
          <w:p>
            <w:pPr>
              <w:spacing w:after="0"/>
            </w:pPr>
            <w:r>
              <w:rPr>
                <w:rFonts w:ascii="Arial" w:hAnsi="Arial"/>
                <w:color w:val="111827"/>
                <w:sz w:val="14"/>
              </w:rPr>
              <w:t>Developer implementation and fast tests.</w:t>
            </w:r>
          </w:p>
        </w:tc>
        <w:tc>
          <w:tcPr>
            <w:tcW w:type="dxa" w:w="3240"/>
            <w:vAlign w:val="top"/>
          </w:tcPr>
          <w:p>
            <w:pPr>
              <w:spacing w:after="0"/>
            </w:pPr>
            <w:r>
              <w:rPr>
                <w:rFonts w:ascii="Arial" w:hAnsi="Arial"/>
                <w:color w:val="111827"/>
                <w:sz w:val="14"/>
              </w:rPr>
              <w:t>Docker Compose or local managed services.</w:t>
            </w:r>
          </w:p>
        </w:tc>
      </w:tr>
      <w:tr>
        <w:trPr>
          <w:cantSplit/>
        </w:trPr>
        <w:tc>
          <w:tcPr>
            <w:tcW w:type="dxa" w:w="1440"/>
            <w:vAlign w:val="top"/>
            <w:shd w:fill="F9FAFB"/>
          </w:tcPr>
          <w:p>
            <w:pPr>
              <w:spacing w:after="0"/>
            </w:pPr>
            <w:r>
              <w:rPr>
                <w:rFonts w:ascii="Arial" w:hAnsi="Arial"/>
                <w:color w:val="111827"/>
                <w:sz w:val="14"/>
              </w:rPr>
              <w:t>Test / CI</w:t>
            </w:r>
          </w:p>
        </w:tc>
        <w:tc>
          <w:tcPr>
            <w:tcW w:type="dxa" w:w="2088"/>
            <w:vAlign w:val="top"/>
            <w:shd w:fill="F9FAFB"/>
          </w:tcPr>
          <w:p>
            <w:pPr>
              <w:spacing w:after="0"/>
            </w:pPr>
            <w:r>
              <w:rPr>
                <w:rFonts w:ascii="Arial" w:hAnsi="Arial"/>
                <w:color w:val="111827"/>
                <w:sz w:val="14"/>
              </w:rPr>
              <w:t>Ephemeral generated data</w:t>
            </w:r>
          </w:p>
        </w:tc>
        <w:tc>
          <w:tcPr>
            <w:tcW w:type="dxa" w:w="3168"/>
            <w:vAlign w:val="top"/>
            <w:shd w:fill="F9FAFB"/>
          </w:tcPr>
          <w:p>
            <w:pPr>
              <w:spacing w:after="0"/>
            </w:pPr>
            <w:r>
              <w:rPr>
                <w:rFonts w:ascii="Arial" w:hAnsi="Arial"/>
                <w:color w:val="111827"/>
                <w:sz w:val="14"/>
              </w:rPr>
              <w:t>Automated integration and migration tests.</w:t>
            </w:r>
          </w:p>
        </w:tc>
        <w:tc>
          <w:tcPr>
            <w:tcW w:type="dxa" w:w="3240"/>
            <w:vAlign w:val="top"/>
            <w:shd w:fill="F9FAFB"/>
          </w:tcPr>
          <w:p>
            <w:pPr>
              <w:spacing w:after="0"/>
            </w:pPr>
            <w:r>
              <w:rPr>
                <w:rFonts w:ascii="Arial" w:hAnsi="Arial"/>
                <w:color w:val="111827"/>
                <w:sz w:val="14"/>
              </w:rPr>
              <w:t>Created and destroyed by pipeline.</w:t>
            </w:r>
          </w:p>
        </w:tc>
      </w:tr>
      <w:tr>
        <w:trPr>
          <w:cantSplit/>
        </w:trPr>
        <w:tc>
          <w:tcPr>
            <w:tcW w:type="dxa" w:w="1440"/>
            <w:vAlign w:val="top"/>
          </w:tcPr>
          <w:p>
            <w:pPr>
              <w:spacing w:after="0"/>
            </w:pPr>
            <w:r>
              <w:rPr>
                <w:rFonts w:ascii="Arial" w:hAnsi="Arial"/>
                <w:color w:val="111827"/>
                <w:sz w:val="14"/>
              </w:rPr>
              <w:t>Development</w:t>
            </w:r>
          </w:p>
        </w:tc>
        <w:tc>
          <w:tcPr>
            <w:tcW w:type="dxa" w:w="2088"/>
            <w:vAlign w:val="top"/>
          </w:tcPr>
          <w:p>
            <w:pPr>
              <w:spacing w:after="0"/>
            </w:pPr>
            <w:r>
              <w:rPr>
                <w:rFonts w:ascii="Arial" w:hAnsi="Arial"/>
                <w:color w:val="111827"/>
                <w:sz w:val="14"/>
              </w:rPr>
              <w:t>Shared synthetic data</w:t>
            </w:r>
          </w:p>
        </w:tc>
        <w:tc>
          <w:tcPr>
            <w:tcW w:type="dxa" w:w="3168"/>
            <w:vAlign w:val="top"/>
          </w:tcPr>
          <w:p>
            <w:pPr>
              <w:spacing w:after="0"/>
            </w:pPr>
            <w:r>
              <w:rPr>
                <w:rFonts w:ascii="Arial" w:hAnsi="Arial"/>
                <w:color w:val="111827"/>
                <w:sz w:val="14"/>
              </w:rPr>
              <w:t>Feature integration.</w:t>
            </w:r>
          </w:p>
        </w:tc>
        <w:tc>
          <w:tcPr>
            <w:tcW w:type="dxa" w:w="3240"/>
            <w:vAlign w:val="top"/>
          </w:tcPr>
          <w:p>
            <w:pPr>
              <w:spacing w:after="0"/>
            </w:pPr>
            <w:r>
              <w:rPr>
                <w:rFonts w:ascii="Arial" w:hAnsi="Arial"/>
                <w:color w:val="111827"/>
                <w:sz w:val="14"/>
              </w:rPr>
              <w:t>Automatic deployment from approved branch.</w:t>
            </w:r>
          </w:p>
        </w:tc>
      </w:tr>
      <w:tr>
        <w:trPr>
          <w:cantSplit/>
        </w:trPr>
        <w:tc>
          <w:tcPr>
            <w:tcW w:type="dxa" w:w="1440"/>
            <w:vAlign w:val="top"/>
            <w:shd w:fill="F9FAFB"/>
          </w:tcPr>
          <w:p>
            <w:pPr>
              <w:spacing w:after="0"/>
            </w:pPr>
            <w:r>
              <w:rPr>
                <w:rFonts w:ascii="Arial" w:hAnsi="Arial"/>
                <w:color w:val="111827"/>
                <w:sz w:val="14"/>
              </w:rPr>
              <w:t>Staging</w:t>
            </w:r>
          </w:p>
        </w:tc>
        <w:tc>
          <w:tcPr>
            <w:tcW w:type="dxa" w:w="2088"/>
            <w:vAlign w:val="top"/>
            <w:shd w:fill="F9FAFB"/>
          </w:tcPr>
          <w:p>
            <w:pPr>
              <w:spacing w:after="0"/>
            </w:pPr>
            <w:r>
              <w:rPr>
                <w:rFonts w:ascii="Arial" w:hAnsi="Arial"/>
                <w:color w:val="111827"/>
                <w:sz w:val="14"/>
              </w:rPr>
              <w:t>Production-like anonymized/synthetic data</w:t>
            </w:r>
          </w:p>
        </w:tc>
        <w:tc>
          <w:tcPr>
            <w:tcW w:type="dxa" w:w="3168"/>
            <w:vAlign w:val="top"/>
            <w:shd w:fill="F9FAFB"/>
          </w:tcPr>
          <w:p>
            <w:pPr>
              <w:spacing w:after="0"/>
            </w:pPr>
            <w:r>
              <w:rPr>
                <w:rFonts w:ascii="Arial" w:hAnsi="Arial"/>
                <w:color w:val="111827"/>
                <w:sz w:val="14"/>
              </w:rPr>
              <w:t>UAT, performance smoke, release verification.</w:t>
            </w:r>
          </w:p>
        </w:tc>
        <w:tc>
          <w:tcPr>
            <w:tcW w:type="dxa" w:w="3240"/>
            <w:vAlign w:val="top"/>
            <w:shd w:fill="F9FAFB"/>
          </w:tcPr>
          <w:p>
            <w:pPr>
              <w:spacing w:after="0"/>
            </w:pPr>
            <w:r>
              <w:rPr>
                <w:rFonts w:ascii="Arial" w:hAnsi="Arial"/>
                <w:color w:val="111827"/>
                <w:sz w:val="14"/>
              </w:rPr>
              <w:t>Same artifact and migration method as production.</w:t>
            </w:r>
          </w:p>
        </w:tc>
      </w:tr>
      <w:tr>
        <w:trPr>
          <w:cantSplit/>
        </w:trPr>
        <w:tc>
          <w:tcPr>
            <w:tcW w:type="dxa" w:w="1440"/>
            <w:vAlign w:val="top"/>
          </w:tcPr>
          <w:p>
            <w:pPr>
              <w:spacing w:after="0"/>
            </w:pPr>
            <w:r>
              <w:rPr>
                <w:rFonts w:ascii="Arial" w:hAnsi="Arial"/>
                <w:color w:val="111827"/>
                <w:sz w:val="14"/>
              </w:rPr>
              <w:t>Production</w:t>
            </w:r>
          </w:p>
        </w:tc>
        <w:tc>
          <w:tcPr>
            <w:tcW w:type="dxa" w:w="2088"/>
            <w:vAlign w:val="top"/>
          </w:tcPr>
          <w:p>
            <w:pPr>
              <w:spacing w:after="0"/>
            </w:pPr>
            <w:r>
              <w:rPr>
                <w:rFonts w:ascii="Arial" w:hAnsi="Arial"/>
                <w:color w:val="111827"/>
                <w:sz w:val="14"/>
              </w:rPr>
              <w:t>Real controlled data</w:t>
            </w:r>
          </w:p>
        </w:tc>
        <w:tc>
          <w:tcPr>
            <w:tcW w:type="dxa" w:w="3168"/>
            <w:vAlign w:val="top"/>
          </w:tcPr>
          <w:p>
            <w:pPr>
              <w:spacing w:after="0"/>
            </w:pPr>
            <w:r>
              <w:rPr>
                <w:rFonts w:ascii="Arial" w:hAnsi="Arial"/>
                <w:color w:val="111827"/>
                <w:sz w:val="14"/>
              </w:rPr>
              <w:t>Live operations.</w:t>
            </w:r>
          </w:p>
        </w:tc>
        <w:tc>
          <w:tcPr>
            <w:tcW w:type="dxa" w:w="3240"/>
            <w:vAlign w:val="top"/>
          </w:tcPr>
          <w:p>
            <w:pPr>
              <w:spacing w:after="0"/>
            </w:pPr>
            <w:r>
              <w:rPr>
                <w:rFonts w:ascii="Arial" w:hAnsi="Arial"/>
                <w:color w:val="111827"/>
                <w:sz w:val="14"/>
              </w:rPr>
              <w:t>Approval, backup verification, monitored rollout.</w:t>
            </w:r>
          </w:p>
        </w:tc>
      </w:tr>
    </w:tbl>
    <w:p>
      <w:pPr>
        <w:spacing w:after="0"/>
      </w:pPr>
    </w:p>
    <w:p>
      <w:pPr>
        <w:pStyle w:val="Heading2"/>
      </w:pPr>
      <w:r>
        <w:t>20.2 CI Pipeline</w:t>
      </w:r>
    </w:p>
    <w:p>
      <w:pPr>
        <w:pStyle w:val="ListNumber"/>
      </w:pPr>
      <w:r>
        <w:rPr>
          <w:rFonts w:ascii="Arial" w:hAnsi="Arial"/>
        </w:rPr>
        <w:t>Install dependencies from the committed lockfile.</w:t>
      </w:r>
    </w:p>
    <w:p>
      <w:pPr>
        <w:pStyle w:val="ListNumber"/>
      </w:pPr>
      <w:r>
        <w:rPr>
          <w:rFonts w:ascii="Arial" w:hAnsi="Arial"/>
        </w:rPr>
        <w:t>Run formatting check, lint, type-check, and architecture-boundary checks.</w:t>
      </w:r>
    </w:p>
    <w:p>
      <w:pPr>
        <w:pStyle w:val="ListNumber"/>
      </w:pPr>
      <w:r>
        <w:rPr>
          <w:rFonts w:ascii="Arial" w:hAnsi="Arial"/>
        </w:rPr>
        <w:t>Run unit and component tests with coverage reports.</w:t>
      </w:r>
    </w:p>
    <w:p>
      <w:pPr>
        <w:pStyle w:val="ListNumber"/>
      </w:pPr>
      <w:r>
        <w:rPr>
          <w:rFonts w:ascii="Arial" w:hAnsi="Arial"/>
        </w:rPr>
        <w:t>Start PostgreSQL, Redis, and object-storage test containers and run integration tests.</w:t>
      </w:r>
    </w:p>
    <w:p>
      <w:pPr>
        <w:pStyle w:val="ListNumber"/>
      </w:pPr>
      <w:r>
        <w:rPr>
          <w:rFonts w:ascii="Arial" w:hAnsi="Arial"/>
        </w:rPr>
        <w:t>Validate Prisma schema and apply migrations to a clean database.</w:t>
      </w:r>
    </w:p>
    <w:p>
      <w:pPr>
        <w:pStyle w:val="ListNumber"/>
      </w:pPr>
      <w:r>
        <w:rPr>
          <w:rFonts w:ascii="Arial" w:hAnsi="Arial"/>
        </w:rPr>
        <w:t>Generate and validate OpenAPI and event contracts.</w:t>
      </w:r>
    </w:p>
    <w:p>
      <w:pPr>
        <w:pStyle w:val="ListNumber"/>
      </w:pPr>
      <w:r>
        <w:rPr>
          <w:rFonts w:ascii="Arial" w:hAnsi="Arial"/>
        </w:rPr>
        <w:t>Build web, API, and worker production artifacts.</w:t>
      </w:r>
    </w:p>
    <w:p>
      <w:pPr>
        <w:pStyle w:val="ListNumber"/>
      </w:pPr>
      <w:r>
        <w:rPr>
          <w:rFonts w:ascii="Arial" w:hAnsi="Arial"/>
        </w:rPr>
        <w:t>Run dependency, secret, SAST, license, and container vulnerability scans.</w:t>
      </w:r>
    </w:p>
    <w:p>
      <w:pPr>
        <w:pStyle w:val="ListNumber"/>
      </w:pPr>
      <w:r>
        <w:rPr>
          <w:rFonts w:ascii="Arial" w:hAnsi="Arial"/>
        </w:rPr>
        <w:t>Publish immutable container images and software bill of materials.</w:t>
      </w:r>
    </w:p>
    <w:p>
      <w:pPr>
        <w:pStyle w:val="ListNumber"/>
      </w:pPr>
      <w:r>
        <w:rPr>
          <w:rFonts w:ascii="Arial" w:hAnsi="Arial"/>
        </w:rPr>
        <w:t>Deploy to staging, run smoke and Playwright critical paths, then promote the same artifacts to production.</w:t>
      </w:r>
    </w:p>
    <w:p>
      <w:pPr>
        <w:pStyle w:val="Heading2"/>
      </w:pPr>
      <w:r>
        <w:t>20.3 Deployment Rules</w:t>
      </w:r>
    </w:p>
    <w:p>
      <w:pPr>
        <w:pStyle w:val="ListBullet"/>
      </w:pPr>
      <w:r>
        <w:rPr>
          <w:rFonts w:ascii="Arial" w:hAnsi="Arial"/>
        </w:rPr>
        <w:t>Images SHALL be immutable and tagged with commit SHA and release version.</w:t>
      </w:r>
    </w:p>
    <w:p>
      <w:pPr>
        <w:pStyle w:val="ListBullet"/>
      </w:pPr>
      <w:r>
        <w:rPr>
          <w:rFonts w:ascii="Arial" w:hAnsi="Arial"/>
        </w:rPr>
        <w:t>Configuration SHALL be external to images. Secrets SHALL come from an approved secret store.</w:t>
      </w:r>
    </w:p>
    <w:p>
      <w:pPr>
        <w:pStyle w:val="ListBullet"/>
      </w:pPr>
      <w:r>
        <w:rPr>
          <w:rFonts w:ascii="Arial" w:hAnsi="Arial"/>
        </w:rPr>
        <w:t>Database migrations SHALL run as a controlled release step before application traffic is switched.</w:t>
      </w:r>
    </w:p>
    <w:p>
      <w:pPr>
        <w:pStyle w:val="ListBullet"/>
      </w:pPr>
      <w:r>
        <w:rPr>
          <w:rFonts w:ascii="Arial" w:hAnsi="Arial"/>
        </w:rPr>
        <w:t>Use rolling or blue/green deployment with health checks and rollback criteria.</w:t>
      </w:r>
    </w:p>
    <w:p>
      <w:pPr>
        <w:pStyle w:val="ListBullet"/>
      </w:pPr>
      <w:r>
        <w:rPr>
          <w:rFonts w:ascii="Arial" w:hAnsi="Arial"/>
        </w:rPr>
        <w:t>A release SHALL publish change notes, migration impact, feature flags, monitoring links, and rollback steps.</w:t>
      </w:r>
    </w:p>
    <w:p>
      <w:pPr>
        <w:pStyle w:val="Heading1"/>
      </w:pPr>
      <w:r>
        <w:t>21. Backup, Disaster Recovery, and Retention</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088"/>
            <w:shd w:fill="5B21B6"/>
            <w:vAlign w:val="center"/>
          </w:tcPr>
          <w:p>
            <w:pPr>
              <w:jc w:val="left"/>
            </w:pPr>
            <w:r>
              <w:rPr>
                <w:rFonts w:ascii="Arial" w:hAnsi="Arial"/>
                <w:b/>
                <w:color w:val="FFFFFF"/>
                <w:sz w:val="14"/>
              </w:rPr>
              <w:t>Area</w:t>
            </w:r>
          </w:p>
        </w:tc>
        <w:tc>
          <w:tcPr>
            <w:tcW w:type="dxa" w:w="2232"/>
            <w:shd w:fill="5B21B6"/>
            <w:vAlign w:val="center"/>
          </w:tcPr>
          <w:p>
            <w:pPr>
              <w:jc w:val="left"/>
            </w:pPr>
            <w:r>
              <w:rPr>
                <w:rFonts w:ascii="Arial" w:hAnsi="Arial"/>
                <w:b/>
                <w:color w:val="FFFFFF"/>
                <w:sz w:val="14"/>
              </w:rPr>
              <w:t>Initial Target</w:t>
            </w:r>
          </w:p>
        </w:tc>
        <w:tc>
          <w:tcPr>
            <w:tcW w:type="dxa" w:w="5616"/>
            <w:shd w:fill="5B21B6"/>
            <w:vAlign w:val="center"/>
          </w:tcPr>
          <w:p>
            <w:pPr>
              <w:jc w:val="left"/>
            </w:pPr>
            <w:r>
              <w:rPr>
                <w:rFonts w:ascii="Arial" w:hAnsi="Arial"/>
                <w:b/>
                <w:color w:val="FFFFFF"/>
                <w:sz w:val="14"/>
              </w:rPr>
              <w:t>Guideline</w:t>
            </w:r>
          </w:p>
        </w:tc>
      </w:tr>
      <w:tr>
        <w:trPr>
          <w:cantSplit/>
        </w:trPr>
        <w:tc>
          <w:tcPr>
            <w:tcW w:type="dxa" w:w="2088"/>
            <w:vAlign w:val="top"/>
          </w:tcPr>
          <w:p>
            <w:pPr>
              <w:spacing w:after="0"/>
            </w:pPr>
            <w:r>
              <w:rPr>
                <w:rFonts w:ascii="Arial" w:hAnsi="Arial"/>
                <w:color w:val="111827"/>
                <w:sz w:val="14"/>
              </w:rPr>
              <w:t>PostgreSQL RPO</w:t>
            </w:r>
          </w:p>
        </w:tc>
        <w:tc>
          <w:tcPr>
            <w:tcW w:type="dxa" w:w="2232"/>
            <w:vAlign w:val="top"/>
          </w:tcPr>
          <w:p>
            <w:pPr>
              <w:spacing w:after="0"/>
            </w:pPr>
            <w:r>
              <w:rPr>
                <w:rFonts w:ascii="Arial" w:hAnsi="Arial"/>
                <w:color w:val="111827"/>
                <w:sz w:val="14"/>
              </w:rPr>
              <w:t>15 minutes</w:t>
            </w:r>
          </w:p>
        </w:tc>
        <w:tc>
          <w:tcPr>
            <w:tcW w:type="dxa" w:w="5616"/>
            <w:vAlign w:val="top"/>
          </w:tcPr>
          <w:p>
            <w:pPr>
              <w:spacing w:after="0"/>
            </w:pPr>
            <w:r>
              <w:rPr>
                <w:rFonts w:ascii="Arial" w:hAnsi="Arial"/>
                <w:color w:val="111827"/>
                <w:sz w:val="14"/>
              </w:rPr>
              <w:t>Use continuous archiving / PITR or managed equivalent.</w:t>
            </w:r>
          </w:p>
        </w:tc>
      </w:tr>
      <w:tr>
        <w:trPr>
          <w:cantSplit/>
        </w:trPr>
        <w:tc>
          <w:tcPr>
            <w:tcW w:type="dxa" w:w="2088"/>
            <w:vAlign w:val="top"/>
            <w:shd w:fill="F9FAFB"/>
          </w:tcPr>
          <w:p>
            <w:pPr>
              <w:spacing w:after="0"/>
            </w:pPr>
            <w:r>
              <w:rPr>
                <w:rFonts w:ascii="Arial" w:hAnsi="Arial"/>
                <w:color w:val="111827"/>
                <w:sz w:val="14"/>
              </w:rPr>
              <w:t>PostgreSQL RTO</w:t>
            </w:r>
          </w:p>
        </w:tc>
        <w:tc>
          <w:tcPr>
            <w:tcW w:type="dxa" w:w="2232"/>
            <w:vAlign w:val="top"/>
            <w:shd w:fill="F9FAFB"/>
          </w:tcPr>
          <w:p>
            <w:pPr>
              <w:spacing w:after="0"/>
            </w:pPr>
            <w:r>
              <w:rPr>
                <w:rFonts w:ascii="Arial" w:hAnsi="Arial"/>
                <w:color w:val="111827"/>
                <w:sz w:val="14"/>
              </w:rPr>
              <w:t>4 hours</w:t>
            </w:r>
          </w:p>
        </w:tc>
        <w:tc>
          <w:tcPr>
            <w:tcW w:type="dxa" w:w="5616"/>
            <w:vAlign w:val="top"/>
            <w:shd w:fill="F9FAFB"/>
          </w:tcPr>
          <w:p>
            <w:pPr>
              <w:spacing w:after="0"/>
            </w:pPr>
            <w:r>
              <w:rPr>
                <w:rFonts w:ascii="Arial" w:hAnsi="Arial"/>
                <w:color w:val="111827"/>
                <w:sz w:val="14"/>
              </w:rPr>
              <w:t>Document restore process and validate at least quarterly.</w:t>
            </w:r>
          </w:p>
        </w:tc>
      </w:tr>
      <w:tr>
        <w:trPr>
          <w:cantSplit/>
        </w:trPr>
        <w:tc>
          <w:tcPr>
            <w:tcW w:type="dxa" w:w="2088"/>
            <w:vAlign w:val="top"/>
          </w:tcPr>
          <w:p>
            <w:pPr>
              <w:spacing w:after="0"/>
            </w:pPr>
            <w:r>
              <w:rPr>
                <w:rFonts w:ascii="Arial" w:hAnsi="Arial"/>
                <w:color w:val="111827"/>
                <w:sz w:val="14"/>
              </w:rPr>
              <w:t>Object storage RPO</w:t>
            </w:r>
          </w:p>
        </w:tc>
        <w:tc>
          <w:tcPr>
            <w:tcW w:type="dxa" w:w="2232"/>
            <w:vAlign w:val="top"/>
          </w:tcPr>
          <w:p>
            <w:pPr>
              <w:spacing w:after="0"/>
            </w:pPr>
            <w:r>
              <w:rPr>
                <w:rFonts w:ascii="Arial" w:hAnsi="Arial"/>
                <w:color w:val="111827"/>
                <w:sz w:val="14"/>
              </w:rPr>
              <w:t>Near zero for completed uploads</w:t>
            </w:r>
          </w:p>
        </w:tc>
        <w:tc>
          <w:tcPr>
            <w:tcW w:type="dxa" w:w="5616"/>
            <w:vAlign w:val="top"/>
          </w:tcPr>
          <w:p>
            <w:pPr>
              <w:spacing w:after="0"/>
            </w:pPr>
            <w:r>
              <w:rPr>
                <w:rFonts w:ascii="Arial" w:hAnsi="Arial"/>
                <w:color w:val="111827"/>
                <w:sz w:val="14"/>
              </w:rPr>
              <w:t>Enable provider durability, versioning for critical classes, and replication if required.</w:t>
            </w:r>
          </w:p>
        </w:tc>
      </w:tr>
      <w:tr>
        <w:trPr>
          <w:cantSplit/>
        </w:trPr>
        <w:tc>
          <w:tcPr>
            <w:tcW w:type="dxa" w:w="2088"/>
            <w:vAlign w:val="top"/>
            <w:shd w:fill="F9FAFB"/>
          </w:tcPr>
          <w:p>
            <w:pPr>
              <w:spacing w:after="0"/>
            </w:pPr>
            <w:r>
              <w:rPr>
                <w:rFonts w:ascii="Arial" w:hAnsi="Arial"/>
                <w:color w:val="111827"/>
                <w:sz w:val="14"/>
              </w:rPr>
              <w:t>Application recovery</w:t>
            </w:r>
          </w:p>
        </w:tc>
        <w:tc>
          <w:tcPr>
            <w:tcW w:type="dxa" w:w="2232"/>
            <w:vAlign w:val="top"/>
            <w:shd w:fill="F9FAFB"/>
          </w:tcPr>
          <w:p>
            <w:pPr>
              <w:spacing w:after="0"/>
            </w:pPr>
            <w:r>
              <w:rPr>
                <w:rFonts w:ascii="Arial" w:hAnsi="Arial"/>
                <w:color w:val="111827"/>
                <w:sz w:val="14"/>
              </w:rPr>
              <w:t>2 hours</w:t>
            </w:r>
          </w:p>
        </w:tc>
        <w:tc>
          <w:tcPr>
            <w:tcW w:type="dxa" w:w="5616"/>
            <w:vAlign w:val="top"/>
            <w:shd w:fill="F9FAFB"/>
          </w:tcPr>
          <w:p>
            <w:pPr>
              <w:spacing w:after="0"/>
            </w:pPr>
            <w:r>
              <w:rPr>
                <w:rFonts w:ascii="Arial" w:hAnsi="Arial"/>
                <w:color w:val="111827"/>
                <w:sz w:val="14"/>
              </w:rPr>
              <w:t>Rebuild from immutable images and configuration.</w:t>
            </w:r>
          </w:p>
        </w:tc>
      </w:tr>
      <w:tr>
        <w:trPr>
          <w:cantSplit/>
        </w:trPr>
        <w:tc>
          <w:tcPr>
            <w:tcW w:type="dxa" w:w="2088"/>
            <w:vAlign w:val="top"/>
          </w:tcPr>
          <w:p>
            <w:pPr>
              <w:spacing w:after="0"/>
            </w:pPr>
            <w:r>
              <w:rPr>
                <w:rFonts w:ascii="Arial" w:hAnsi="Arial"/>
                <w:color w:val="111827"/>
                <w:sz w:val="14"/>
              </w:rPr>
              <w:t>Redis</w:t>
            </w:r>
          </w:p>
        </w:tc>
        <w:tc>
          <w:tcPr>
            <w:tcW w:type="dxa" w:w="2232"/>
            <w:vAlign w:val="top"/>
          </w:tcPr>
          <w:p>
            <w:pPr>
              <w:spacing w:after="0"/>
            </w:pPr>
            <w:r>
              <w:rPr>
                <w:rFonts w:ascii="Arial" w:hAnsi="Arial"/>
                <w:color w:val="111827"/>
                <w:sz w:val="14"/>
              </w:rPr>
              <w:t>No authoritative RPO</w:t>
            </w:r>
          </w:p>
        </w:tc>
        <w:tc>
          <w:tcPr>
            <w:tcW w:type="dxa" w:w="5616"/>
            <w:vAlign w:val="top"/>
          </w:tcPr>
          <w:p>
            <w:pPr>
              <w:spacing w:after="0"/>
            </w:pPr>
            <w:r>
              <w:rPr>
                <w:rFonts w:ascii="Arial" w:hAnsi="Arial"/>
                <w:color w:val="111827"/>
                <w:sz w:val="14"/>
              </w:rPr>
              <w:t>Queues may use persistence, but business state must remain recoverable from PostgreSQL/outbox.</w:t>
            </w:r>
          </w:p>
        </w:tc>
      </w:tr>
      <w:tr>
        <w:trPr>
          <w:cantSplit/>
        </w:trPr>
        <w:tc>
          <w:tcPr>
            <w:tcW w:type="dxa" w:w="2088"/>
            <w:vAlign w:val="top"/>
            <w:shd w:fill="F9FAFB"/>
          </w:tcPr>
          <w:p>
            <w:pPr>
              <w:spacing w:after="0"/>
            </w:pPr>
            <w:r>
              <w:rPr>
                <w:rFonts w:ascii="Arial" w:hAnsi="Arial"/>
                <w:color w:val="111827"/>
                <w:sz w:val="14"/>
              </w:rPr>
              <w:t>Backup retention</w:t>
            </w:r>
          </w:p>
        </w:tc>
        <w:tc>
          <w:tcPr>
            <w:tcW w:type="dxa" w:w="2232"/>
            <w:vAlign w:val="top"/>
            <w:shd w:fill="F9FAFB"/>
          </w:tcPr>
          <w:p>
            <w:pPr>
              <w:spacing w:after="0"/>
            </w:pPr>
            <w:r>
              <w:rPr>
                <w:rFonts w:ascii="Arial" w:hAnsi="Arial"/>
                <w:color w:val="111827"/>
                <w:sz w:val="14"/>
              </w:rPr>
              <w:t>Policy-dependent</w:t>
            </w:r>
          </w:p>
        </w:tc>
        <w:tc>
          <w:tcPr>
            <w:tcW w:type="dxa" w:w="5616"/>
            <w:vAlign w:val="top"/>
            <w:shd w:fill="F9FAFB"/>
          </w:tcPr>
          <w:p>
            <w:pPr>
              <w:spacing w:after="0"/>
            </w:pPr>
            <w:r>
              <w:rPr>
                <w:rFonts w:ascii="Arial" w:hAnsi="Arial"/>
                <w:color w:val="111827"/>
                <w:sz w:val="14"/>
              </w:rPr>
              <w:t>Daily, weekly, and monthly retention tiers with encryption and access review.</w:t>
            </w:r>
          </w:p>
        </w:tc>
      </w:tr>
    </w:tbl>
    <w:p>
      <w:pPr>
        <w:spacing w:after="0"/>
      </w:pPr>
    </w:p>
    <w:p>
      <w:pPr>
        <w:pStyle w:val="ListBullet"/>
      </w:pPr>
      <w:r>
        <w:rPr>
          <w:rFonts w:ascii="Arial" w:hAnsi="Arial"/>
        </w:rPr>
        <w:t>Backup success notifications do not prove recoverability. A restore test SHALL verify database consistency, application startup, file references, permissions, and key workflows.</w:t>
      </w:r>
    </w:p>
    <w:p>
      <w:pPr>
        <w:pStyle w:val="ListBullet"/>
      </w:pPr>
      <w:r>
        <w:rPr>
          <w:rFonts w:ascii="Arial" w:hAnsi="Arial"/>
        </w:rPr>
        <w:t>Store backups in a separate failure domain and restrict restore permission to authorized administrators.</w:t>
      </w:r>
    </w:p>
    <w:p>
      <w:pPr>
        <w:pStyle w:val="ListBullet"/>
      </w:pPr>
      <w:r>
        <w:rPr>
          <w:rFonts w:ascii="Arial" w:hAnsi="Arial"/>
        </w:rPr>
        <w:t>Document deletion and retention SHALL coordinate PostgreSQL metadata, object versions, search indexes, exports, and backups according to policy.</w:t>
      </w:r>
    </w:p>
    <w:p>
      <w:pPr>
        <w:pStyle w:val="ListBullet"/>
      </w:pPr>
      <w:r>
        <w:rPr>
          <w:rFonts w:ascii="Arial" w:hAnsi="Arial"/>
        </w:rPr>
        <w:t>Disaster-recovery runbooks SHALL identify owners, contacts, credentials process, communication steps, validation queries, and return-to-service criteria.</w:t>
      </w:r>
    </w:p>
    <w:p>
      <w:pPr>
        <w:pStyle w:val="Heading1"/>
      </w:pPr>
      <w:r>
        <w:t>22. Performance, Capacity, and Scalability</w:t>
      </w:r>
    </w:p>
    <w:p>
      <w:r>
        <w:rPr>
          <w:rFonts w:ascii="Arial" w:hAnsi="Arial"/>
        </w:rPr>
        <w:t>The following are initial engineering targets for architecture and test design. They SHALL be confirmed with expected user counts, candidate volume, file volume, and report usage before production acceptance.</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952"/>
            <w:shd w:fill="5B21B6"/>
            <w:vAlign w:val="center"/>
          </w:tcPr>
          <w:p>
            <w:pPr>
              <w:jc w:val="left"/>
            </w:pPr>
            <w:r>
              <w:rPr>
                <w:rFonts w:ascii="Arial" w:hAnsi="Arial"/>
                <w:b/>
                <w:color w:val="FFFFFF"/>
                <w:sz w:val="14"/>
              </w:rPr>
              <w:t>Target</w:t>
            </w:r>
          </w:p>
        </w:tc>
        <w:tc>
          <w:tcPr>
            <w:tcW w:type="dxa" w:w="6984"/>
            <w:shd w:fill="5B21B6"/>
            <w:vAlign w:val="center"/>
          </w:tcPr>
          <w:p>
            <w:pPr>
              <w:jc w:val="left"/>
            </w:pPr>
            <w:r>
              <w:rPr>
                <w:rFonts w:ascii="Arial" w:hAnsi="Arial"/>
                <w:b/>
                <w:color w:val="FFFFFF"/>
                <w:sz w:val="14"/>
              </w:rPr>
              <w:t>Initial Objective</w:t>
            </w:r>
          </w:p>
        </w:tc>
      </w:tr>
      <w:tr>
        <w:trPr>
          <w:cantSplit/>
        </w:trPr>
        <w:tc>
          <w:tcPr>
            <w:tcW w:type="dxa" w:w="2952"/>
            <w:vAlign w:val="top"/>
          </w:tcPr>
          <w:p>
            <w:pPr>
              <w:spacing w:after="0"/>
            </w:pPr>
            <w:r>
              <w:rPr>
                <w:rFonts w:ascii="Arial" w:hAnsi="Arial"/>
                <w:color w:val="111827"/>
                <w:sz w:val="14"/>
              </w:rPr>
              <w:t>Interactive read API p95</w:t>
            </w:r>
          </w:p>
        </w:tc>
        <w:tc>
          <w:tcPr>
            <w:tcW w:type="dxa" w:w="6984"/>
            <w:vAlign w:val="top"/>
          </w:tcPr>
          <w:p>
            <w:pPr>
              <w:spacing w:after="0"/>
            </w:pPr>
            <w:r>
              <w:rPr>
                <w:rFonts w:ascii="Arial" w:hAnsi="Arial"/>
                <w:color w:val="111827"/>
                <w:sz w:val="14"/>
              </w:rPr>
              <w:t>&lt;= 500 ms excluding external integrations and large exports.</w:t>
            </w:r>
          </w:p>
        </w:tc>
      </w:tr>
      <w:tr>
        <w:trPr>
          <w:cantSplit/>
        </w:trPr>
        <w:tc>
          <w:tcPr>
            <w:tcW w:type="dxa" w:w="2952"/>
            <w:vAlign w:val="top"/>
            <w:shd w:fill="F9FAFB"/>
          </w:tcPr>
          <w:p>
            <w:pPr>
              <w:spacing w:after="0"/>
            </w:pPr>
            <w:r>
              <w:rPr>
                <w:rFonts w:ascii="Arial" w:hAnsi="Arial"/>
                <w:color w:val="111827"/>
                <w:sz w:val="14"/>
              </w:rPr>
              <w:t>Interactive mutation API p95</w:t>
            </w:r>
          </w:p>
        </w:tc>
        <w:tc>
          <w:tcPr>
            <w:tcW w:type="dxa" w:w="6984"/>
            <w:vAlign w:val="top"/>
            <w:shd w:fill="F9FAFB"/>
          </w:tcPr>
          <w:p>
            <w:pPr>
              <w:spacing w:after="0"/>
            </w:pPr>
            <w:r>
              <w:rPr>
                <w:rFonts w:ascii="Arial" w:hAnsi="Arial"/>
                <w:color w:val="111827"/>
                <w:sz w:val="14"/>
              </w:rPr>
              <w:t>&lt;= 800 ms excluding asynchronous work.</w:t>
            </w:r>
          </w:p>
        </w:tc>
      </w:tr>
      <w:tr>
        <w:trPr>
          <w:cantSplit/>
        </w:trPr>
        <w:tc>
          <w:tcPr>
            <w:tcW w:type="dxa" w:w="2952"/>
            <w:vAlign w:val="top"/>
          </w:tcPr>
          <w:p>
            <w:pPr>
              <w:spacing w:after="0"/>
            </w:pPr>
            <w:r>
              <w:rPr>
                <w:rFonts w:ascii="Arial" w:hAnsi="Arial"/>
                <w:color w:val="111827"/>
                <w:sz w:val="14"/>
              </w:rPr>
              <w:t>List screen first page</w:t>
            </w:r>
          </w:p>
        </w:tc>
        <w:tc>
          <w:tcPr>
            <w:tcW w:type="dxa" w:w="6984"/>
            <w:vAlign w:val="top"/>
          </w:tcPr>
          <w:p>
            <w:pPr>
              <w:spacing w:after="0"/>
            </w:pPr>
            <w:r>
              <w:rPr>
                <w:rFonts w:ascii="Arial" w:hAnsi="Arial"/>
                <w:color w:val="111827"/>
                <w:sz w:val="14"/>
              </w:rPr>
              <w:t>&lt;= 1.5 seconds at agreed production-like data volume.</w:t>
            </w:r>
          </w:p>
        </w:tc>
      </w:tr>
      <w:tr>
        <w:trPr>
          <w:cantSplit/>
        </w:trPr>
        <w:tc>
          <w:tcPr>
            <w:tcW w:type="dxa" w:w="2952"/>
            <w:vAlign w:val="top"/>
            <w:shd w:fill="F9FAFB"/>
          </w:tcPr>
          <w:p>
            <w:pPr>
              <w:spacing w:after="0"/>
            </w:pPr>
            <w:r>
              <w:rPr>
                <w:rFonts w:ascii="Arial" w:hAnsi="Arial"/>
                <w:color w:val="111827"/>
                <w:sz w:val="14"/>
              </w:rPr>
              <w:t>Search response p95</w:t>
            </w:r>
          </w:p>
        </w:tc>
        <w:tc>
          <w:tcPr>
            <w:tcW w:type="dxa" w:w="6984"/>
            <w:vAlign w:val="top"/>
            <w:shd w:fill="F9FAFB"/>
          </w:tcPr>
          <w:p>
            <w:pPr>
              <w:spacing w:after="0"/>
            </w:pPr>
            <w:r>
              <w:rPr>
                <w:rFonts w:ascii="Arial" w:hAnsi="Arial"/>
                <w:color w:val="111827"/>
                <w:sz w:val="14"/>
              </w:rPr>
              <w:t>&lt;= 2 seconds for supported search fields and filters.</w:t>
            </w:r>
          </w:p>
        </w:tc>
      </w:tr>
      <w:tr>
        <w:trPr>
          <w:cantSplit/>
        </w:trPr>
        <w:tc>
          <w:tcPr>
            <w:tcW w:type="dxa" w:w="2952"/>
            <w:vAlign w:val="top"/>
          </w:tcPr>
          <w:p>
            <w:pPr>
              <w:spacing w:after="0"/>
            </w:pPr>
            <w:r>
              <w:rPr>
                <w:rFonts w:ascii="Arial" w:hAnsi="Arial"/>
                <w:color w:val="111827"/>
                <w:sz w:val="14"/>
              </w:rPr>
              <w:t>Upload initiation</w:t>
            </w:r>
          </w:p>
        </w:tc>
        <w:tc>
          <w:tcPr>
            <w:tcW w:type="dxa" w:w="6984"/>
            <w:vAlign w:val="top"/>
          </w:tcPr>
          <w:p>
            <w:pPr>
              <w:spacing w:after="0"/>
            </w:pPr>
            <w:r>
              <w:rPr>
                <w:rFonts w:ascii="Arial" w:hAnsi="Arial"/>
                <w:color w:val="111827"/>
                <w:sz w:val="14"/>
              </w:rPr>
              <w:t>&lt;= 500 ms; binary upload goes directly to object storage.</w:t>
            </w:r>
          </w:p>
        </w:tc>
      </w:tr>
      <w:tr>
        <w:trPr>
          <w:cantSplit/>
        </w:trPr>
        <w:tc>
          <w:tcPr>
            <w:tcW w:type="dxa" w:w="2952"/>
            <w:vAlign w:val="top"/>
            <w:shd w:fill="F9FAFB"/>
          </w:tcPr>
          <w:p>
            <w:pPr>
              <w:spacing w:after="0"/>
            </w:pPr>
            <w:r>
              <w:rPr>
                <w:rFonts w:ascii="Arial" w:hAnsi="Arial"/>
                <w:color w:val="111827"/>
                <w:sz w:val="14"/>
              </w:rPr>
              <w:t>Bulk import</w:t>
            </w:r>
          </w:p>
        </w:tc>
        <w:tc>
          <w:tcPr>
            <w:tcW w:type="dxa" w:w="6984"/>
            <w:vAlign w:val="top"/>
            <w:shd w:fill="F9FAFB"/>
          </w:tcPr>
          <w:p>
            <w:pPr>
              <w:spacing w:after="0"/>
            </w:pPr>
            <w:r>
              <w:rPr>
                <w:rFonts w:ascii="Arial" w:hAnsi="Arial"/>
                <w:color w:val="111827"/>
                <w:sz w:val="14"/>
              </w:rPr>
              <w:t>Asynchronous with progress; no browser request held open for processing.</w:t>
            </w:r>
          </w:p>
        </w:tc>
      </w:tr>
      <w:tr>
        <w:trPr>
          <w:cantSplit/>
        </w:trPr>
        <w:tc>
          <w:tcPr>
            <w:tcW w:type="dxa" w:w="2952"/>
            <w:vAlign w:val="top"/>
          </w:tcPr>
          <w:p>
            <w:pPr>
              <w:spacing w:after="0"/>
            </w:pPr>
            <w:r>
              <w:rPr>
                <w:rFonts w:ascii="Arial" w:hAnsi="Arial"/>
                <w:color w:val="111827"/>
                <w:sz w:val="14"/>
              </w:rPr>
              <w:t>Concurrent users</w:t>
            </w:r>
          </w:p>
        </w:tc>
        <w:tc>
          <w:tcPr>
            <w:tcW w:type="dxa" w:w="6984"/>
            <w:vAlign w:val="top"/>
          </w:tcPr>
          <w:p>
            <w:pPr>
              <w:spacing w:after="0"/>
            </w:pPr>
            <w:r>
              <w:rPr>
                <w:rFonts w:ascii="Arial" w:hAnsi="Arial"/>
                <w:color w:val="111827"/>
                <w:sz w:val="14"/>
              </w:rPr>
              <w:t>Design baseline 200 active users; validate actual target during capacity planning.</w:t>
            </w:r>
          </w:p>
        </w:tc>
      </w:tr>
      <w:tr>
        <w:trPr>
          <w:cantSplit/>
        </w:trPr>
        <w:tc>
          <w:tcPr>
            <w:tcW w:type="dxa" w:w="2952"/>
            <w:vAlign w:val="top"/>
            <w:shd w:fill="F9FAFB"/>
          </w:tcPr>
          <w:p>
            <w:pPr>
              <w:spacing w:after="0"/>
            </w:pPr>
            <w:r>
              <w:rPr>
                <w:rFonts w:ascii="Arial" w:hAnsi="Arial"/>
                <w:color w:val="111827"/>
                <w:sz w:val="14"/>
              </w:rPr>
              <w:t>Candidate scale</w:t>
            </w:r>
          </w:p>
        </w:tc>
        <w:tc>
          <w:tcPr>
            <w:tcW w:type="dxa" w:w="6984"/>
            <w:vAlign w:val="top"/>
            <w:shd w:fill="F9FAFB"/>
          </w:tcPr>
          <w:p>
            <w:pPr>
              <w:spacing w:after="0"/>
            </w:pPr>
            <w:r>
              <w:rPr>
                <w:rFonts w:ascii="Arial" w:hAnsi="Arial"/>
                <w:color w:val="111827"/>
                <w:sz w:val="14"/>
              </w:rPr>
              <w:t>Schema and indexes should support at least 1 million candidates without redesign; infrastructure sizing must be tested.</w:t>
            </w:r>
          </w:p>
        </w:tc>
      </w:tr>
      <w:tr>
        <w:trPr>
          <w:cantSplit/>
        </w:trPr>
        <w:tc>
          <w:tcPr>
            <w:tcW w:type="dxa" w:w="2952"/>
            <w:vAlign w:val="top"/>
          </w:tcPr>
          <w:p>
            <w:pPr>
              <w:spacing w:after="0"/>
            </w:pPr>
            <w:r>
              <w:rPr>
                <w:rFonts w:ascii="Arial" w:hAnsi="Arial"/>
                <w:color w:val="111827"/>
                <w:sz w:val="14"/>
              </w:rPr>
              <w:t>Availability</w:t>
            </w:r>
          </w:p>
        </w:tc>
        <w:tc>
          <w:tcPr>
            <w:tcW w:type="dxa" w:w="6984"/>
            <w:vAlign w:val="top"/>
          </w:tcPr>
          <w:p>
            <w:pPr>
              <w:spacing w:after="0"/>
            </w:pPr>
            <w:r>
              <w:rPr>
                <w:rFonts w:ascii="Arial" w:hAnsi="Arial"/>
                <w:color w:val="111827"/>
                <w:sz w:val="14"/>
              </w:rPr>
              <w:t>Initial target 99.5% monthly excluding approved maintenance; revise after business SLA approval.</w:t>
            </w:r>
          </w:p>
        </w:tc>
      </w:tr>
    </w:tbl>
    <w:p>
      <w:pPr>
        <w:spacing w:after="0"/>
      </w:pPr>
    </w:p>
    <w:p>
      <w:pPr>
        <w:pStyle w:val="ListBullet"/>
      </w:pPr>
      <w:r>
        <w:rPr>
          <w:rFonts w:ascii="Arial" w:hAnsi="Arial"/>
        </w:rPr>
        <w:t>Scale API and workers horizontally before decomposing into microservices.</w:t>
      </w:r>
    </w:p>
    <w:p>
      <w:pPr>
        <w:pStyle w:val="ListBullet"/>
      </w:pPr>
      <w:r>
        <w:rPr>
          <w:rFonts w:ascii="Arial" w:hAnsi="Arial"/>
        </w:rPr>
        <w:t>Use connection pooling and bounded worker concurrency to protect PostgreSQL and providers.</w:t>
      </w:r>
    </w:p>
    <w:p>
      <w:pPr>
        <w:pStyle w:val="ListBullet"/>
      </w:pPr>
      <w:r>
        <w:rPr>
          <w:rFonts w:ascii="Arial" w:hAnsi="Arial"/>
        </w:rPr>
        <w:t>Introduce caching only after measuring repeated expensive reads and defining invalidation. Cache authorization-sensitive data conservatively.</w:t>
      </w:r>
    </w:p>
    <w:p>
      <w:pPr>
        <w:pStyle w:val="ListBullet"/>
      </w:pPr>
      <w:r>
        <w:rPr>
          <w:rFonts w:ascii="Arial" w:hAnsi="Arial"/>
        </w:rPr>
        <w:t>Use materialized views or read replicas for heavy analytics before adding a second search or analytics database.</w:t>
      </w:r>
    </w:p>
    <w:p>
      <w:pPr>
        <w:pStyle w:val="ListBullet"/>
      </w:pPr>
      <w:r>
        <w:rPr>
          <w:rFonts w:ascii="Arial" w:hAnsi="Arial"/>
        </w:rPr>
        <w:t>Every optimization SHALL retain correctness, permission enforcement, and audit behavior.</w:t>
      </w:r>
    </w:p>
    <w:p>
      <w:pPr>
        <w:pStyle w:val="Heading1"/>
      </w:pPr>
      <w:r>
        <w:t>23. Coding Standards and Git Workflow</w:t>
      </w:r>
    </w:p>
    <w:p>
      <w:pPr>
        <w:pStyle w:val="Heading2"/>
      </w:pPr>
      <w:r>
        <w:t>23.1 TypeScript</w:t>
      </w:r>
    </w:p>
    <w:p>
      <w:pPr>
        <w:pStyle w:val="ListBullet"/>
      </w:pPr>
      <w:r>
        <w:rPr>
          <w:rFonts w:ascii="Arial" w:hAnsi="Arial"/>
        </w:rPr>
        <w:t>Enable strict, noImplicitOverride, noUncheckedIndexedAccess, and exactOptionalPropertyTypes unless an approved compatibility issue prevents one setting.</w:t>
      </w:r>
    </w:p>
    <w:p>
      <w:pPr>
        <w:pStyle w:val="ListBullet"/>
      </w:pPr>
      <w:r>
        <w:rPr>
          <w:rFonts w:ascii="Arial" w:hAnsi="Arial"/>
        </w:rPr>
        <w:t>Avoid any. Use unknown at boundaries and validate before narrowing.</w:t>
      </w:r>
    </w:p>
    <w:p>
      <w:pPr>
        <w:pStyle w:val="ListBullet"/>
      </w:pPr>
      <w:r>
        <w:rPr>
          <w:rFonts w:ascii="Arial" w:hAnsi="Arial"/>
        </w:rPr>
        <w:t>Use domain-specific types for IDs, money, status, and permission codes where they prevent accidental misuse.</w:t>
      </w:r>
    </w:p>
    <w:p>
      <w:pPr>
        <w:pStyle w:val="ListBullet"/>
      </w:pPr>
      <w:r>
        <w:rPr>
          <w:rFonts w:ascii="Arial" w:hAnsi="Arial"/>
        </w:rPr>
        <w:t>Public functions and complex policy decisions SHOULD include concise documentation of intent, not line-by-line narration.</w:t>
      </w:r>
    </w:p>
    <w:p>
      <w:pPr>
        <w:pStyle w:val="ListBullet"/>
      </w:pPr>
      <w:r>
        <w:rPr>
          <w:rFonts w:ascii="Arial" w:hAnsi="Arial"/>
        </w:rPr>
        <w:t>Use UTC-aware date utilities and never rely on implicit browser/server timezone conversion.</w:t>
      </w:r>
    </w:p>
    <w:p>
      <w:pPr>
        <w:pStyle w:val="Heading2"/>
      </w:pPr>
      <w:r>
        <w:t>23.2 Naming</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2232"/>
            <w:shd w:fill="5B21B6"/>
            <w:vAlign w:val="center"/>
          </w:tcPr>
          <w:p>
            <w:pPr>
              <w:jc w:val="left"/>
            </w:pPr>
            <w:r>
              <w:rPr>
                <w:rFonts w:ascii="Arial" w:hAnsi="Arial"/>
                <w:b/>
                <w:color w:val="FFFFFF"/>
                <w:sz w:val="14"/>
              </w:rPr>
              <w:t>Artifact</w:t>
            </w:r>
          </w:p>
        </w:tc>
        <w:tc>
          <w:tcPr>
            <w:tcW w:type="dxa" w:w="2880"/>
            <w:shd w:fill="5B21B6"/>
            <w:vAlign w:val="center"/>
          </w:tcPr>
          <w:p>
            <w:pPr>
              <w:jc w:val="left"/>
            </w:pPr>
            <w:r>
              <w:rPr>
                <w:rFonts w:ascii="Arial" w:hAnsi="Arial"/>
                <w:b/>
                <w:color w:val="FFFFFF"/>
                <w:sz w:val="14"/>
              </w:rPr>
              <w:t>Convention</w:t>
            </w:r>
          </w:p>
        </w:tc>
        <w:tc>
          <w:tcPr>
            <w:tcW w:type="dxa" w:w="4824"/>
            <w:shd w:fill="5B21B6"/>
            <w:vAlign w:val="center"/>
          </w:tcPr>
          <w:p>
            <w:pPr>
              <w:jc w:val="left"/>
            </w:pPr>
            <w:r>
              <w:rPr>
                <w:rFonts w:ascii="Arial" w:hAnsi="Arial"/>
                <w:b/>
                <w:color w:val="FFFFFF"/>
                <w:sz w:val="14"/>
              </w:rPr>
              <w:t>Example</w:t>
            </w:r>
          </w:p>
        </w:tc>
      </w:tr>
      <w:tr>
        <w:trPr>
          <w:cantSplit/>
        </w:trPr>
        <w:tc>
          <w:tcPr>
            <w:tcW w:type="dxa" w:w="2232"/>
            <w:vAlign w:val="top"/>
          </w:tcPr>
          <w:p>
            <w:pPr>
              <w:spacing w:after="0"/>
            </w:pPr>
            <w:r>
              <w:rPr>
                <w:rFonts w:ascii="Arial" w:hAnsi="Arial"/>
                <w:color w:val="111827"/>
                <w:sz w:val="14"/>
              </w:rPr>
              <w:t>Database table / column</w:t>
            </w:r>
          </w:p>
        </w:tc>
        <w:tc>
          <w:tcPr>
            <w:tcW w:type="dxa" w:w="2880"/>
            <w:vAlign w:val="top"/>
          </w:tcPr>
          <w:p>
            <w:pPr>
              <w:spacing w:after="0"/>
            </w:pPr>
            <w:r>
              <w:rPr>
                <w:rFonts w:ascii="Arial" w:hAnsi="Arial"/>
                <w:color w:val="111827"/>
                <w:sz w:val="14"/>
              </w:rPr>
              <w:t>snake_case plural tables</w:t>
            </w:r>
          </w:p>
        </w:tc>
        <w:tc>
          <w:tcPr>
            <w:tcW w:type="dxa" w:w="4824"/>
            <w:vAlign w:val="top"/>
          </w:tcPr>
          <w:p>
            <w:pPr>
              <w:spacing w:after="0"/>
            </w:pPr>
            <w:r>
              <w:rPr>
                <w:rFonts w:ascii="Arial" w:hAnsi="Arial"/>
                <w:color w:val="111827"/>
                <w:sz w:val="14"/>
              </w:rPr>
              <w:t>offer_versions, accepted_at</w:t>
            </w:r>
          </w:p>
        </w:tc>
      </w:tr>
      <w:tr>
        <w:trPr>
          <w:cantSplit/>
        </w:trPr>
        <w:tc>
          <w:tcPr>
            <w:tcW w:type="dxa" w:w="2232"/>
            <w:vAlign w:val="top"/>
            <w:shd w:fill="F9FAFB"/>
          </w:tcPr>
          <w:p>
            <w:pPr>
              <w:spacing w:after="0"/>
            </w:pPr>
            <w:r>
              <w:rPr>
                <w:rFonts w:ascii="Arial" w:hAnsi="Arial"/>
                <w:color w:val="111827"/>
                <w:sz w:val="14"/>
              </w:rPr>
              <w:t>TypeScript variable / function</w:t>
            </w:r>
          </w:p>
        </w:tc>
        <w:tc>
          <w:tcPr>
            <w:tcW w:type="dxa" w:w="2880"/>
            <w:vAlign w:val="top"/>
            <w:shd w:fill="F9FAFB"/>
          </w:tcPr>
          <w:p>
            <w:pPr>
              <w:spacing w:after="0"/>
            </w:pPr>
            <w:r>
              <w:rPr>
                <w:rFonts w:ascii="Arial" w:hAnsi="Arial"/>
                <w:color w:val="111827"/>
                <w:sz w:val="14"/>
              </w:rPr>
              <w:t>camelCase</w:t>
            </w:r>
          </w:p>
        </w:tc>
        <w:tc>
          <w:tcPr>
            <w:tcW w:type="dxa" w:w="4824"/>
            <w:vAlign w:val="top"/>
            <w:shd w:fill="F9FAFB"/>
          </w:tcPr>
          <w:p>
            <w:pPr>
              <w:spacing w:after="0"/>
            </w:pPr>
            <w:r>
              <w:rPr>
                <w:rFonts w:ascii="Arial" w:hAnsi="Arial"/>
                <w:color w:val="111827"/>
                <w:sz w:val="14"/>
              </w:rPr>
              <w:t>currentTaskOwner, createOfferVersion</w:t>
            </w:r>
          </w:p>
        </w:tc>
      </w:tr>
      <w:tr>
        <w:trPr>
          <w:cantSplit/>
        </w:trPr>
        <w:tc>
          <w:tcPr>
            <w:tcW w:type="dxa" w:w="2232"/>
            <w:vAlign w:val="top"/>
          </w:tcPr>
          <w:p>
            <w:pPr>
              <w:spacing w:after="0"/>
            </w:pPr>
            <w:r>
              <w:rPr>
                <w:rFonts w:ascii="Arial" w:hAnsi="Arial"/>
                <w:color w:val="111827"/>
                <w:sz w:val="14"/>
              </w:rPr>
              <w:t>Class / component / type</w:t>
            </w:r>
          </w:p>
        </w:tc>
        <w:tc>
          <w:tcPr>
            <w:tcW w:type="dxa" w:w="2880"/>
            <w:vAlign w:val="top"/>
          </w:tcPr>
          <w:p>
            <w:pPr>
              <w:spacing w:after="0"/>
            </w:pPr>
            <w:r>
              <w:rPr>
                <w:rFonts w:ascii="Arial" w:hAnsi="Arial"/>
                <w:color w:val="111827"/>
                <w:sz w:val="14"/>
              </w:rPr>
              <w:t>PascalCase</w:t>
            </w:r>
          </w:p>
        </w:tc>
        <w:tc>
          <w:tcPr>
            <w:tcW w:type="dxa" w:w="4824"/>
            <w:vAlign w:val="top"/>
          </w:tcPr>
          <w:p>
            <w:pPr>
              <w:spacing w:after="0"/>
            </w:pPr>
            <w:r>
              <w:rPr>
                <w:rFonts w:ascii="Arial" w:hAnsi="Arial"/>
                <w:color w:val="111827"/>
                <w:sz w:val="14"/>
              </w:rPr>
              <w:t>VacancyPolicy, OfferBreakdown</w:t>
            </w:r>
          </w:p>
        </w:tc>
      </w:tr>
      <w:tr>
        <w:trPr>
          <w:cantSplit/>
        </w:trPr>
        <w:tc>
          <w:tcPr>
            <w:tcW w:type="dxa" w:w="2232"/>
            <w:vAlign w:val="top"/>
            <w:shd w:fill="F9FAFB"/>
          </w:tcPr>
          <w:p>
            <w:pPr>
              <w:spacing w:after="0"/>
            </w:pPr>
            <w:r>
              <w:rPr>
                <w:rFonts w:ascii="Arial" w:hAnsi="Arial"/>
                <w:color w:val="111827"/>
                <w:sz w:val="14"/>
              </w:rPr>
              <w:t>Route</w:t>
            </w:r>
          </w:p>
        </w:tc>
        <w:tc>
          <w:tcPr>
            <w:tcW w:type="dxa" w:w="2880"/>
            <w:vAlign w:val="top"/>
            <w:shd w:fill="F9FAFB"/>
          </w:tcPr>
          <w:p>
            <w:pPr>
              <w:spacing w:after="0"/>
            </w:pPr>
            <w:r>
              <w:rPr>
                <w:rFonts w:ascii="Arial" w:hAnsi="Arial"/>
                <w:color w:val="111827"/>
                <w:sz w:val="14"/>
              </w:rPr>
              <w:t>kebab-case plural noun</w:t>
            </w:r>
          </w:p>
        </w:tc>
        <w:tc>
          <w:tcPr>
            <w:tcW w:type="dxa" w:w="4824"/>
            <w:vAlign w:val="top"/>
            <w:shd w:fill="F9FAFB"/>
          </w:tcPr>
          <w:p>
            <w:pPr>
              <w:spacing w:after="0"/>
            </w:pPr>
            <w:r>
              <w:rPr>
                <w:rFonts w:ascii="Arial" w:hAnsi="Arial"/>
                <w:color w:val="111827"/>
                <w:sz w:val="14"/>
              </w:rPr>
              <w:t>/vacancy-requests</w:t>
            </w:r>
          </w:p>
        </w:tc>
      </w:tr>
      <w:tr>
        <w:trPr>
          <w:cantSplit/>
        </w:trPr>
        <w:tc>
          <w:tcPr>
            <w:tcW w:type="dxa" w:w="2232"/>
            <w:vAlign w:val="top"/>
          </w:tcPr>
          <w:p>
            <w:pPr>
              <w:spacing w:after="0"/>
            </w:pPr>
            <w:r>
              <w:rPr>
                <w:rFonts w:ascii="Arial" w:hAnsi="Arial"/>
                <w:color w:val="111827"/>
                <w:sz w:val="14"/>
              </w:rPr>
              <w:t>Permission</w:t>
            </w:r>
          </w:p>
        </w:tc>
        <w:tc>
          <w:tcPr>
            <w:tcW w:type="dxa" w:w="2880"/>
            <w:vAlign w:val="top"/>
          </w:tcPr>
          <w:p>
            <w:pPr>
              <w:spacing w:after="0"/>
            </w:pPr>
            <w:r>
              <w:rPr>
                <w:rFonts w:ascii="Arial" w:hAnsi="Arial"/>
                <w:color w:val="111827"/>
                <w:sz w:val="14"/>
              </w:rPr>
              <w:t>domain.action_detail</w:t>
            </w:r>
          </w:p>
        </w:tc>
        <w:tc>
          <w:tcPr>
            <w:tcW w:type="dxa" w:w="4824"/>
            <w:vAlign w:val="top"/>
          </w:tcPr>
          <w:p>
            <w:pPr>
              <w:spacing w:after="0"/>
            </w:pPr>
            <w:r>
              <w:rPr>
                <w:rFonts w:ascii="Arial" w:hAnsi="Arial"/>
                <w:color w:val="111827"/>
                <w:sz w:val="14"/>
              </w:rPr>
              <w:t>offers.view_compensation</w:t>
            </w:r>
          </w:p>
        </w:tc>
      </w:tr>
      <w:tr>
        <w:trPr>
          <w:cantSplit/>
        </w:trPr>
        <w:tc>
          <w:tcPr>
            <w:tcW w:type="dxa" w:w="2232"/>
            <w:vAlign w:val="top"/>
            <w:shd w:fill="F9FAFB"/>
          </w:tcPr>
          <w:p>
            <w:pPr>
              <w:spacing w:after="0"/>
            </w:pPr>
            <w:r>
              <w:rPr>
                <w:rFonts w:ascii="Arial" w:hAnsi="Arial"/>
                <w:color w:val="111827"/>
                <w:sz w:val="14"/>
              </w:rPr>
              <w:t>Domain event</w:t>
            </w:r>
          </w:p>
        </w:tc>
        <w:tc>
          <w:tcPr>
            <w:tcW w:type="dxa" w:w="2880"/>
            <w:vAlign w:val="top"/>
            <w:shd w:fill="F9FAFB"/>
          </w:tcPr>
          <w:p>
            <w:pPr>
              <w:spacing w:after="0"/>
            </w:pPr>
            <w:r>
              <w:rPr>
                <w:rFonts w:ascii="Arial" w:hAnsi="Arial"/>
                <w:color w:val="111827"/>
                <w:sz w:val="14"/>
              </w:rPr>
              <w:t>past-tense dotted name</w:t>
            </w:r>
          </w:p>
        </w:tc>
        <w:tc>
          <w:tcPr>
            <w:tcW w:type="dxa" w:w="4824"/>
            <w:vAlign w:val="top"/>
            <w:shd w:fill="F9FAFB"/>
          </w:tcPr>
          <w:p>
            <w:pPr>
              <w:spacing w:after="0"/>
            </w:pPr>
            <w:r>
              <w:rPr>
                <w:rFonts w:ascii="Arial" w:hAnsi="Arial"/>
                <w:color w:val="111827"/>
                <w:sz w:val="14"/>
              </w:rPr>
              <w:t>offer.version.approved</w:t>
            </w:r>
          </w:p>
        </w:tc>
      </w:tr>
      <w:tr>
        <w:trPr>
          <w:cantSplit/>
        </w:trPr>
        <w:tc>
          <w:tcPr>
            <w:tcW w:type="dxa" w:w="2232"/>
            <w:vAlign w:val="top"/>
          </w:tcPr>
          <w:p>
            <w:pPr>
              <w:spacing w:after="0"/>
            </w:pPr>
            <w:r>
              <w:rPr>
                <w:rFonts w:ascii="Arial" w:hAnsi="Arial"/>
                <w:color w:val="111827"/>
                <w:sz w:val="14"/>
              </w:rPr>
              <w:t>Environment variable</w:t>
            </w:r>
          </w:p>
        </w:tc>
        <w:tc>
          <w:tcPr>
            <w:tcW w:type="dxa" w:w="2880"/>
            <w:vAlign w:val="top"/>
          </w:tcPr>
          <w:p>
            <w:pPr>
              <w:spacing w:after="0"/>
            </w:pPr>
            <w:r>
              <w:rPr>
                <w:rFonts w:ascii="Arial" w:hAnsi="Arial"/>
                <w:color w:val="111827"/>
                <w:sz w:val="14"/>
              </w:rPr>
              <w:t>UPPER_SNAKE_CASE</w:t>
            </w:r>
          </w:p>
        </w:tc>
        <w:tc>
          <w:tcPr>
            <w:tcW w:type="dxa" w:w="4824"/>
            <w:vAlign w:val="top"/>
          </w:tcPr>
          <w:p>
            <w:pPr>
              <w:spacing w:after="0"/>
            </w:pPr>
            <w:r>
              <w:rPr>
                <w:rFonts w:ascii="Arial" w:hAnsi="Arial"/>
                <w:color w:val="111827"/>
                <w:sz w:val="14"/>
              </w:rPr>
              <w:t>DATABASE_URL</w:t>
            </w:r>
          </w:p>
        </w:tc>
      </w:tr>
    </w:tbl>
    <w:p>
      <w:pPr>
        <w:spacing w:after="0"/>
      </w:pPr>
    </w:p>
    <w:p>
      <w:pPr>
        <w:pStyle w:val="Heading2"/>
      </w:pPr>
      <w:r>
        <w:t>23.3 Git Workflow</w:t>
      </w:r>
    </w:p>
    <w:p>
      <w:pPr>
        <w:pStyle w:val="ListBullet"/>
      </w:pPr>
      <w:r>
        <w:rPr>
          <w:rFonts w:ascii="Arial" w:hAnsi="Arial"/>
        </w:rPr>
        <w:t>Use short-lived feature branches and protected main branches.</w:t>
      </w:r>
    </w:p>
    <w:p>
      <w:pPr>
        <w:pStyle w:val="ListBullet"/>
      </w:pPr>
      <w:r>
        <w:rPr>
          <w:rFonts w:ascii="Arial" w:hAnsi="Arial"/>
        </w:rPr>
        <w:t>Pull requests SHALL include summary, business impact, screenshots for UI changes, migration impact, test evidence, security/privacy notes, and rollback considerations.</w:t>
      </w:r>
    </w:p>
    <w:p>
      <w:pPr>
        <w:pStyle w:val="ListBullet"/>
      </w:pPr>
      <w:r>
        <w:rPr>
          <w:rFonts w:ascii="Arial" w:hAnsi="Arial"/>
        </w:rPr>
        <w:t>Require at least one qualified reviewer; sensitive security, migration, and permission changes require a specialist reviewer.</w:t>
      </w:r>
    </w:p>
    <w:p>
      <w:pPr>
        <w:pStyle w:val="ListBullet"/>
      </w:pPr>
      <w:r>
        <w:rPr>
          <w:rFonts w:ascii="Arial" w:hAnsi="Arial"/>
        </w:rPr>
        <w:t>Use Conventional Commit style or an equivalent consistent convention to support release notes.</w:t>
      </w:r>
    </w:p>
    <w:p>
      <w:pPr>
        <w:pStyle w:val="ListBullet"/>
      </w:pPr>
      <w:r>
        <w:rPr>
          <w:rFonts w:ascii="Arial" w:hAnsi="Arial"/>
        </w:rPr>
        <w:t>Do not commit generated exports, production data, secrets, personal data, or local storage volumes.</w:t>
      </w:r>
    </w:p>
    <w:p>
      <w:pPr>
        <w:pStyle w:val="Heading1"/>
      </w:pPr>
      <w:r>
        <w:t>24. Definition of Done and Release Gates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1800"/>
            <w:shd w:fill="5B21B6"/>
            <w:vAlign w:val="center"/>
          </w:tcPr>
          <w:p>
            <w:pPr>
              <w:jc w:val="left"/>
            </w:pPr>
            <w:r>
              <w:rPr>
                <w:rFonts w:ascii="Arial" w:hAnsi="Arial"/>
                <w:b/>
                <w:color w:val="FFFFFF"/>
                <w:sz w:val="14"/>
              </w:rPr>
              <w:t>Area</w:t>
            </w:r>
          </w:p>
        </w:tc>
        <w:tc>
          <w:tcPr>
            <w:tcW w:type="dxa" w:w="8136"/>
            <w:shd w:fill="5B21B6"/>
            <w:vAlign w:val="center"/>
          </w:tcPr>
          <w:p>
            <w:pPr>
              <w:jc w:val="left"/>
            </w:pPr>
            <w:r>
              <w:rPr>
                <w:rFonts w:ascii="Arial" w:hAnsi="Arial"/>
                <w:b/>
                <w:color w:val="FFFFFF"/>
                <w:sz w:val="14"/>
              </w:rPr>
              <w:t>Definition of Done</w:t>
            </w:r>
          </w:p>
        </w:tc>
      </w:tr>
      <w:tr>
        <w:trPr>
          <w:cantSplit/>
        </w:trPr>
        <w:tc>
          <w:tcPr>
            <w:tcW w:type="dxa" w:w="1800"/>
            <w:vAlign w:val="top"/>
          </w:tcPr>
          <w:p>
            <w:pPr>
              <w:spacing w:after="0"/>
            </w:pPr>
            <w:r>
              <w:rPr>
                <w:rFonts w:ascii="Arial" w:hAnsi="Arial"/>
                <w:color w:val="111827"/>
                <w:sz w:val="14"/>
              </w:rPr>
              <w:t>Business</w:t>
            </w:r>
          </w:p>
        </w:tc>
        <w:tc>
          <w:tcPr>
            <w:tcW w:type="dxa" w:w="8136"/>
            <w:vAlign w:val="top"/>
          </w:tcPr>
          <w:p>
            <w:pPr>
              <w:spacing w:after="0"/>
            </w:pPr>
            <w:r>
              <w:rPr>
                <w:rFonts w:ascii="Arial" w:hAnsi="Arial"/>
                <w:color w:val="111827"/>
                <w:sz w:val="14"/>
              </w:rPr>
              <w:t>Acceptance criteria and workflow/status rules are implemented and demonstrated.</w:t>
            </w:r>
          </w:p>
        </w:tc>
      </w:tr>
      <w:tr>
        <w:trPr>
          <w:cantSplit/>
        </w:trPr>
        <w:tc>
          <w:tcPr>
            <w:tcW w:type="dxa" w:w="1800"/>
            <w:vAlign w:val="top"/>
            <w:shd w:fill="F9FAFB"/>
          </w:tcPr>
          <w:p>
            <w:pPr>
              <w:spacing w:after="0"/>
            </w:pPr>
            <w:r>
              <w:rPr>
                <w:rFonts w:ascii="Arial" w:hAnsi="Arial"/>
                <w:color w:val="111827"/>
                <w:sz w:val="14"/>
              </w:rPr>
              <w:t>Authorization</w:t>
            </w:r>
          </w:p>
        </w:tc>
        <w:tc>
          <w:tcPr>
            <w:tcW w:type="dxa" w:w="8136"/>
            <w:vAlign w:val="top"/>
            <w:shd w:fill="F9FAFB"/>
          </w:tcPr>
          <w:p>
            <w:pPr>
              <w:spacing w:after="0"/>
            </w:pPr>
            <w:r>
              <w:rPr>
                <w:rFonts w:ascii="Arial" w:hAnsi="Arial"/>
                <w:color w:val="111827"/>
                <w:sz w:val="14"/>
              </w:rPr>
              <w:t>Positive and negative permission tests cover record, field, and organizational scope.</w:t>
            </w:r>
          </w:p>
        </w:tc>
      </w:tr>
      <w:tr>
        <w:trPr>
          <w:cantSplit/>
        </w:trPr>
        <w:tc>
          <w:tcPr>
            <w:tcW w:type="dxa" w:w="1800"/>
            <w:vAlign w:val="top"/>
          </w:tcPr>
          <w:p>
            <w:pPr>
              <w:spacing w:after="0"/>
            </w:pPr>
            <w:r>
              <w:rPr>
                <w:rFonts w:ascii="Arial" w:hAnsi="Arial"/>
                <w:color w:val="111827"/>
                <w:sz w:val="14"/>
              </w:rPr>
              <w:t>Data</w:t>
            </w:r>
          </w:p>
        </w:tc>
        <w:tc>
          <w:tcPr>
            <w:tcW w:type="dxa" w:w="8136"/>
            <w:vAlign w:val="top"/>
          </w:tcPr>
          <w:p>
            <w:pPr>
              <w:spacing w:after="0"/>
            </w:pPr>
            <w:r>
              <w:rPr>
                <w:rFonts w:ascii="Arial" w:hAnsi="Arial"/>
                <w:color w:val="111827"/>
                <w:sz w:val="14"/>
              </w:rPr>
              <w:t>Migration, constraints, indexes, retention impact, and rollback/correction approach are reviewed.</w:t>
            </w:r>
          </w:p>
        </w:tc>
      </w:tr>
      <w:tr>
        <w:trPr>
          <w:cantSplit/>
        </w:trPr>
        <w:tc>
          <w:tcPr>
            <w:tcW w:type="dxa" w:w="1800"/>
            <w:vAlign w:val="top"/>
            <w:shd w:fill="F9FAFB"/>
          </w:tcPr>
          <w:p>
            <w:pPr>
              <w:spacing w:after="0"/>
            </w:pPr>
            <w:r>
              <w:rPr>
                <w:rFonts w:ascii="Arial" w:hAnsi="Arial"/>
                <w:color w:val="111827"/>
                <w:sz w:val="14"/>
              </w:rPr>
              <w:t>API</w:t>
            </w:r>
          </w:p>
        </w:tc>
        <w:tc>
          <w:tcPr>
            <w:tcW w:type="dxa" w:w="8136"/>
            <w:vAlign w:val="top"/>
            <w:shd w:fill="F9FAFB"/>
          </w:tcPr>
          <w:p>
            <w:pPr>
              <w:spacing w:after="0"/>
            </w:pPr>
            <w:r>
              <w:rPr>
                <w:rFonts w:ascii="Arial" w:hAnsi="Arial"/>
                <w:color w:val="111827"/>
                <w:sz w:val="14"/>
              </w:rPr>
              <w:t>OpenAPI updated; errors use approved problem types; compatibility is assessed.</w:t>
            </w:r>
          </w:p>
        </w:tc>
      </w:tr>
      <w:tr>
        <w:trPr>
          <w:cantSplit/>
        </w:trPr>
        <w:tc>
          <w:tcPr>
            <w:tcW w:type="dxa" w:w="1800"/>
            <w:vAlign w:val="top"/>
          </w:tcPr>
          <w:p>
            <w:pPr>
              <w:spacing w:after="0"/>
            </w:pPr>
            <w:r>
              <w:rPr>
                <w:rFonts w:ascii="Arial" w:hAnsi="Arial"/>
                <w:color w:val="111827"/>
                <w:sz w:val="14"/>
              </w:rPr>
              <w:t>UI</w:t>
            </w:r>
          </w:p>
        </w:tc>
        <w:tc>
          <w:tcPr>
            <w:tcW w:type="dxa" w:w="8136"/>
            <w:vAlign w:val="top"/>
          </w:tcPr>
          <w:p>
            <w:pPr>
              <w:spacing w:after="0"/>
            </w:pPr>
            <w:r>
              <w:rPr>
                <w:rFonts w:ascii="Arial" w:hAnsi="Arial"/>
                <w:color w:val="111827"/>
                <w:sz w:val="14"/>
              </w:rPr>
              <w:t>Loading, empty, error, disabled, responsive, keyboard, and accessibility states are complete.</w:t>
            </w:r>
          </w:p>
        </w:tc>
      </w:tr>
      <w:tr>
        <w:trPr>
          <w:cantSplit/>
        </w:trPr>
        <w:tc>
          <w:tcPr>
            <w:tcW w:type="dxa" w:w="1800"/>
            <w:vAlign w:val="top"/>
            <w:shd w:fill="F9FAFB"/>
          </w:tcPr>
          <w:p>
            <w:pPr>
              <w:spacing w:after="0"/>
            </w:pPr>
            <w:r>
              <w:rPr>
                <w:rFonts w:ascii="Arial" w:hAnsi="Arial"/>
                <w:color w:val="111827"/>
                <w:sz w:val="14"/>
              </w:rPr>
              <w:t>Files</w:t>
            </w:r>
          </w:p>
        </w:tc>
        <w:tc>
          <w:tcPr>
            <w:tcW w:type="dxa" w:w="8136"/>
            <w:vAlign w:val="top"/>
            <w:shd w:fill="F9FAFB"/>
          </w:tcPr>
          <w:p>
            <w:pPr>
              <w:spacing w:after="0"/>
            </w:pPr>
            <w:r>
              <w:rPr>
                <w:rFonts w:ascii="Arial" w:hAnsi="Arial"/>
                <w:color w:val="111827"/>
                <w:sz w:val="14"/>
              </w:rPr>
              <w:t>Upload, scan, access, lifecycle, and audit behavior are complete where files are involved.</w:t>
            </w:r>
          </w:p>
        </w:tc>
      </w:tr>
      <w:tr>
        <w:trPr>
          <w:cantSplit/>
        </w:trPr>
        <w:tc>
          <w:tcPr>
            <w:tcW w:type="dxa" w:w="1800"/>
            <w:vAlign w:val="top"/>
          </w:tcPr>
          <w:p>
            <w:pPr>
              <w:spacing w:after="0"/>
            </w:pPr>
            <w:r>
              <w:rPr>
                <w:rFonts w:ascii="Arial" w:hAnsi="Arial"/>
                <w:color w:val="111827"/>
                <w:sz w:val="14"/>
              </w:rPr>
              <w:t>Async</w:t>
            </w:r>
          </w:p>
        </w:tc>
        <w:tc>
          <w:tcPr>
            <w:tcW w:type="dxa" w:w="8136"/>
            <w:vAlign w:val="top"/>
          </w:tcPr>
          <w:p>
            <w:pPr>
              <w:spacing w:after="0"/>
            </w:pPr>
            <w:r>
              <w:rPr>
                <w:rFonts w:ascii="Arial" w:hAnsi="Arial"/>
                <w:color w:val="111827"/>
                <w:sz w:val="14"/>
              </w:rPr>
              <w:t>Retries, idempotency, progress, dead-letter, and support visibility are implemented.</w:t>
            </w:r>
          </w:p>
        </w:tc>
      </w:tr>
      <w:tr>
        <w:trPr>
          <w:cantSplit/>
        </w:trPr>
        <w:tc>
          <w:tcPr>
            <w:tcW w:type="dxa" w:w="1800"/>
            <w:vAlign w:val="top"/>
            <w:shd w:fill="F9FAFB"/>
          </w:tcPr>
          <w:p>
            <w:pPr>
              <w:spacing w:after="0"/>
            </w:pPr>
            <w:r>
              <w:rPr>
                <w:rFonts w:ascii="Arial" w:hAnsi="Arial"/>
                <w:color w:val="111827"/>
                <w:sz w:val="14"/>
              </w:rPr>
              <w:t>Observability</w:t>
            </w:r>
          </w:p>
        </w:tc>
        <w:tc>
          <w:tcPr>
            <w:tcW w:type="dxa" w:w="8136"/>
            <w:vAlign w:val="top"/>
            <w:shd w:fill="F9FAFB"/>
          </w:tcPr>
          <w:p>
            <w:pPr>
              <w:spacing w:after="0"/>
            </w:pPr>
            <w:r>
              <w:rPr>
                <w:rFonts w:ascii="Arial" w:hAnsi="Arial"/>
                <w:color w:val="111827"/>
                <w:sz w:val="14"/>
              </w:rPr>
              <w:t>Logs, metrics, traces, audit events, and alerts are defined for critical behavior.</w:t>
            </w:r>
          </w:p>
        </w:tc>
      </w:tr>
      <w:tr>
        <w:trPr>
          <w:cantSplit/>
        </w:trPr>
        <w:tc>
          <w:tcPr>
            <w:tcW w:type="dxa" w:w="1800"/>
            <w:vAlign w:val="top"/>
          </w:tcPr>
          <w:p>
            <w:pPr>
              <w:spacing w:after="0"/>
            </w:pPr>
            <w:r>
              <w:rPr>
                <w:rFonts w:ascii="Arial" w:hAnsi="Arial"/>
                <w:color w:val="111827"/>
                <w:sz w:val="14"/>
              </w:rPr>
              <w:t>Testing</w:t>
            </w:r>
          </w:p>
        </w:tc>
        <w:tc>
          <w:tcPr>
            <w:tcW w:type="dxa" w:w="8136"/>
            <w:vAlign w:val="top"/>
          </w:tcPr>
          <w:p>
            <w:pPr>
              <w:spacing w:after="0"/>
            </w:pPr>
            <w:r>
              <w:rPr>
                <w:rFonts w:ascii="Arial" w:hAnsi="Arial"/>
                <w:color w:val="111827"/>
                <w:sz w:val="14"/>
              </w:rPr>
              <w:t>Unit, integration, and required end-to-end tests pass.</w:t>
            </w:r>
          </w:p>
        </w:tc>
      </w:tr>
      <w:tr>
        <w:trPr>
          <w:cantSplit/>
        </w:trPr>
        <w:tc>
          <w:tcPr>
            <w:tcW w:type="dxa" w:w="1800"/>
            <w:vAlign w:val="top"/>
            <w:shd w:fill="F9FAFB"/>
          </w:tcPr>
          <w:p>
            <w:pPr>
              <w:spacing w:after="0"/>
            </w:pPr>
            <w:r>
              <w:rPr>
                <w:rFonts w:ascii="Arial" w:hAnsi="Arial"/>
                <w:color w:val="111827"/>
                <w:sz w:val="14"/>
              </w:rPr>
              <w:t>Operations</w:t>
            </w:r>
          </w:p>
        </w:tc>
        <w:tc>
          <w:tcPr>
            <w:tcW w:type="dxa" w:w="8136"/>
            <w:vAlign w:val="top"/>
            <w:shd w:fill="F9FAFB"/>
          </w:tcPr>
          <w:p>
            <w:pPr>
              <w:spacing w:after="0"/>
            </w:pPr>
            <w:r>
              <w:rPr>
                <w:rFonts w:ascii="Arial" w:hAnsi="Arial"/>
                <w:color w:val="111827"/>
                <w:sz w:val="14"/>
              </w:rPr>
              <w:t>Deployment, configuration, backup, migration, and runbook changes are documented.</w:t>
            </w:r>
          </w:p>
        </w:tc>
      </w:tr>
      <w:tr>
        <w:trPr>
          <w:cantSplit/>
        </w:trPr>
        <w:tc>
          <w:tcPr>
            <w:tcW w:type="dxa" w:w="1800"/>
            <w:vAlign w:val="top"/>
          </w:tcPr>
          <w:p>
            <w:pPr>
              <w:spacing w:after="0"/>
            </w:pPr>
            <w:r>
              <w:rPr>
                <w:rFonts w:ascii="Arial" w:hAnsi="Arial"/>
                <w:color w:val="111827"/>
                <w:sz w:val="14"/>
              </w:rPr>
              <w:t>Security</w:t>
            </w:r>
          </w:p>
        </w:tc>
        <w:tc>
          <w:tcPr>
            <w:tcW w:type="dxa" w:w="8136"/>
            <w:vAlign w:val="top"/>
          </w:tcPr>
          <w:p>
            <w:pPr>
              <w:spacing w:after="0"/>
            </w:pPr>
            <w:r>
              <w:rPr>
                <w:rFonts w:ascii="Arial" w:hAnsi="Arial"/>
                <w:color w:val="111827"/>
                <w:sz w:val="14"/>
              </w:rPr>
              <w:t>No unaccepted critical/high vulnerability; threat and privacy impact reviewed where applicable.</w:t>
            </w:r>
          </w:p>
        </w:tc>
      </w:tr>
    </w:tbl>
    <w:p>
      <w:pPr>
        <w:spacing w:after="0"/>
      </w:pPr>
    </w:p>
    <w:p>
      <w:pPr>
        <w:pStyle w:val="Heading1"/>
      </w:pPr>
      <w:r>
        <w:t>25. Prohibited Practices and Anti-Patterns</w:t>
      </w:r>
    </w:p>
    <w:p>
      <w:pPr>
        <w:pStyle w:val="ListBullet"/>
      </w:pPr>
      <w:r>
        <w:rPr>
          <w:rFonts w:ascii="Arial" w:hAnsi="Arial"/>
          <w:color w:val="DC2626"/>
        </w:rPr>
        <w:t>Using JSON files, Excel files, Redis, or browser local storage as the authoritative recruitment database.</w:t>
      </w:r>
    </w:p>
    <w:p>
      <w:pPr>
        <w:pStyle w:val="ListBullet"/>
      </w:pPr>
      <w:r>
        <w:rPr>
          <w:rFonts w:ascii="Arial" w:hAnsi="Arial"/>
          <w:color w:val="DC2626"/>
        </w:rPr>
        <w:t>Storing CV or document binary content directly in ordinary transactional PostgreSQL rows without an approved exception.</w:t>
      </w:r>
    </w:p>
    <w:p>
      <w:pPr>
        <w:pStyle w:val="ListBullet"/>
      </w:pPr>
      <w:r>
        <w:rPr>
          <w:rFonts w:ascii="Arial" w:hAnsi="Arial"/>
          <w:color w:val="DC2626"/>
        </w:rPr>
        <w:t>Embedding candidate names, emails, phone numbers, or identity numbers in object keys or public URLs.</w:t>
      </w:r>
    </w:p>
    <w:p>
      <w:pPr>
        <w:pStyle w:val="ListBullet"/>
      </w:pPr>
      <w:r>
        <w:rPr>
          <w:rFonts w:ascii="Arial" w:hAnsi="Arial"/>
          <w:color w:val="DC2626"/>
        </w:rPr>
        <w:t>Implementing workflow enforcement only in the React application.</w:t>
      </w:r>
    </w:p>
    <w:p>
      <w:pPr>
        <w:pStyle w:val="ListBullet"/>
      </w:pPr>
      <w:r>
        <w:rPr>
          <w:rFonts w:ascii="Arial" w:hAnsi="Arial"/>
          <w:color w:val="DC2626"/>
        </w:rPr>
        <w:t>Hard-coding Aya or any named approver in business logic; approvers are configurable roles and assignments.</w:t>
      </w:r>
    </w:p>
    <w:p>
      <w:pPr>
        <w:pStyle w:val="ListBullet"/>
      </w:pPr>
      <w:r>
        <w:rPr>
          <w:rFonts w:ascii="Arial" w:hAnsi="Arial"/>
          <w:color w:val="DC2626"/>
        </w:rPr>
        <w:t>Modifying an approved or sent offer version in place.</w:t>
      </w:r>
    </w:p>
    <w:p>
      <w:pPr>
        <w:pStyle w:val="ListBullet"/>
      </w:pPr>
      <w:r>
        <w:rPr>
          <w:rFonts w:ascii="Arial" w:hAnsi="Arial"/>
          <w:color w:val="DC2626"/>
        </w:rPr>
        <w:t>Creating candidate stages directly on the candidate profile instead of on vacancy-specific applications.</w:t>
      </w:r>
    </w:p>
    <w:p>
      <w:pPr>
        <w:pStyle w:val="ListBullet"/>
      </w:pPr>
      <w:r>
        <w:rPr>
          <w:rFonts w:ascii="Arial" w:hAnsi="Arial"/>
          <w:color w:val="DC2626"/>
        </w:rPr>
        <w:t>Using one global admin permission to bypass salary, document, export, and approval controls.</w:t>
      </w:r>
    </w:p>
    <w:p>
      <w:pPr>
        <w:pStyle w:val="ListBullet"/>
      </w:pPr>
      <w:r>
        <w:rPr>
          <w:rFonts w:ascii="Arial" w:hAnsi="Arial"/>
          <w:color w:val="DC2626"/>
        </w:rPr>
        <w:t>Logging complete request bodies for candidate, salary, offer, license, document, authentication, or integration endpoints.</w:t>
      </w:r>
    </w:p>
    <w:p>
      <w:pPr>
        <w:pStyle w:val="ListBullet"/>
      </w:pPr>
      <w:r>
        <w:rPr>
          <w:rFonts w:ascii="Arial" w:hAnsi="Arial"/>
          <w:color w:val="DC2626"/>
        </w:rPr>
        <w:t>Running OCR, large import, report generation, or email provider calls synchronously inside user-facing requests.</w:t>
      </w:r>
    </w:p>
    <w:p>
      <w:pPr>
        <w:pStyle w:val="ListBullet"/>
      </w:pPr>
      <w:r>
        <w:rPr>
          <w:rFonts w:ascii="Arial" w:hAnsi="Arial"/>
          <w:color w:val="DC2626"/>
        </w:rPr>
        <w:t>Adding microservices, Kafka, Elasticsearch/OpenSearch, Kubernetes, or MongoDB before an approved ADR demonstrates a measurable requirement.</w:t>
      </w:r>
    </w:p>
    <w:p>
      <w:pPr>
        <w:pStyle w:val="ListBullet"/>
      </w:pPr>
      <w:r>
        <w:rPr>
          <w:rFonts w:ascii="Arial" w:hAnsi="Arial"/>
          <w:color w:val="DC2626"/>
        </w:rPr>
        <w:t>Automatic schema synchronization or destructive database migration at application startup.</w:t>
      </w:r>
    </w:p>
    <w:p>
      <w:pPr>
        <w:pStyle w:val="ListBullet"/>
      </w:pPr>
      <w:r>
        <w:rPr>
          <w:rFonts w:ascii="Arial" w:hAnsi="Arial"/>
          <w:color w:val="DC2626"/>
        </w:rPr>
        <w:t>Using production data in development or test without approved anonymization.</w:t>
      </w:r>
    </w:p>
    <w:p>
      <w:pPr>
        <w:pStyle w:val="ListBullet"/>
      </w:pPr>
      <w:r>
        <w:rPr>
          <w:rFonts w:ascii="Arial" w:hAnsi="Arial"/>
          <w:color w:val="DC2626"/>
        </w:rPr>
        <w:t>Silently accepting unknown API properties or third-party payload fields into persistence.</w:t>
      </w:r>
    </w:p>
    <w:p>
      <w:pPr>
        <w:pStyle w:val="ListBullet"/>
      </w:pPr>
      <w:r>
        <w:rPr>
          <w:rFonts w:ascii="Arial" w:hAnsi="Arial"/>
          <w:color w:val="DC2626"/>
        </w:rPr>
        <w:t>Releasing without tested restoration, migration, monitoring, and rollback procedures for high-impact changes.</w:t>
      </w:r>
    </w:p>
    <w:p>
      <w:pPr>
        <w:pStyle w:val="Heading1"/>
      </w:pPr>
      <w:r>
        <w:t>26. Adoption Roadmap</w:t>
      </w:r>
    </w:p>
    <w:tbl>
      <w:tblPr>
        <w:tblStyle w:val="TableGrid"/>
        <w:tblW w:type="auto" w:w="0"/>
        <w:jc w:val="center"/>
        <w:tblLayout w:type="fixed"/>
        <w:tblLook w:firstColumn="1" w:firstRow="1" w:lastColumn="0" w:lastRow="0" w:noHBand="0" w:noVBand="1" w:val="04A0"/>
      </w:tblPr>
      <w:tblGrid>
        <w:gridCol w:w="3316"/>
        <w:gridCol w:w="3316"/>
        <w:gridCol w:w="3316"/>
      </w:tblGrid>
      <w:tr>
        <w:trPr>
          <w:tblHeader w:val="true"/>
          <w:cantSplit/>
        </w:trPr>
        <w:tc>
          <w:tcPr>
            <w:tcW w:type="dxa" w:w="1656"/>
            <w:shd w:fill="5B21B6"/>
            <w:vAlign w:val="center"/>
          </w:tcPr>
          <w:p>
            <w:pPr>
              <w:jc w:val="left"/>
            </w:pPr>
            <w:r>
              <w:rPr>
                <w:rFonts w:ascii="Arial" w:hAnsi="Arial"/>
                <w:b/>
                <w:color w:val="FFFFFF"/>
                <w:sz w:val="14"/>
              </w:rPr>
              <w:t>Phase</w:t>
            </w:r>
          </w:p>
        </w:tc>
        <w:tc>
          <w:tcPr>
            <w:tcW w:type="dxa" w:w="5400"/>
            <w:shd w:fill="5B21B6"/>
            <w:vAlign w:val="center"/>
          </w:tcPr>
          <w:p>
            <w:pPr>
              <w:jc w:val="left"/>
            </w:pPr>
            <w:r>
              <w:rPr>
                <w:rFonts w:ascii="Arial" w:hAnsi="Arial"/>
                <w:b/>
                <w:color w:val="FFFFFF"/>
                <w:sz w:val="14"/>
              </w:rPr>
              <w:t>Technical Deliverables</w:t>
            </w:r>
          </w:p>
        </w:tc>
        <w:tc>
          <w:tcPr>
            <w:tcW w:type="dxa" w:w="2880"/>
            <w:shd w:fill="5B21B6"/>
            <w:vAlign w:val="center"/>
          </w:tcPr>
          <w:p>
            <w:pPr>
              <w:jc w:val="left"/>
            </w:pPr>
            <w:r>
              <w:rPr>
                <w:rFonts w:ascii="Arial" w:hAnsi="Arial"/>
                <w:b/>
                <w:color w:val="FFFFFF"/>
                <w:sz w:val="14"/>
              </w:rPr>
              <w:t>Exit Criteria</w:t>
            </w:r>
          </w:p>
        </w:tc>
      </w:tr>
      <w:tr>
        <w:trPr>
          <w:cantSplit/>
        </w:trPr>
        <w:tc>
          <w:tcPr>
            <w:tcW w:type="dxa" w:w="1656"/>
            <w:vAlign w:val="top"/>
          </w:tcPr>
          <w:p>
            <w:pPr>
              <w:spacing w:after="0"/>
            </w:pPr>
            <w:r>
              <w:rPr>
                <w:rFonts w:ascii="Arial" w:hAnsi="Arial"/>
                <w:color w:val="111827"/>
                <w:sz w:val="14"/>
              </w:rPr>
              <w:t>0 - Decisions</w:t>
            </w:r>
          </w:p>
        </w:tc>
        <w:tc>
          <w:tcPr>
            <w:tcW w:type="dxa" w:w="5400"/>
            <w:vAlign w:val="top"/>
          </w:tcPr>
          <w:p>
            <w:pPr>
              <w:spacing w:after="0"/>
            </w:pPr>
            <w:r>
              <w:rPr>
                <w:rFonts w:ascii="Arial" w:hAnsi="Arial"/>
                <w:color w:val="111827"/>
                <w:sz w:val="14"/>
              </w:rPr>
              <w:t>Approved BRD/WFM/ERD/SRS/TTG, ADR template, threat model outline, hosting choice.</w:t>
            </w:r>
          </w:p>
        </w:tc>
        <w:tc>
          <w:tcPr>
            <w:tcW w:type="dxa" w:w="2880"/>
            <w:vAlign w:val="top"/>
          </w:tcPr>
          <w:p>
            <w:pPr>
              <w:spacing w:after="0"/>
            </w:pPr>
            <w:r>
              <w:rPr>
                <w:rFonts w:ascii="Arial" w:hAnsi="Arial"/>
                <w:color w:val="111827"/>
                <w:sz w:val="14"/>
              </w:rPr>
              <w:t>No unresolved core terminology or system-of-record decision.</w:t>
            </w:r>
          </w:p>
        </w:tc>
      </w:tr>
      <w:tr>
        <w:trPr>
          <w:cantSplit/>
        </w:trPr>
        <w:tc>
          <w:tcPr>
            <w:tcW w:type="dxa" w:w="1656"/>
            <w:vAlign w:val="top"/>
            <w:shd w:fill="F9FAFB"/>
          </w:tcPr>
          <w:p>
            <w:pPr>
              <w:spacing w:after="0"/>
            </w:pPr>
            <w:r>
              <w:rPr>
                <w:rFonts w:ascii="Arial" w:hAnsi="Arial"/>
                <w:color w:val="111827"/>
                <w:sz w:val="14"/>
              </w:rPr>
              <w:t>1 - Foundation</w:t>
            </w:r>
          </w:p>
        </w:tc>
        <w:tc>
          <w:tcPr>
            <w:tcW w:type="dxa" w:w="5400"/>
            <w:vAlign w:val="top"/>
            <w:shd w:fill="F9FAFB"/>
          </w:tcPr>
          <w:p>
            <w:pPr>
              <w:spacing w:after="0"/>
            </w:pPr>
            <w:r>
              <w:rPr>
                <w:rFonts w:ascii="Arial" w:hAnsi="Arial"/>
                <w:color w:val="111827"/>
                <w:sz w:val="14"/>
              </w:rPr>
              <w:t>Monorepo, CI, React shell, NestJS API, PostgreSQL migrations, auth, permissions, audit, object storage.</w:t>
            </w:r>
          </w:p>
        </w:tc>
        <w:tc>
          <w:tcPr>
            <w:tcW w:type="dxa" w:w="2880"/>
            <w:vAlign w:val="top"/>
            <w:shd w:fill="F9FAFB"/>
          </w:tcPr>
          <w:p>
            <w:pPr>
              <w:spacing w:after="0"/>
            </w:pPr>
            <w:r>
              <w:rPr>
                <w:rFonts w:ascii="Arial" w:hAnsi="Arial"/>
                <w:color w:val="111827"/>
                <w:sz w:val="14"/>
              </w:rPr>
              <w:t>Secure login and permission-tested reference module deployed to staging.</w:t>
            </w:r>
          </w:p>
        </w:tc>
      </w:tr>
      <w:tr>
        <w:trPr>
          <w:cantSplit/>
        </w:trPr>
        <w:tc>
          <w:tcPr>
            <w:tcW w:type="dxa" w:w="1656"/>
            <w:vAlign w:val="top"/>
          </w:tcPr>
          <w:p>
            <w:pPr>
              <w:spacing w:after="0"/>
            </w:pPr>
            <w:r>
              <w:rPr>
                <w:rFonts w:ascii="Arial" w:hAnsi="Arial"/>
                <w:color w:val="111827"/>
                <w:sz w:val="14"/>
              </w:rPr>
              <w:t>2 - Vacancy Core</w:t>
            </w:r>
          </w:p>
        </w:tc>
        <w:tc>
          <w:tcPr>
            <w:tcW w:type="dxa" w:w="5400"/>
            <w:vAlign w:val="top"/>
          </w:tcPr>
          <w:p>
            <w:pPr>
              <w:spacing w:after="0"/>
            </w:pPr>
            <w:r>
              <w:rPr>
                <w:rFonts w:ascii="Arial" w:hAnsi="Arial"/>
                <w:color w:val="111827"/>
                <w:sz w:val="14"/>
              </w:rPr>
              <w:t>Organization, positions, vacancy requests, approvals, vacancies, tasks, notifications.</w:t>
            </w:r>
          </w:p>
        </w:tc>
        <w:tc>
          <w:tcPr>
            <w:tcW w:type="dxa" w:w="2880"/>
            <w:vAlign w:val="top"/>
          </w:tcPr>
          <w:p>
            <w:pPr>
              <w:spacing w:after="0"/>
            </w:pPr>
            <w:r>
              <w:rPr>
                <w:rFonts w:ascii="Arial" w:hAnsi="Arial"/>
                <w:color w:val="111827"/>
                <w:sz w:val="14"/>
              </w:rPr>
              <w:t>Approved vacancy creation and ownership flow passes E2E.</w:t>
            </w:r>
          </w:p>
        </w:tc>
      </w:tr>
      <w:tr>
        <w:trPr>
          <w:cantSplit/>
        </w:trPr>
        <w:tc>
          <w:tcPr>
            <w:tcW w:type="dxa" w:w="1656"/>
            <w:vAlign w:val="top"/>
            <w:shd w:fill="F9FAFB"/>
          </w:tcPr>
          <w:p>
            <w:pPr>
              <w:spacing w:after="0"/>
            </w:pPr>
            <w:r>
              <w:rPr>
                <w:rFonts w:ascii="Arial" w:hAnsi="Arial"/>
                <w:color w:val="111827"/>
                <w:sz w:val="14"/>
              </w:rPr>
              <w:t>3 - Candidate Core</w:t>
            </w:r>
          </w:p>
        </w:tc>
        <w:tc>
          <w:tcPr>
            <w:tcW w:type="dxa" w:w="5400"/>
            <w:vAlign w:val="top"/>
            <w:shd w:fill="F9FAFB"/>
          </w:tcPr>
          <w:p>
            <w:pPr>
              <w:spacing w:after="0"/>
            </w:pPr>
            <w:r>
              <w:rPr>
                <w:rFonts w:ascii="Arial" w:hAnsi="Arial"/>
                <w:color w:val="111827"/>
                <w:sz w:val="14"/>
              </w:rPr>
              <w:t>Candidates, files, duplicate matching, applications, screening, pipeline.</w:t>
            </w:r>
          </w:p>
        </w:tc>
        <w:tc>
          <w:tcPr>
            <w:tcW w:type="dxa" w:w="2880"/>
            <w:vAlign w:val="top"/>
            <w:shd w:fill="F9FAFB"/>
          </w:tcPr>
          <w:p>
            <w:pPr>
              <w:spacing w:after="0"/>
            </w:pPr>
            <w:r>
              <w:rPr>
                <w:rFonts w:ascii="Arial" w:hAnsi="Arial"/>
                <w:color w:val="111827"/>
                <w:sz w:val="14"/>
              </w:rPr>
              <w:t>Candidate/application separation and secure files pass scale and permission tests.</w:t>
            </w:r>
          </w:p>
        </w:tc>
      </w:tr>
      <w:tr>
        <w:trPr>
          <w:cantSplit/>
        </w:trPr>
        <w:tc>
          <w:tcPr>
            <w:tcW w:type="dxa" w:w="1656"/>
            <w:vAlign w:val="top"/>
          </w:tcPr>
          <w:p>
            <w:pPr>
              <w:spacing w:after="0"/>
            </w:pPr>
            <w:r>
              <w:rPr>
                <w:rFonts w:ascii="Arial" w:hAnsi="Arial"/>
                <w:color w:val="111827"/>
                <w:sz w:val="14"/>
              </w:rPr>
              <w:t>4 - Interviews and Offers</w:t>
            </w:r>
          </w:p>
        </w:tc>
        <w:tc>
          <w:tcPr>
            <w:tcW w:type="dxa" w:w="5400"/>
            <w:vAlign w:val="top"/>
          </w:tcPr>
          <w:p>
            <w:pPr>
              <w:spacing w:after="0"/>
            </w:pPr>
            <w:r>
              <w:rPr>
                <w:rFonts w:ascii="Arial" w:hAnsi="Arial"/>
                <w:color w:val="111827"/>
                <w:sz w:val="14"/>
              </w:rPr>
              <w:t>Scheduling, feedback, decision, offer versions, approval, response.</w:t>
            </w:r>
          </w:p>
        </w:tc>
        <w:tc>
          <w:tcPr>
            <w:tcW w:type="dxa" w:w="2880"/>
            <w:vAlign w:val="top"/>
          </w:tcPr>
          <w:p>
            <w:pPr>
              <w:spacing w:after="0"/>
            </w:pPr>
            <w:r>
              <w:rPr>
                <w:rFonts w:ascii="Arial" w:hAnsi="Arial"/>
                <w:color w:val="111827"/>
                <w:sz w:val="14"/>
              </w:rPr>
              <w:t>Offer version immutability and approval rules pass E2E and concurrency tests.</w:t>
            </w:r>
          </w:p>
        </w:tc>
      </w:tr>
      <w:tr>
        <w:trPr>
          <w:cantSplit/>
        </w:trPr>
        <w:tc>
          <w:tcPr>
            <w:tcW w:type="dxa" w:w="1656"/>
            <w:vAlign w:val="top"/>
            <w:shd w:fill="F9FAFB"/>
          </w:tcPr>
          <w:p>
            <w:pPr>
              <w:spacing w:after="0"/>
            </w:pPr>
            <w:r>
              <w:rPr>
                <w:rFonts w:ascii="Arial" w:hAnsi="Arial"/>
                <w:color w:val="111827"/>
                <w:sz w:val="14"/>
              </w:rPr>
              <w:t>5 - Hiring and Joining</w:t>
            </w:r>
          </w:p>
        </w:tc>
        <w:tc>
          <w:tcPr>
            <w:tcW w:type="dxa" w:w="5400"/>
            <w:vAlign w:val="top"/>
            <w:shd w:fill="F9FAFB"/>
          </w:tcPr>
          <w:p>
            <w:pPr>
              <w:spacing w:after="0"/>
            </w:pPr>
            <w:r>
              <w:rPr>
                <w:rFonts w:ascii="Arial" w:hAnsi="Arial"/>
                <w:color w:val="111827"/>
                <w:sz w:val="14"/>
              </w:rPr>
              <w:t>Documents, licenses, final approval, joining, headcount updates.</w:t>
            </w:r>
          </w:p>
        </w:tc>
        <w:tc>
          <w:tcPr>
            <w:tcW w:type="dxa" w:w="2880"/>
            <w:vAlign w:val="top"/>
            <w:shd w:fill="F9FAFB"/>
          </w:tcPr>
          <w:p>
            <w:pPr>
              <w:spacing w:after="0"/>
            </w:pPr>
            <w:r>
              <w:rPr>
                <w:rFonts w:ascii="Arial" w:hAnsi="Arial"/>
                <w:color w:val="111827"/>
                <w:sz w:val="14"/>
              </w:rPr>
              <w:t>Atomic joining and final-approver controls pass E2E.</w:t>
            </w:r>
          </w:p>
        </w:tc>
      </w:tr>
      <w:tr>
        <w:trPr>
          <w:cantSplit/>
        </w:trPr>
        <w:tc>
          <w:tcPr>
            <w:tcW w:type="dxa" w:w="1656"/>
            <w:vAlign w:val="top"/>
          </w:tcPr>
          <w:p>
            <w:pPr>
              <w:spacing w:after="0"/>
            </w:pPr>
            <w:r>
              <w:rPr>
                <w:rFonts w:ascii="Arial" w:hAnsi="Arial"/>
                <w:color w:val="111827"/>
                <w:sz w:val="14"/>
              </w:rPr>
              <w:t>6 - Automation and Analytics</w:t>
            </w:r>
          </w:p>
        </w:tc>
        <w:tc>
          <w:tcPr>
            <w:tcW w:type="dxa" w:w="5400"/>
            <w:vAlign w:val="top"/>
          </w:tcPr>
          <w:p>
            <w:pPr>
              <w:spacing w:after="0"/>
            </w:pPr>
            <w:r>
              <w:rPr>
                <w:rFonts w:ascii="Arial" w:hAnsi="Arial"/>
                <w:color w:val="111827"/>
                <w:sz w:val="14"/>
              </w:rPr>
              <w:t>CV parsing, imports/exports, dashboards, SLA jobs, integrations.</w:t>
            </w:r>
          </w:p>
        </w:tc>
        <w:tc>
          <w:tcPr>
            <w:tcW w:type="dxa" w:w="2880"/>
            <w:vAlign w:val="top"/>
          </w:tcPr>
          <w:p>
            <w:pPr>
              <w:spacing w:after="0"/>
            </w:pPr>
            <w:r>
              <w:rPr>
                <w:rFonts w:ascii="Arial" w:hAnsi="Arial"/>
                <w:color w:val="111827"/>
                <w:sz w:val="14"/>
              </w:rPr>
              <w:t>Performance, operational monitoring, and support runbooks approved.</w:t>
            </w:r>
          </w:p>
        </w:tc>
      </w:tr>
      <w:tr>
        <w:trPr>
          <w:cantSplit/>
        </w:trPr>
        <w:tc>
          <w:tcPr>
            <w:tcW w:type="dxa" w:w="1656"/>
            <w:vAlign w:val="top"/>
            <w:shd w:fill="F9FAFB"/>
          </w:tcPr>
          <w:p>
            <w:pPr>
              <w:spacing w:after="0"/>
            </w:pPr>
            <w:r>
              <w:rPr>
                <w:rFonts w:ascii="Arial" w:hAnsi="Arial"/>
                <w:color w:val="111827"/>
                <w:sz w:val="14"/>
              </w:rPr>
              <w:t>7 - Production Hardening</w:t>
            </w:r>
          </w:p>
        </w:tc>
        <w:tc>
          <w:tcPr>
            <w:tcW w:type="dxa" w:w="5400"/>
            <w:vAlign w:val="top"/>
            <w:shd w:fill="F9FAFB"/>
          </w:tcPr>
          <w:p>
            <w:pPr>
              <w:spacing w:after="0"/>
            </w:pPr>
            <w:r>
              <w:rPr>
                <w:rFonts w:ascii="Arial" w:hAnsi="Arial"/>
                <w:color w:val="111827"/>
                <w:sz w:val="14"/>
              </w:rPr>
              <w:t>Load test, penetration test, restore drill, UAT, DR, release readiness.</w:t>
            </w:r>
          </w:p>
        </w:tc>
        <w:tc>
          <w:tcPr>
            <w:tcW w:type="dxa" w:w="2880"/>
            <w:vAlign w:val="top"/>
            <w:shd w:fill="F9FAFB"/>
          </w:tcPr>
          <w:p>
            <w:pPr>
              <w:spacing w:after="0"/>
            </w:pPr>
            <w:r>
              <w:rPr>
                <w:rFonts w:ascii="Arial" w:hAnsi="Arial"/>
                <w:color w:val="111827"/>
                <w:sz w:val="14"/>
              </w:rPr>
              <w:t>Production go-live approval.</w:t>
            </w:r>
          </w:p>
        </w:tc>
      </w:tr>
    </w:tbl>
    <w:p>
      <w:pPr>
        <w:spacing w:after="0"/>
      </w:pPr>
    </w:p>
    <w:p>
      <w:pPr>
        <w:pStyle w:val="Heading1"/>
      </w:pPr>
      <w:r>
        <w:t>27. Technology Reference Sources</w:t>
      </w:r>
    </w:p>
    <w:p>
      <w:r>
        <w:rPr>
          <w:rFonts w:ascii="Arial" w:hAnsi="Arial"/>
        </w:rPr>
        <w:t>The following primary sources were reviewed for this technology baseline. Package versions SHALL still be verified during project bootstrap and dependency upgrades.</w:t>
      </w:r>
    </w:p>
    <w:p>
      <w:pPr>
        <w:pStyle w:val="ListBullet"/>
      </w:pPr>
      <w:r>
        <w:rPr>
          <w:rFonts w:ascii="Arial" w:hAnsi="Arial"/>
          <w:b/>
        </w:rPr>
        <w:t xml:space="preserve">Node.js Releases and LTS Policy: </w:t>
      </w:r>
      <w:hyperlink r:id="rId14">
        <w:r>
          <w:rPr>
            <w:color w:val="2563EB"/>
            <w:u w:val="single"/>
            <w:rFonts w:ascii="Arial" w:hAnsi="Arial"/>
            <w:sz w:val="18"/>
          </w:rPr>
          <w:t>https://nodejs.org/en/about/previous-releases</w:t>
        </w:r>
      </w:hyperlink>
    </w:p>
    <w:p>
      <w:pPr>
        <w:pStyle w:val="ListBullet"/>
      </w:pPr>
      <w:r>
        <w:rPr>
          <w:rFonts w:ascii="Arial" w:hAnsi="Arial"/>
          <w:b/>
        </w:rPr>
        <w:t xml:space="preserve">Node.js Download - LTS: </w:t>
      </w:r>
      <w:hyperlink r:id="rId15">
        <w:r>
          <w:rPr>
            <w:color w:val="2563EB"/>
            <w:u w:val="single"/>
            <w:rFonts w:ascii="Arial" w:hAnsi="Arial"/>
            <w:sz w:val="18"/>
          </w:rPr>
          <w:t>https://nodejs.org/en/download</w:t>
        </w:r>
      </w:hyperlink>
    </w:p>
    <w:p>
      <w:pPr>
        <w:pStyle w:val="ListBullet"/>
      </w:pPr>
      <w:r>
        <w:rPr>
          <w:rFonts w:ascii="Arial" w:hAnsi="Arial"/>
          <w:b/>
        </w:rPr>
        <w:t xml:space="preserve">React Versions: </w:t>
      </w:r>
      <w:hyperlink r:id="rId16">
        <w:r>
          <w:rPr>
            <w:color w:val="2563EB"/>
            <w:u w:val="single"/>
            <w:rFonts w:ascii="Arial" w:hAnsi="Arial"/>
            <w:sz w:val="18"/>
          </w:rPr>
          <w:t>https://react.dev/versions</w:t>
        </w:r>
      </w:hyperlink>
    </w:p>
    <w:p>
      <w:pPr>
        <w:pStyle w:val="ListBullet"/>
      </w:pPr>
      <w:r>
        <w:rPr>
          <w:rFonts w:ascii="Arial" w:hAnsi="Arial"/>
          <w:b/>
        </w:rPr>
        <w:t xml:space="preserve">React 19.2 Release: </w:t>
      </w:r>
      <w:hyperlink r:id="rId17">
        <w:r>
          <w:rPr>
            <w:color w:val="2563EB"/>
            <w:u w:val="single"/>
            <w:rFonts w:ascii="Arial" w:hAnsi="Arial"/>
            <w:sz w:val="18"/>
          </w:rPr>
          <w:t>https://react.dev/blog/2025/10/01/react-19-2</w:t>
        </w:r>
      </w:hyperlink>
    </w:p>
    <w:p>
      <w:pPr>
        <w:pStyle w:val="ListBullet"/>
      </w:pPr>
      <w:r>
        <w:rPr>
          <w:rFonts w:ascii="Arial" w:hAnsi="Arial"/>
          <w:b/>
        </w:rPr>
        <w:t xml:space="preserve">Vite Guide: </w:t>
      </w:r>
      <w:hyperlink r:id="rId18">
        <w:r>
          <w:rPr>
            <w:color w:val="2563EB"/>
            <w:u w:val="single"/>
            <w:rFonts w:ascii="Arial" w:hAnsi="Arial"/>
            <w:sz w:val="18"/>
          </w:rPr>
          <w:t>https://vite.dev/guide/</w:t>
        </w:r>
      </w:hyperlink>
    </w:p>
    <w:p>
      <w:pPr>
        <w:pStyle w:val="ListBullet"/>
      </w:pPr>
      <w:r>
        <w:rPr>
          <w:rFonts w:ascii="Arial" w:hAnsi="Arial"/>
          <w:b/>
        </w:rPr>
        <w:t xml:space="preserve">NestJS Documentation: </w:t>
      </w:r>
      <w:hyperlink r:id="rId19">
        <w:r>
          <w:rPr>
            <w:color w:val="2563EB"/>
            <w:u w:val="single"/>
            <w:rFonts w:ascii="Arial" w:hAnsi="Arial"/>
            <w:sz w:val="18"/>
          </w:rPr>
          <w:t>https://docs.nestjs.com/introduction</w:t>
        </w:r>
      </w:hyperlink>
    </w:p>
    <w:p>
      <w:pPr>
        <w:pStyle w:val="ListBullet"/>
      </w:pPr>
      <w:r>
        <w:rPr>
          <w:rFonts w:ascii="Arial" w:hAnsi="Arial"/>
          <w:b/>
        </w:rPr>
        <w:t xml:space="preserve">NestJS OpenAPI: </w:t>
      </w:r>
      <w:hyperlink r:id="rId20">
        <w:r>
          <w:rPr>
            <w:color w:val="2563EB"/>
            <w:u w:val="single"/>
            <w:rFonts w:ascii="Arial" w:hAnsi="Arial"/>
            <w:sz w:val="18"/>
          </w:rPr>
          <w:t>https://docs.nestjs.com/openapi/introduction</w:t>
        </w:r>
      </w:hyperlink>
    </w:p>
    <w:p>
      <w:pPr>
        <w:pStyle w:val="ListBullet"/>
      </w:pPr>
      <w:r>
        <w:rPr>
          <w:rFonts w:ascii="Arial" w:hAnsi="Arial"/>
          <w:b/>
        </w:rPr>
        <w:t xml:space="preserve">PostgreSQL 18 Documentation: </w:t>
      </w:r>
      <w:hyperlink r:id="rId21">
        <w:r>
          <w:rPr>
            <w:color w:val="2563EB"/>
            <w:u w:val="single"/>
            <w:rFonts w:ascii="Arial" w:hAnsi="Arial"/>
            <w:sz w:val="18"/>
          </w:rPr>
          <w:t>https://www.postgresql.org/docs/18/</w:t>
        </w:r>
      </w:hyperlink>
    </w:p>
    <w:p>
      <w:pPr>
        <w:pStyle w:val="ListBullet"/>
      </w:pPr>
      <w:r>
        <w:rPr>
          <w:rFonts w:ascii="Arial" w:hAnsi="Arial"/>
          <w:b/>
        </w:rPr>
        <w:t xml:space="preserve">PostgreSQL Versioning Policy: </w:t>
      </w:r>
      <w:hyperlink r:id="rId22">
        <w:r>
          <w:rPr>
            <w:color w:val="2563EB"/>
            <w:u w:val="single"/>
            <w:rFonts w:ascii="Arial" w:hAnsi="Arial"/>
            <w:sz w:val="18"/>
          </w:rPr>
          <w:t>https://www.postgresql.org/support/versioning/</w:t>
        </w:r>
      </w:hyperlink>
    </w:p>
    <w:p>
      <w:pPr>
        <w:pStyle w:val="ListBullet"/>
      </w:pPr>
      <w:r>
        <w:rPr>
          <w:rFonts w:ascii="Arial" w:hAnsi="Arial"/>
          <w:b/>
        </w:rPr>
        <w:t xml:space="preserve">PostgreSQL UUID Functions: </w:t>
      </w:r>
      <w:hyperlink r:id="rId23">
        <w:r>
          <w:rPr>
            <w:color w:val="2563EB"/>
            <w:u w:val="single"/>
            <w:rFonts w:ascii="Arial" w:hAnsi="Arial"/>
            <w:sz w:val="18"/>
          </w:rPr>
          <w:t>https://www.postgresql.org/docs/current/functions-uuid.html</w:t>
        </w:r>
      </w:hyperlink>
    </w:p>
    <w:p>
      <w:pPr>
        <w:pStyle w:val="ListBullet"/>
      </w:pPr>
      <w:r>
        <w:rPr>
          <w:rFonts w:ascii="Arial" w:hAnsi="Arial"/>
          <w:b/>
        </w:rPr>
        <w:t xml:space="preserve">Prisma ORM Overview: </w:t>
      </w:r>
      <w:hyperlink r:id="rId24">
        <w:r>
          <w:rPr>
            <w:color w:val="2563EB"/>
            <w:u w:val="single"/>
            <w:rFonts w:ascii="Arial" w:hAnsi="Arial"/>
            <w:sz w:val="18"/>
          </w:rPr>
          <w:t>https://www.prisma.io/docs/orm</w:t>
        </w:r>
      </w:hyperlink>
    </w:p>
    <w:p>
      <w:pPr>
        <w:pStyle w:val="ListBullet"/>
      </w:pPr>
      <w:r>
        <w:rPr>
          <w:rFonts w:ascii="Arial" w:hAnsi="Arial"/>
          <w:b/>
        </w:rPr>
        <w:t xml:space="preserve">TanStack Query React Documentation: </w:t>
      </w:r>
      <w:hyperlink r:id="rId25">
        <w:r>
          <w:rPr>
            <w:color w:val="2563EB"/>
            <w:u w:val="single"/>
            <w:rFonts w:ascii="Arial" w:hAnsi="Arial"/>
            <w:sz w:val="18"/>
          </w:rPr>
          <w:t>https://tanstack.com/query/latest/docs/framework/react</w:t>
        </w:r>
      </w:hyperlink>
    </w:p>
    <w:p>
      <w:pPr>
        <w:pStyle w:val="ListBullet"/>
      </w:pPr>
      <w:r>
        <w:rPr>
          <w:rFonts w:ascii="Arial" w:hAnsi="Arial"/>
          <w:b/>
        </w:rPr>
        <w:t xml:space="preserve">Amazon S3 Presigned URLs: </w:t>
      </w:r>
      <w:hyperlink r:id="rId26">
        <w:r>
          <w:rPr>
            <w:color w:val="2563EB"/>
            <w:u w:val="single"/>
            <w:rFonts w:ascii="Arial" w:hAnsi="Arial"/>
            <w:sz w:val="18"/>
          </w:rPr>
          <w:t>https://docs.aws.amazon.com/AmazonS3/latest/userguide/using-presigned-url.html</w:t>
        </w:r>
      </w:hyperlink>
    </w:p>
    <w:p>
      <w:pPr>
        <w:pStyle w:val="ListBullet"/>
      </w:pPr>
      <w:r>
        <w:rPr>
          <w:rFonts w:ascii="Arial" w:hAnsi="Arial"/>
          <w:b/>
        </w:rPr>
        <w:t xml:space="preserve">Redis Job Queue Guidance: </w:t>
      </w:r>
      <w:hyperlink r:id="rId27">
        <w:r>
          <w:rPr>
            <w:color w:val="2563EB"/>
            <w:u w:val="single"/>
            <w:rFonts w:ascii="Arial" w:hAnsi="Arial"/>
            <w:sz w:val="18"/>
          </w:rPr>
          <w:t>https://redis.io/docs/latest/develop/use-cases/job-queue/</w:t>
        </w:r>
      </w:hyperlink>
    </w:p>
    <w:p>
      <w:pPr>
        <w:pStyle w:val="ListBullet"/>
      </w:pPr>
      <w:r>
        <w:rPr>
          <w:rFonts w:ascii="Arial" w:hAnsi="Arial"/>
          <w:b/>
        </w:rPr>
        <w:t xml:space="preserve">BullMQ Documentation: </w:t>
      </w:r>
      <w:hyperlink r:id="rId28">
        <w:r>
          <w:rPr>
            <w:color w:val="2563EB"/>
            <w:u w:val="single"/>
            <w:rFonts w:ascii="Arial" w:hAnsi="Arial"/>
            <w:sz w:val="18"/>
          </w:rPr>
          <w:t>https://docs.bullmq.io/</w:t>
        </w:r>
      </w:hyperlink>
    </w:p>
    <w:p>
      <w:pPr>
        <w:pStyle w:val="ListBullet"/>
      </w:pPr>
      <w:r>
        <w:rPr>
          <w:rFonts w:ascii="Arial" w:hAnsi="Arial"/>
          <w:b/>
        </w:rPr>
        <w:t xml:space="preserve">OpenTelemetry JavaScript: </w:t>
      </w:r>
      <w:hyperlink r:id="rId29">
        <w:r>
          <w:rPr>
            <w:color w:val="2563EB"/>
            <w:u w:val="single"/>
            <w:rFonts w:ascii="Arial" w:hAnsi="Arial"/>
            <w:sz w:val="18"/>
          </w:rPr>
          <w:t>https://opentelemetry.io/docs/languages/js/</w:t>
        </w:r>
      </w:hyperlink>
    </w:p>
    <w:p>
      <w:pPr>
        <w:pStyle w:val="ListBullet"/>
      </w:pPr>
      <w:r>
        <w:rPr>
          <w:rFonts w:ascii="Arial" w:hAnsi="Arial"/>
          <w:b/>
        </w:rPr>
        <w:t xml:space="preserve">OWASP ASVS: </w:t>
      </w:r>
      <w:hyperlink r:id="rId30">
        <w:r>
          <w:rPr>
            <w:color w:val="2563EB"/>
            <w:u w:val="single"/>
            <w:rFonts w:ascii="Arial" w:hAnsi="Arial"/>
            <w:sz w:val="18"/>
          </w:rPr>
          <w:t>https://owasp.org/www-project-application-security-verification-standard/</w:t>
        </w:r>
      </w:hyperlink>
    </w:p>
    <w:p>
      <w:pPr>
        <w:pStyle w:val="ListBullet"/>
      </w:pPr>
      <w:r>
        <w:rPr>
          <w:rFonts w:ascii="Arial" w:hAnsi="Arial"/>
          <w:b/>
        </w:rPr>
        <w:t xml:space="preserve">OWASP API Security Top 10: </w:t>
      </w:r>
      <w:hyperlink r:id="rId31">
        <w:r>
          <w:rPr>
            <w:color w:val="2563EB"/>
            <w:u w:val="single"/>
            <w:rFonts w:ascii="Arial" w:hAnsi="Arial"/>
            <w:sz w:val="18"/>
          </w:rPr>
          <w:t>https://owasp.org/API-Security/</w:t>
        </w:r>
      </w:hyperlink>
    </w:p>
    <w:p>
      <w:pPr>
        <w:pStyle w:val="ListBullet"/>
      </w:pPr>
      <w:r>
        <w:rPr>
          <w:rFonts w:ascii="Arial" w:hAnsi="Arial"/>
          <w:b/>
        </w:rPr>
        <w:t xml:space="preserve">RFC 9457 - Problem Details for HTTP APIs: </w:t>
      </w:r>
      <w:hyperlink r:id="rId32">
        <w:r>
          <w:rPr>
            <w:color w:val="2563EB"/>
            <w:u w:val="single"/>
            <w:rFonts w:ascii="Arial" w:hAnsi="Arial"/>
            <w:sz w:val="18"/>
          </w:rPr>
          <w:t>https://datatracker.ietf.org/doc/html/rfc9457</w:t>
        </w:r>
      </w:hyperlink>
    </w:p>
    <w:p>
      <w:pPr>
        <w:pStyle w:val="ListBullet"/>
      </w:pPr>
      <w:r>
        <w:rPr>
          <w:rFonts w:ascii="Arial" w:hAnsi="Arial"/>
          <w:b/>
        </w:rPr>
        <w:t xml:space="preserve">Playwright Documentation: </w:t>
      </w:r>
      <w:hyperlink r:id="rId33">
        <w:r>
          <w:rPr>
            <w:color w:val="2563EB"/>
            <w:u w:val="single"/>
            <w:rFonts w:ascii="Arial" w:hAnsi="Arial"/>
            <w:sz w:val="18"/>
          </w:rPr>
          <w:t>https://playwright.dev/docs/intro</w:t>
        </w:r>
      </w:hyperlink>
    </w:p>
    <w:p>
      <w:pPr>
        <w:pStyle w:val="Heading1"/>
      </w:pPr>
      <w:r>
        <w:t>Appendix A - Initial Environment Variables</w:t>
      </w:r>
    </w:p>
    <w:p>
      <w:pPr>
        <w:pStyle w:val="CodeBlock"/>
        <w:shd w:fill="F3F4F6"/>
      </w:pPr>
      <w:r>
        <w:rPr>
          <w:rFonts w:ascii="Courier New" w:hAnsi="Courier New"/>
          <w:sz w:val="15"/>
        </w:rPr>
        <w:t>APP_ENV=development</w:t>
        <w:br/>
      </w:r>
      <w:r>
        <w:rPr>
          <w:rFonts w:ascii="Courier New" w:hAnsi="Courier New"/>
          <w:sz w:val="15"/>
        </w:rPr>
        <w:t>APP_VERSION=0.1.0</w:t>
        <w:br/>
      </w:r>
      <w:r>
        <w:rPr>
          <w:rFonts w:ascii="Courier New" w:hAnsi="Courier New"/>
          <w:sz w:val="15"/>
        </w:rPr>
        <w:t>WEB_ORIGIN=https://recruitflow.example.com</w:t>
        <w:br/>
      </w:r>
      <w:r>
        <w:rPr>
          <w:rFonts w:ascii="Courier New" w:hAnsi="Courier New"/>
          <w:sz w:val="15"/>
        </w:rPr>
        <w:t>API_BASE_PATH=/api/v1</w:t>
        <w:br/>
      </w:r>
      <w:r>
        <w:rPr>
          <w:rFonts w:ascii="Courier New" w:hAnsi="Courier New"/>
          <w:sz w:val="15"/>
        </w:rPr>
        <w:t>DATABASE_URL=postgresql://...</w:t>
        <w:br/>
      </w:r>
      <w:r>
        <w:rPr>
          <w:rFonts w:ascii="Courier New" w:hAnsi="Courier New"/>
          <w:sz w:val="15"/>
        </w:rPr>
        <w:t>DATABASE_POOL_MAX=20</w:t>
        <w:br/>
      </w:r>
      <w:r>
        <w:rPr>
          <w:rFonts w:ascii="Courier New" w:hAnsi="Courier New"/>
          <w:sz w:val="15"/>
        </w:rPr>
        <w:t>REDIS_URL=redis://...</w:t>
        <w:br/>
      </w:r>
      <w:r>
        <w:rPr>
          <w:rFonts w:ascii="Courier New" w:hAnsi="Courier New"/>
          <w:sz w:val="15"/>
        </w:rPr>
        <w:t>OBJECT_STORAGE_ENDPOINT=https://...</w:t>
        <w:br/>
      </w:r>
      <w:r>
        <w:rPr>
          <w:rFonts w:ascii="Courier New" w:hAnsi="Courier New"/>
          <w:sz w:val="15"/>
        </w:rPr>
        <w:t>OBJECT_STORAGE_REGION=...</w:t>
        <w:br/>
      </w:r>
      <w:r>
        <w:rPr>
          <w:rFonts w:ascii="Courier New" w:hAnsi="Courier New"/>
          <w:sz w:val="15"/>
        </w:rPr>
        <w:t>OBJECT_STORAGE_BUCKET=...</w:t>
        <w:br/>
      </w:r>
      <w:r>
        <w:rPr>
          <w:rFonts w:ascii="Courier New" w:hAnsi="Courier New"/>
          <w:sz w:val="15"/>
        </w:rPr>
        <w:t>OBJECT_STORAGE_ACCESS_KEY=...</w:t>
        <w:br/>
      </w:r>
      <w:r>
        <w:rPr>
          <w:rFonts w:ascii="Courier New" w:hAnsi="Courier New"/>
          <w:sz w:val="15"/>
        </w:rPr>
        <w:t>OBJECT_STORAGE_SECRET_KEY=...</w:t>
        <w:br/>
      </w:r>
      <w:r>
        <w:rPr>
          <w:rFonts w:ascii="Courier New" w:hAnsi="Courier New"/>
          <w:sz w:val="15"/>
        </w:rPr>
        <w:t>SESSION_SECRET=...</w:t>
        <w:br/>
      </w:r>
      <w:r>
        <w:rPr>
          <w:rFonts w:ascii="Courier New" w:hAnsi="Courier New"/>
          <w:sz w:val="15"/>
        </w:rPr>
        <w:t>PRESIGNED_UPLOAD_TTL_SECONDS=600</w:t>
        <w:br/>
      </w:r>
      <w:r>
        <w:rPr>
          <w:rFonts w:ascii="Courier New" w:hAnsi="Courier New"/>
          <w:sz w:val="15"/>
        </w:rPr>
        <w:t>PRESIGNED_DOWNLOAD_TTL_SECONDS=300</w:t>
        <w:br/>
      </w:r>
      <w:r>
        <w:rPr>
          <w:rFonts w:ascii="Courier New" w:hAnsi="Courier New"/>
          <w:sz w:val="15"/>
        </w:rPr>
        <w:t>MAX_UPLOAD_BYTES=20971520</w:t>
        <w:br/>
      </w:r>
      <w:r>
        <w:rPr>
          <w:rFonts w:ascii="Courier New" w:hAnsi="Courier New"/>
          <w:sz w:val="15"/>
        </w:rPr>
        <w:t>OTEL_EXPORTER_OTLP_ENDPOINT=https://...</w:t>
        <w:br/>
      </w:r>
      <w:r>
        <w:rPr>
          <w:rFonts w:ascii="Courier New" w:hAnsi="Courier New"/>
          <w:sz w:val="15"/>
        </w:rPr>
        <w:t>LOG_LEVEL=info</w:t>
      </w:r>
    </w:p>
    <w:p>
      <w:r>
        <w:rPr>
          <w:rFonts w:ascii="Arial" w:hAnsi="Arial"/>
        </w:rPr>
        <w:t>Secrets shown above are names only. Real values SHALL be delivered through an approved secret-management mechanism and SHALL never be included in .env.example, logs, screenshots, or support tickets.</w:t>
      </w:r>
    </w:p>
    <w:p>
      <w:pPr>
        <w:pStyle w:val="Heading1"/>
      </w:pPr>
      <w:r>
        <w:t>Appendix B - Mandatory Architecture Decision Records</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1728"/>
            <w:shd w:fill="5B21B6"/>
            <w:vAlign w:val="center"/>
          </w:tcPr>
          <w:p>
            <w:pPr>
              <w:jc w:val="left"/>
            </w:pPr>
            <w:r>
              <w:rPr>
                <w:rFonts w:ascii="Arial" w:hAnsi="Arial"/>
                <w:b/>
                <w:color w:val="FFFFFF"/>
                <w:sz w:val="14"/>
              </w:rPr>
              <w:t>ADR</w:t>
            </w:r>
          </w:p>
        </w:tc>
        <w:tc>
          <w:tcPr>
            <w:tcW w:type="dxa" w:w="8208"/>
            <w:shd w:fill="5B21B6"/>
            <w:vAlign w:val="center"/>
          </w:tcPr>
          <w:p>
            <w:pPr>
              <w:jc w:val="left"/>
            </w:pPr>
            <w:r>
              <w:rPr>
                <w:rFonts w:ascii="Arial" w:hAnsi="Arial"/>
                <w:b/>
                <w:color w:val="FFFFFF"/>
                <w:sz w:val="14"/>
              </w:rPr>
              <w:t>Decision</w:t>
            </w:r>
          </w:p>
        </w:tc>
      </w:tr>
      <w:tr>
        <w:trPr>
          <w:cantSplit/>
        </w:trPr>
        <w:tc>
          <w:tcPr>
            <w:tcW w:type="dxa" w:w="1728"/>
            <w:vAlign w:val="top"/>
          </w:tcPr>
          <w:p>
            <w:pPr>
              <w:spacing w:after="0"/>
            </w:pPr>
            <w:r>
              <w:rPr>
                <w:rFonts w:ascii="Arial" w:hAnsi="Arial"/>
                <w:color w:val="111827"/>
                <w:sz w:val="14"/>
              </w:rPr>
              <w:t>ADR-001</w:t>
            </w:r>
          </w:p>
        </w:tc>
        <w:tc>
          <w:tcPr>
            <w:tcW w:type="dxa" w:w="8208"/>
            <w:vAlign w:val="top"/>
          </w:tcPr>
          <w:p>
            <w:pPr>
              <w:spacing w:after="0"/>
            </w:pPr>
            <w:r>
              <w:rPr>
                <w:rFonts w:ascii="Arial" w:hAnsi="Arial"/>
                <w:color w:val="111827"/>
                <w:sz w:val="14"/>
              </w:rPr>
              <w:t>PostgreSQL 18 as system of record; no primary NoSQL database.</w:t>
            </w:r>
          </w:p>
        </w:tc>
      </w:tr>
      <w:tr>
        <w:trPr>
          <w:cantSplit/>
        </w:trPr>
        <w:tc>
          <w:tcPr>
            <w:tcW w:type="dxa" w:w="1728"/>
            <w:vAlign w:val="top"/>
            <w:shd w:fill="F9FAFB"/>
          </w:tcPr>
          <w:p>
            <w:pPr>
              <w:spacing w:after="0"/>
            </w:pPr>
            <w:r>
              <w:rPr>
                <w:rFonts w:ascii="Arial" w:hAnsi="Arial"/>
                <w:color w:val="111827"/>
                <w:sz w:val="14"/>
              </w:rPr>
              <w:t>ADR-002</w:t>
            </w:r>
          </w:p>
        </w:tc>
        <w:tc>
          <w:tcPr>
            <w:tcW w:type="dxa" w:w="8208"/>
            <w:vAlign w:val="top"/>
            <w:shd w:fill="F9FAFB"/>
          </w:tcPr>
          <w:p>
            <w:pPr>
              <w:spacing w:after="0"/>
            </w:pPr>
            <w:r>
              <w:rPr>
                <w:rFonts w:ascii="Arial" w:hAnsi="Arial"/>
                <w:color w:val="111827"/>
                <w:sz w:val="14"/>
              </w:rPr>
              <w:t>Private S3-compatible object storage for file binaries.</w:t>
            </w:r>
          </w:p>
        </w:tc>
      </w:tr>
      <w:tr>
        <w:trPr>
          <w:cantSplit/>
        </w:trPr>
        <w:tc>
          <w:tcPr>
            <w:tcW w:type="dxa" w:w="1728"/>
            <w:vAlign w:val="top"/>
          </w:tcPr>
          <w:p>
            <w:pPr>
              <w:spacing w:after="0"/>
            </w:pPr>
            <w:r>
              <w:rPr>
                <w:rFonts w:ascii="Arial" w:hAnsi="Arial"/>
                <w:color w:val="111827"/>
                <w:sz w:val="14"/>
              </w:rPr>
              <w:t>ADR-003</w:t>
            </w:r>
          </w:p>
        </w:tc>
        <w:tc>
          <w:tcPr>
            <w:tcW w:type="dxa" w:w="8208"/>
            <w:vAlign w:val="top"/>
          </w:tcPr>
          <w:p>
            <w:pPr>
              <w:spacing w:after="0"/>
            </w:pPr>
            <w:r>
              <w:rPr>
                <w:rFonts w:ascii="Arial" w:hAnsi="Arial"/>
                <w:color w:val="111827"/>
                <w:sz w:val="14"/>
              </w:rPr>
              <w:t>Modular monolith with NestJS API and separate worker.</w:t>
            </w:r>
          </w:p>
        </w:tc>
      </w:tr>
      <w:tr>
        <w:trPr>
          <w:cantSplit/>
        </w:trPr>
        <w:tc>
          <w:tcPr>
            <w:tcW w:type="dxa" w:w="1728"/>
            <w:vAlign w:val="top"/>
            <w:shd w:fill="F9FAFB"/>
          </w:tcPr>
          <w:p>
            <w:pPr>
              <w:spacing w:after="0"/>
            </w:pPr>
            <w:r>
              <w:rPr>
                <w:rFonts w:ascii="Arial" w:hAnsi="Arial"/>
                <w:color w:val="111827"/>
                <w:sz w:val="14"/>
              </w:rPr>
              <w:t>ADR-004</w:t>
            </w:r>
          </w:p>
        </w:tc>
        <w:tc>
          <w:tcPr>
            <w:tcW w:type="dxa" w:w="8208"/>
            <w:vAlign w:val="top"/>
            <w:shd w:fill="F9FAFB"/>
          </w:tcPr>
          <w:p>
            <w:pPr>
              <w:spacing w:after="0"/>
            </w:pPr>
            <w:r>
              <w:rPr>
                <w:rFonts w:ascii="Arial" w:hAnsi="Arial"/>
                <w:color w:val="111827"/>
                <w:sz w:val="14"/>
              </w:rPr>
              <w:t>Prisma ORM plus reviewed raw SQL for complex queries.</w:t>
            </w:r>
          </w:p>
        </w:tc>
      </w:tr>
      <w:tr>
        <w:trPr>
          <w:cantSplit/>
        </w:trPr>
        <w:tc>
          <w:tcPr>
            <w:tcW w:type="dxa" w:w="1728"/>
            <w:vAlign w:val="top"/>
          </w:tcPr>
          <w:p>
            <w:pPr>
              <w:spacing w:after="0"/>
            </w:pPr>
            <w:r>
              <w:rPr>
                <w:rFonts w:ascii="Arial" w:hAnsi="Arial"/>
                <w:color w:val="111827"/>
                <w:sz w:val="14"/>
              </w:rPr>
              <w:t>ADR-005</w:t>
            </w:r>
          </w:p>
        </w:tc>
        <w:tc>
          <w:tcPr>
            <w:tcW w:type="dxa" w:w="8208"/>
            <w:vAlign w:val="top"/>
          </w:tcPr>
          <w:p>
            <w:pPr>
              <w:spacing w:after="0"/>
            </w:pPr>
            <w:r>
              <w:rPr>
                <w:rFonts w:ascii="Arial" w:hAnsi="Arial"/>
                <w:color w:val="111827"/>
                <w:sz w:val="14"/>
              </w:rPr>
              <w:t>Server-managed session authentication and enterprise OIDC path.</w:t>
            </w:r>
          </w:p>
        </w:tc>
      </w:tr>
      <w:tr>
        <w:trPr>
          <w:cantSplit/>
        </w:trPr>
        <w:tc>
          <w:tcPr>
            <w:tcW w:type="dxa" w:w="1728"/>
            <w:vAlign w:val="top"/>
            <w:shd w:fill="F9FAFB"/>
          </w:tcPr>
          <w:p>
            <w:pPr>
              <w:spacing w:after="0"/>
            </w:pPr>
            <w:r>
              <w:rPr>
                <w:rFonts w:ascii="Arial" w:hAnsi="Arial"/>
                <w:color w:val="111827"/>
                <w:sz w:val="14"/>
              </w:rPr>
              <w:t>ADR-006</w:t>
            </w:r>
          </w:p>
        </w:tc>
        <w:tc>
          <w:tcPr>
            <w:tcW w:type="dxa" w:w="8208"/>
            <w:vAlign w:val="top"/>
            <w:shd w:fill="F9FAFB"/>
          </w:tcPr>
          <w:p>
            <w:pPr>
              <w:spacing w:after="0"/>
            </w:pPr>
            <w:r>
              <w:rPr>
                <w:rFonts w:ascii="Arial" w:hAnsi="Arial"/>
                <w:color w:val="111827"/>
                <w:sz w:val="14"/>
              </w:rPr>
              <w:t>RBAC plus organizational/resource scope and field-level response policy.</w:t>
            </w:r>
          </w:p>
        </w:tc>
      </w:tr>
      <w:tr>
        <w:trPr>
          <w:cantSplit/>
        </w:trPr>
        <w:tc>
          <w:tcPr>
            <w:tcW w:type="dxa" w:w="1728"/>
            <w:vAlign w:val="top"/>
          </w:tcPr>
          <w:p>
            <w:pPr>
              <w:spacing w:after="0"/>
            </w:pPr>
            <w:r>
              <w:rPr>
                <w:rFonts w:ascii="Arial" w:hAnsi="Arial"/>
                <w:color w:val="111827"/>
                <w:sz w:val="14"/>
              </w:rPr>
              <w:t>ADR-007</w:t>
            </w:r>
          </w:p>
        </w:tc>
        <w:tc>
          <w:tcPr>
            <w:tcW w:type="dxa" w:w="8208"/>
            <w:vAlign w:val="top"/>
          </w:tcPr>
          <w:p>
            <w:pPr>
              <w:spacing w:after="0"/>
            </w:pPr>
            <w:r>
              <w:rPr>
                <w:rFonts w:ascii="Arial" w:hAnsi="Arial"/>
                <w:color w:val="111827"/>
                <w:sz w:val="14"/>
              </w:rPr>
              <w:t>Transactional outbox for reliable domain side effects.</w:t>
            </w:r>
          </w:p>
        </w:tc>
      </w:tr>
      <w:tr>
        <w:trPr>
          <w:cantSplit/>
        </w:trPr>
        <w:tc>
          <w:tcPr>
            <w:tcW w:type="dxa" w:w="1728"/>
            <w:vAlign w:val="top"/>
            <w:shd w:fill="F9FAFB"/>
          </w:tcPr>
          <w:p>
            <w:pPr>
              <w:spacing w:after="0"/>
            </w:pPr>
            <w:r>
              <w:rPr>
                <w:rFonts w:ascii="Arial" w:hAnsi="Arial"/>
                <w:color w:val="111827"/>
                <w:sz w:val="14"/>
              </w:rPr>
              <w:t>ADR-008</w:t>
            </w:r>
          </w:p>
        </w:tc>
        <w:tc>
          <w:tcPr>
            <w:tcW w:type="dxa" w:w="8208"/>
            <w:vAlign w:val="top"/>
            <w:shd w:fill="F9FAFB"/>
          </w:tcPr>
          <w:p>
            <w:pPr>
              <w:spacing w:after="0"/>
            </w:pPr>
            <w:r>
              <w:rPr>
                <w:rFonts w:ascii="Arial" w:hAnsi="Arial"/>
                <w:color w:val="111827"/>
                <w:sz w:val="14"/>
              </w:rPr>
              <w:t>PostgreSQL full-text search before external search engine.</w:t>
            </w:r>
          </w:p>
        </w:tc>
      </w:tr>
      <w:tr>
        <w:trPr>
          <w:cantSplit/>
        </w:trPr>
        <w:tc>
          <w:tcPr>
            <w:tcW w:type="dxa" w:w="1728"/>
            <w:vAlign w:val="top"/>
          </w:tcPr>
          <w:p>
            <w:pPr>
              <w:spacing w:after="0"/>
            </w:pPr>
            <w:r>
              <w:rPr>
                <w:rFonts w:ascii="Arial" w:hAnsi="Arial"/>
                <w:color w:val="111827"/>
                <w:sz w:val="14"/>
              </w:rPr>
              <w:t>ADR-009</w:t>
            </w:r>
          </w:p>
        </w:tc>
        <w:tc>
          <w:tcPr>
            <w:tcW w:type="dxa" w:w="8208"/>
            <w:vAlign w:val="top"/>
          </w:tcPr>
          <w:p>
            <w:pPr>
              <w:spacing w:after="0"/>
            </w:pPr>
            <w:r>
              <w:rPr>
                <w:rFonts w:ascii="Arial" w:hAnsi="Arial"/>
                <w:color w:val="111827"/>
                <w:sz w:val="14"/>
              </w:rPr>
              <w:t>Containerized deployment with managed persistent services where possible.</w:t>
            </w:r>
          </w:p>
        </w:tc>
      </w:tr>
    </w:tbl>
    <w:p>
      <w:pPr>
        <w:spacing w:after="0"/>
      </w:pPr>
    </w:p>
    <w:p>
      <w:pPr>
        <w:pStyle w:val="Heading1"/>
      </w:pPr>
      <w:r>
        <w:t>Appendix C - Project Bootstrap Checklist</w:t>
      </w:r>
    </w:p>
    <w:tbl>
      <w:tblPr>
        <w:tblStyle w:val="TableGrid"/>
        <w:tblW w:type="auto" w:w="0"/>
        <w:jc w:val="center"/>
        <w:tblLayout w:type="fixed"/>
        <w:tblLook w:firstColumn="1" w:firstRow="1" w:lastColumn="0" w:lastRow="0" w:noHBand="0" w:noVBand="1" w:val="04A0"/>
      </w:tblPr>
      <w:tblGrid>
        <w:gridCol w:w="4974"/>
        <w:gridCol w:w="4974"/>
      </w:tblGrid>
      <w:tr>
        <w:trPr>
          <w:tblHeader w:val="true"/>
          <w:cantSplit/>
        </w:trPr>
        <w:tc>
          <w:tcPr>
            <w:tcW w:type="dxa" w:w="2304"/>
            <w:shd w:fill="5B21B6"/>
            <w:vAlign w:val="center"/>
          </w:tcPr>
          <w:p>
            <w:pPr>
              <w:jc w:val="left"/>
            </w:pPr>
            <w:r>
              <w:rPr>
                <w:rFonts w:ascii="Arial" w:hAnsi="Arial"/>
                <w:b/>
                <w:color w:val="FFFFFF"/>
                <w:sz w:val="14"/>
              </w:rPr>
              <w:t>Check</w:t>
            </w:r>
          </w:p>
        </w:tc>
        <w:tc>
          <w:tcPr>
            <w:tcW w:type="dxa" w:w="7632"/>
            <w:shd w:fill="5B21B6"/>
            <w:vAlign w:val="center"/>
          </w:tcPr>
          <w:p>
            <w:pPr>
              <w:jc w:val="left"/>
            </w:pPr>
            <w:r>
              <w:rPr>
                <w:rFonts w:ascii="Arial" w:hAnsi="Arial"/>
                <w:b/>
                <w:color w:val="FFFFFF"/>
                <w:sz w:val="14"/>
              </w:rPr>
              <w:t>Required Evidence</w:t>
            </w:r>
          </w:p>
        </w:tc>
      </w:tr>
      <w:tr>
        <w:trPr>
          <w:cantSplit/>
        </w:trPr>
        <w:tc>
          <w:tcPr>
            <w:tcW w:type="dxa" w:w="2304"/>
            <w:vAlign w:val="top"/>
          </w:tcPr>
          <w:p>
            <w:pPr>
              <w:spacing w:after="0"/>
            </w:pPr>
            <w:r>
              <w:rPr>
                <w:rFonts w:ascii="Arial" w:hAnsi="Arial"/>
                <w:color w:val="111827"/>
                <w:sz w:val="14"/>
              </w:rPr>
              <w:t>Technology versions</w:t>
            </w:r>
          </w:p>
        </w:tc>
        <w:tc>
          <w:tcPr>
            <w:tcW w:type="dxa" w:w="7632"/>
            <w:vAlign w:val="top"/>
          </w:tcPr>
          <w:p>
            <w:pPr>
              <w:spacing w:after="0"/>
            </w:pPr>
            <w:r>
              <w:rPr>
                <w:rFonts w:ascii="Arial" w:hAnsi="Arial"/>
                <w:color w:val="111827"/>
                <w:sz w:val="14"/>
              </w:rPr>
              <w:t>Approved Node, React, PostgreSQL, Prisma, NestJS, and package-manager versions recorded in ADRs.</w:t>
            </w:r>
          </w:p>
        </w:tc>
      </w:tr>
      <w:tr>
        <w:trPr>
          <w:cantSplit/>
        </w:trPr>
        <w:tc>
          <w:tcPr>
            <w:tcW w:type="dxa" w:w="2304"/>
            <w:vAlign w:val="top"/>
            <w:shd w:fill="F9FAFB"/>
          </w:tcPr>
          <w:p>
            <w:pPr>
              <w:spacing w:after="0"/>
            </w:pPr>
            <w:r>
              <w:rPr>
                <w:rFonts w:ascii="Arial" w:hAnsi="Arial"/>
                <w:color w:val="111827"/>
                <w:sz w:val="14"/>
              </w:rPr>
              <w:t>Repository</w:t>
            </w:r>
          </w:p>
        </w:tc>
        <w:tc>
          <w:tcPr>
            <w:tcW w:type="dxa" w:w="7632"/>
            <w:vAlign w:val="top"/>
            <w:shd w:fill="F9FAFB"/>
          </w:tcPr>
          <w:p>
            <w:pPr>
              <w:spacing w:after="0"/>
            </w:pPr>
            <w:r>
              <w:rPr>
                <w:rFonts w:ascii="Arial" w:hAnsi="Arial"/>
                <w:color w:val="111827"/>
                <w:sz w:val="14"/>
              </w:rPr>
              <w:t>Monorepo created with protected branches, CODEOWNERS, pull-request template, and lockfile.</w:t>
            </w:r>
          </w:p>
        </w:tc>
      </w:tr>
      <w:tr>
        <w:trPr>
          <w:cantSplit/>
        </w:trPr>
        <w:tc>
          <w:tcPr>
            <w:tcW w:type="dxa" w:w="2304"/>
            <w:vAlign w:val="top"/>
          </w:tcPr>
          <w:p>
            <w:pPr>
              <w:spacing w:after="0"/>
            </w:pPr>
            <w:r>
              <w:rPr>
                <w:rFonts w:ascii="Arial" w:hAnsi="Arial"/>
                <w:color w:val="111827"/>
                <w:sz w:val="14"/>
              </w:rPr>
              <w:t>Security</w:t>
            </w:r>
          </w:p>
        </w:tc>
        <w:tc>
          <w:tcPr>
            <w:tcW w:type="dxa" w:w="7632"/>
            <w:vAlign w:val="top"/>
          </w:tcPr>
          <w:p>
            <w:pPr>
              <w:spacing w:after="0"/>
            </w:pPr>
            <w:r>
              <w:rPr>
                <w:rFonts w:ascii="Arial" w:hAnsi="Arial"/>
                <w:color w:val="111827"/>
                <w:sz w:val="14"/>
              </w:rPr>
              <w:t>Threat-model workshop scheduled; authentication, authorization, secrets, and upload controls assigned.</w:t>
            </w:r>
          </w:p>
        </w:tc>
      </w:tr>
      <w:tr>
        <w:trPr>
          <w:cantSplit/>
        </w:trPr>
        <w:tc>
          <w:tcPr>
            <w:tcW w:type="dxa" w:w="2304"/>
            <w:vAlign w:val="top"/>
            <w:shd w:fill="F9FAFB"/>
          </w:tcPr>
          <w:p>
            <w:pPr>
              <w:spacing w:after="0"/>
            </w:pPr>
            <w:r>
              <w:rPr>
                <w:rFonts w:ascii="Arial" w:hAnsi="Arial"/>
                <w:color w:val="111827"/>
                <w:sz w:val="14"/>
              </w:rPr>
              <w:t>Data</w:t>
            </w:r>
          </w:p>
        </w:tc>
        <w:tc>
          <w:tcPr>
            <w:tcW w:type="dxa" w:w="7632"/>
            <w:vAlign w:val="top"/>
            <w:shd w:fill="F9FAFB"/>
          </w:tcPr>
          <w:p>
            <w:pPr>
              <w:spacing w:after="0"/>
            </w:pPr>
            <w:r>
              <w:rPr>
                <w:rFonts w:ascii="Arial" w:hAnsi="Arial"/>
                <w:color w:val="111827"/>
                <w:sz w:val="14"/>
              </w:rPr>
              <w:t>Initial Prisma schema, migration policy, naming rules, backup plan, and anonymized seed data approved.</w:t>
            </w:r>
          </w:p>
        </w:tc>
      </w:tr>
      <w:tr>
        <w:trPr>
          <w:cantSplit/>
        </w:trPr>
        <w:tc>
          <w:tcPr>
            <w:tcW w:type="dxa" w:w="2304"/>
            <w:vAlign w:val="top"/>
          </w:tcPr>
          <w:p>
            <w:pPr>
              <w:spacing w:after="0"/>
            </w:pPr>
            <w:r>
              <w:rPr>
                <w:rFonts w:ascii="Arial" w:hAnsi="Arial"/>
                <w:color w:val="111827"/>
                <w:sz w:val="14"/>
              </w:rPr>
              <w:t>Files</w:t>
            </w:r>
          </w:p>
        </w:tc>
        <w:tc>
          <w:tcPr>
            <w:tcW w:type="dxa" w:w="7632"/>
            <w:vAlign w:val="top"/>
          </w:tcPr>
          <w:p>
            <w:pPr>
              <w:spacing w:after="0"/>
            </w:pPr>
            <w:r>
              <w:rPr>
                <w:rFonts w:ascii="Arial" w:hAnsi="Arial"/>
                <w:color w:val="111827"/>
                <w:sz w:val="14"/>
              </w:rPr>
              <w:t>Private bucket, quarantine prefix, scanning worker, checksums, lifecycle, and presigned URL policy configured.</w:t>
            </w:r>
          </w:p>
        </w:tc>
      </w:tr>
      <w:tr>
        <w:trPr>
          <w:cantSplit/>
        </w:trPr>
        <w:tc>
          <w:tcPr>
            <w:tcW w:type="dxa" w:w="2304"/>
            <w:vAlign w:val="top"/>
            <w:shd w:fill="F9FAFB"/>
          </w:tcPr>
          <w:p>
            <w:pPr>
              <w:spacing w:after="0"/>
            </w:pPr>
            <w:r>
              <w:rPr>
                <w:rFonts w:ascii="Arial" w:hAnsi="Arial"/>
                <w:color w:val="111827"/>
                <w:sz w:val="14"/>
              </w:rPr>
              <w:t>CI/CD</w:t>
            </w:r>
          </w:p>
        </w:tc>
        <w:tc>
          <w:tcPr>
            <w:tcW w:type="dxa" w:w="7632"/>
            <w:vAlign w:val="top"/>
            <w:shd w:fill="F9FAFB"/>
          </w:tcPr>
          <w:p>
            <w:pPr>
              <w:spacing w:after="0"/>
            </w:pPr>
            <w:r>
              <w:rPr>
                <w:rFonts w:ascii="Arial" w:hAnsi="Arial"/>
                <w:color w:val="111827"/>
                <w:sz w:val="14"/>
              </w:rPr>
              <w:t>Lint, type-check, tests, migration validation, OpenAPI generation, scans, image build, and staging deploy enabled.</w:t>
            </w:r>
          </w:p>
        </w:tc>
      </w:tr>
      <w:tr>
        <w:trPr>
          <w:cantSplit/>
        </w:trPr>
        <w:tc>
          <w:tcPr>
            <w:tcW w:type="dxa" w:w="2304"/>
            <w:vAlign w:val="top"/>
          </w:tcPr>
          <w:p>
            <w:pPr>
              <w:spacing w:after="0"/>
            </w:pPr>
            <w:r>
              <w:rPr>
                <w:rFonts w:ascii="Arial" w:hAnsi="Arial"/>
                <w:color w:val="111827"/>
                <w:sz w:val="14"/>
              </w:rPr>
              <w:t>Observability</w:t>
            </w:r>
          </w:p>
        </w:tc>
        <w:tc>
          <w:tcPr>
            <w:tcW w:type="dxa" w:w="7632"/>
            <w:vAlign w:val="top"/>
          </w:tcPr>
          <w:p>
            <w:pPr>
              <w:spacing w:after="0"/>
            </w:pPr>
            <w:r>
              <w:rPr>
                <w:rFonts w:ascii="Arial" w:hAnsi="Arial"/>
                <w:color w:val="111827"/>
                <w:sz w:val="14"/>
              </w:rPr>
              <w:t>Correlation IDs, structured logs, OpenTelemetry exporter, dashboards, alerts, and runbook location configured.</w:t>
            </w:r>
          </w:p>
        </w:tc>
      </w:tr>
      <w:tr>
        <w:trPr>
          <w:cantSplit/>
        </w:trPr>
        <w:tc>
          <w:tcPr>
            <w:tcW w:type="dxa" w:w="2304"/>
            <w:vAlign w:val="top"/>
            <w:shd w:fill="F9FAFB"/>
          </w:tcPr>
          <w:p>
            <w:pPr>
              <w:spacing w:after="0"/>
            </w:pPr>
            <w:r>
              <w:rPr>
                <w:rFonts w:ascii="Arial" w:hAnsi="Arial"/>
                <w:color w:val="111827"/>
                <w:sz w:val="14"/>
              </w:rPr>
              <w:t>Quality</w:t>
            </w:r>
          </w:p>
        </w:tc>
        <w:tc>
          <w:tcPr>
            <w:tcW w:type="dxa" w:w="7632"/>
            <w:vAlign w:val="top"/>
            <w:shd w:fill="F9FAFB"/>
          </w:tcPr>
          <w:p>
            <w:pPr>
              <w:spacing w:after="0"/>
            </w:pPr>
            <w:r>
              <w:rPr>
                <w:rFonts w:ascii="Arial" w:hAnsi="Arial"/>
                <w:color w:val="111827"/>
                <w:sz w:val="14"/>
              </w:rPr>
              <w:t>Reference feature demonstrates API, database transaction, permissions, audit, file access, tests, and deployment.</w:t>
            </w:r>
          </w:p>
        </w:tc>
      </w:tr>
      <w:tr>
        <w:trPr>
          <w:cantSplit/>
        </w:trPr>
        <w:tc>
          <w:tcPr>
            <w:tcW w:type="dxa" w:w="2304"/>
            <w:vAlign w:val="top"/>
          </w:tcPr>
          <w:p>
            <w:pPr>
              <w:spacing w:after="0"/>
            </w:pPr>
            <w:r>
              <w:rPr>
                <w:rFonts w:ascii="Arial" w:hAnsi="Arial"/>
                <w:color w:val="111827"/>
                <w:sz w:val="14"/>
              </w:rPr>
              <w:t>Operations</w:t>
            </w:r>
          </w:p>
        </w:tc>
        <w:tc>
          <w:tcPr>
            <w:tcW w:type="dxa" w:w="7632"/>
            <w:vAlign w:val="top"/>
          </w:tcPr>
          <w:p>
            <w:pPr>
              <w:spacing w:after="0"/>
            </w:pPr>
            <w:r>
              <w:rPr>
                <w:rFonts w:ascii="Arial" w:hAnsi="Arial"/>
                <w:color w:val="111827"/>
                <w:sz w:val="14"/>
              </w:rPr>
              <w:t>Environment ownership, support contacts, incident process, restore procedure, RPO/RTO, and release approval defined.</w:t>
            </w:r>
          </w:p>
        </w:tc>
      </w:tr>
    </w:tbl>
    <w:p>
      <w:pPr>
        <w:spacing w:after="0"/>
      </w:pPr>
    </w:p>
    <w:p>
      <w:pPr>
        <w:pStyle w:val="Heading1"/>
      </w:pPr>
      <w:r>
        <w:t>Appendix D - Technical Sign-Off</w:t>
      </w:r>
    </w:p>
    <w:tbl>
      <w:tblPr>
        <w:tblStyle w:val="TableGrid"/>
        <w:tblW w:type="auto" w:w="0"/>
        <w:jc w:val="center"/>
        <w:tblLayout w:type="fixed"/>
        <w:tblLook w:firstColumn="1" w:firstRow="1" w:lastColumn="0" w:lastRow="0" w:noHBand="0" w:noVBand="1" w:val="04A0"/>
      </w:tblPr>
      <w:tblGrid>
        <w:gridCol w:w="2487"/>
        <w:gridCol w:w="2487"/>
        <w:gridCol w:w="2487"/>
        <w:gridCol w:w="2487"/>
      </w:tblGrid>
      <w:tr>
        <w:trPr>
          <w:tblHeader w:val="true"/>
          <w:cantSplit/>
        </w:trPr>
        <w:tc>
          <w:tcPr>
            <w:tcW w:type="dxa" w:w="2880"/>
            <w:shd w:fill="5B21B6"/>
            <w:vAlign w:val="center"/>
          </w:tcPr>
          <w:p>
            <w:pPr>
              <w:jc w:val="left"/>
            </w:pPr>
            <w:r>
              <w:rPr>
                <w:rFonts w:ascii="Arial" w:hAnsi="Arial"/>
                <w:b/>
                <w:color w:val="FFFFFF"/>
                <w:sz w:val="15"/>
              </w:rPr>
              <w:t>Role</w:t>
            </w:r>
          </w:p>
        </w:tc>
        <w:tc>
          <w:tcPr>
            <w:tcW w:type="dxa" w:w="2736"/>
            <w:shd w:fill="5B21B6"/>
            <w:vAlign w:val="center"/>
          </w:tcPr>
          <w:p>
            <w:pPr>
              <w:jc w:val="left"/>
            </w:pPr>
            <w:r>
              <w:rPr>
                <w:rFonts w:ascii="Arial" w:hAnsi="Arial"/>
                <w:b/>
                <w:color w:val="FFFFFF"/>
                <w:sz w:val="15"/>
              </w:rPr>
              <w:t>Name</w:t>
            </w:r>
          </w:p>
        </w:tc>
        <w:tc>
          <w:tcPr>
            <w:tcW w:type="dxa" w:w="2016"/>
            <w:shd w:fill="5B21B6"/>
            <w:vAlign w:val="center"/>
          </w:tcPr>
          <w:p>
            <w:pPr>
              <w:jc w:val="left"/>
            </w:pPr>
            <w:r>
              <w:rPr>
                <w:rFonts w:ascii="Arial" w:hAnsi="Arial"/>
                <w:b/>
                <w:color w:val="FFFFFF"/>
                <w:sz w:val="15"/>
              </w:rPr>
              <w:t>Decision</w:t>
            </w:r>
          </w:p>
        </w:tc>
        <w:tc>
          <w:tcPr>
            <w:tcW w:type="dxa" w:w="2160"/>
            <w:shd w:fill="5B21B6"/>
            <w:vAlign w:val="center"/>
          </w:tcPr>
          <w:p>
            <w:pPr>
              <w:jc w:val="left"/>
            </w:pPr>
            <w:r>
              <w:rPr>
                <w:rFonts w:ascii="Arial" w:hAnsi="Arial"/>
                <w:b/>
                <w:color w:val="FFFFFF"/>
                <w:sz w:val="15"/>
              </w:rPr>
              <w:t>Date</w:t>
            </w:r>
          </w:p>
        </w:tc>
      </w:tr>
      <w:tr>
        <w:trPr>
          <w:cantSplit/>
        </w:trPr>
        <w:tc>
          <w:tcPr>
            <w:tcW w:type="dxa" w:w="2880"/>
            <w:vAlign w:val="top"/>
          </w:tcPr>
          <w:p>
            <w:pPr>
              <w:spacing w:after="0"/>
            </w:pPr>
            <w:r>
              <w:rPr>
                <w:rFonts w:ascii="Arial" w:hAnsi="Arial"/>
                <w:color w:val="111827"/>
                <w:sz w:val="15"/>
              </w:rPr>
              <w:t>Technical Lead / Architect</w:t>
            </w:r>
          </w:p>
        </w:tc>
        <w:tc>
          <w:tcPr>
            <w:tcW w:type="dxa" w:w="2736"/>
            <w:vAlign w:val="top"/>
          </w:tcPr>
          <w:p>
            <w:pPr>
              <w:spacing w:after="0"/>
            </w:pPr>
            <w:r>
              <w:rPr>
                <w:rFonts w:ascii="Arial" w:hAnsi="Arial"/>
                <w:color w:val="111827"/>
                <w:sz w:val="15"/>
              </w:rPr>
            </w:r>
          </w:p>
        </w:tc>
        <w:tc>
          <w:tcPr>
            <w:tcW w:type="dxa" w:w="2016"/>
            <w:vAlign w:val="top"/>
          </w:tcPr>
          <w:p>
            <w:pPr>
              <w:spacing w:after="0"/>
            </w:pPr>
            <w:r>
              <w:rPr>
                <w:rFonts w:ascii="Arial" w:hAnsi="Arial"/>
                <w:color w:val="111827"/>
                <w:sz w:val="15"/>
              </w:rPr>
              <w:t>Pending</w:t>
            </w:r>
          </w:p>
        </w:tc>
        <w:tc>
          <w:tcPr>
            <w:tcW w:type="dxa" w:w="2160"/>
            <w:vAlign w:val="top"/>
          </w:tcPr>
          <w:p>
            <w:pPr>
              <w:spacing w:after="0"/>
            </w:pPr>
            <w:r>
              <w:rPr>
                <w:rFonts w:ascii="Arial" w:hAnsi="Arial"/>
                <w:color w:val="111827"/>
                <w:sz w:val="15"/>
              </w:rPr>
            </w:r>
          </w:p>
        </w:tc>
      </w:tr>
      <w:tr>
        <w:trPr>
          <w:cantSplit/>
        </w:trPr>
        <w:tc>
          <w:tcPr>
            <w:tcW w:type="dxa" w:w="2880"/>
            <w:vAlign w:val="top"/>
            <w:shd w:fill="F9FAFB"/>
          </w:tcPr>
          <w:p>
            <w:pPr>
              <w:spacing w:after="0"/>
            </w:pPr>
            <w:r>
              <w:rPr>
                <w:rFonts w:ascii="Arial" w:hAnsi="Arial"/>
                <w:color w:val="111827"/>
                <w:sz w:val="15"/>
              </w:rPr>
              <w:t>Security Owner</w:t>
            </w:r>
          </w:p>
        </w:tc>
        <w:tc>
          <w:tcPr>
            <w:tcW w:type="dxa" w:w="2736"/>
            <w:vAlign w:val="top"/>
            <w:shd w:fill="F9FAFB"/>
          </w:tcPr>
          <w:p>
            <w:pPr>
              <w:spacing w:after="0"/>
            </w:pPr>
            <w:r>
              <w:rPr>
                <w:rFonts w:ascii="Arial" w:hAnsi="Arial"/>
                <w:color w:val="111827"/>
                <w:sz w:val="15"/>
              </w:rPr>
            </w:r>
          </w:p>
        </w:tc>
        <w:tc>
          <w:tcPr>
            <w:tcW w:type="dxa" w:w="2016"/>
            <w:vAlign w:val="top"/>
            <w:shd w:fill="F9FAFB"/>
          </w:tcPr>
          <w:p>
            <w:pPr>
              <w:spacing w:after="0"/>
            </w:pPr>
            <w:r>
              <w:rPr>
                <w:rFonts w:ascii="Arial" w:hAnsi="Arial"/>
                <w:color w:val="111827"/>
                <w:sz w:val="15"/>
              </w:rPr>
              <w:t>Pending</w:t>
            </w:r>
          </w:p>
        </w:tc>
        <w:tc>
          <w:tcPr>
            <w:tcW w:type="dxa" w:w="2160"/>
            <w:vAlign w:val="top"/>
            <w:shd w:fill="F9FAFB"/>
          </w:tcPr>
          <w:p>
            <w:pPr>
              <w:spacing w:after="0"/>
            </w:pPr>
            <w:r>
              <w:rPr>
                <w:rFonts w:ascii="Arial" w:hAnsi="Arial"/>
                <w:color w:val="111827"/>
                <w:sz w:val="15"/>
              </w:rPr>
            </w:r>
          </w:p>
        </w:tc>
      </w:tr>
      <w:tr>
        <w:trPr>
          <w:cantSplit/>
        </w:trPr>
        <w:tc>
          <w:tcPr>
            <w:tcW w:type="dxa" w:w="2880"/>
            <w:vAlign w:val="top"/>
          </w:tcPr>
          <w:p>
            <w:pPr>
              <w:spacing w:after="0"/>
            </w:pPr>
            <w:r>
              <w:rPr>
                <w:rFonts w:ascii="Arial" w:hAnsi="Arial"/>
                <w:color w:val="111827"/>
                <w:sz w:val="15"/>
              </w:rPr>
              <w:t>DevOps Owner</w:t>
            </w:r>
          </w:p>
        </w:tc>
        <w:tc>
          <w:tcPr>
            <w:tcW w:type="dxa" w:w="2736"/>
            <w:vAlign w:val="top"/>
          </w:tcPr>
          <w:p>
            <w:pPr>
              <w:spacing w:after="0"/>
            </w:pPr>
            <w:r>
              <w:rPr>
                <w:rFonts w:ascii="Arial" w:hAnsi="Arial"/>
                <w:color w:val="111827"/>
                <w:sz w:val="15"/>
              </w:rPr>
            </w:r>
          </w:p>
        </w:tc>
        <w:tc>
          <w:tcPr>
            <w:tcW w:type="dxa" w:w="2016"/>
            <w:vAlign w:val="top"/>
          </w:tcPr>
          <w:p>
            <w:pPr>
              <w:spacing w:after="0"/>
            </w:pPr>
            <w:r>
              <w:rPr>
                <w:rFonts w:ascii="Arial" w:hAnsi="Arial"/>
                <w:color w:val="111827"/>
                <w:sz w:val="15"/>
              </w:rPr>
              <w:t>Pending</w:t>
            </w:r>
          </w:p>
        </w:tc>
        <w:tc>
          <w:tcPr>
            <w:tcW w:type="dxa" w:w="2160"/>
            <w:vAlign w:val="top"/>
          </w:tcPr>
          <w:p>
            <w:pPr>
              <w:spacing w:after="0"/>
            </w:pPr>
            <w:r>
              <w:rPr>
                <w:rFonts w:ascii="Arial" w:hAnsi="Arial"/>
                <w:color w:val="111827"/>
                <w:sz w:val="15"/>
              </w:rPr>
            </w:r>
          </w:p>
        </w:tc>
      </w:tr>
      <w:tr>
        <w:trPr>
          <w:cantSplit/>
        </w:trPr>
        <w:tc>
          <w:tcPr>
            <w:tcW w:type="dxa" w:w="2880"/>
            <w:vAlign w:val="top"/>
            <w:shd w:fill="F9FAFB"/>
          </w:tcPr>
          <w:p>
            <w:pPr>
              <w:spacing w:after="0"/>
            </w:pPr>
            <w:r>
              <w:rPr>
                <w:rFonts w:ascii="Arial" w:hAnsi="Arial"/>
                <w:color w:val="111827"/>
                <w:sz w:val="15"/>
              </w:rPr>
              <w:t>QA Lead</w:t>
            </w:r>
          </w:p>
        </w:tc>
        <w:tc>
          <w:tcPr>
            <w:tcW w:type="dxa" w:w="2736"/>
            <w:vAlign w:val="top"/>
            <w:shd w:fill="F9FAFB"/>
          </w:tcPr>
          <w:p>
            <w:pPr>
              <w:spacing w:after="0"/>
            </w:pPr>
            <w:r>
              <w:rPr>
                <w:rFonts w:ascii="Arial" w:hAnsi="Arial"/>
                <w:color w:val="111827"/>
                <w:sz w:val="15"/>
              </w:rPr>
            </w:r>
          </w:p>
        </w:tc>
        <w:tc>
          <w:tcPr>
            <w:tcW w:type="dxa" w:w="2016"/>
            <w:vAlign w:val="top"/>
            <w:shd w:fill="F9FAFB"/>
          </w:tcPr>
          <w:p>
            <w:pPr>
              <w:spacing w:after="0"/>
            </w:pPr>
            <w:r>
              <w:rPr>
                <w:rFonts w:ascii="Arial" w:hAnsi="Arial"/>
                <w:color w:val="111827"/>
                <w:sz w:val="15"/>
              </w:rPr>
              <w:t>Pending</w:t>
            </w:r>
          </w:p>
        </w:tc>
        <w:tc>
          <w:tcPr>
            <w:tcW w:type="dxa" w:w="2160"/>
            <w:vAlign w:val="top"/>
            <w:shd w:fill="F9FAFB"/>
          </w:tcPr>
          <w:p>
            <w:pPr>
              <w:spacing w:after="0"/>
            </w:pPr>
            <w:r>
              <w:rPr>
                <w:rFonts w:ascii="Arial" w:hAnsi="Arial"/>
                <w:color w:val="111827"/>
                <w:sz w:val="15"/>
              </w:rPr>
            </w:r>
          </w:p>
        </w:tc>
      </w:tr>
      <w:tr>
        <w:trPr>
          <w:cantSplit/>
        </w:trPr>
        <w:tc>
          <w:tcPr>
            <w:tcW w:type="dxa" w:w="2880"/>
            <w:vAlign w:val="top"/>
          </w:tcPr>
          <w:p>
            <w:pPr>
              <w:spacing w:after="0"/>
            </w:pPr>
            <w:r>
              <w:rPr>
                <w:rFonts w:ascii="Arial" w:hAnsi="Arial"/>
                <w:color w:val="111827"/>
                <w:sz w:val="15"/>
              </w:rPr>
              <w:t>Product / Business Owner</w:t>
            </w:r>
          </w:p>
        </w:tc>
        <w:tc>
          <w:tcPr>
            <w:tcW w:type="dxa" w:w="2736"/>
            <w:vAlign w:val="top"/>
          </w:tcPr>
          <w:p>
            <w:pPr>
              <w:spacing w:after="0"/>
            </w:pPr>
            <w:r>
              <w:rPr>
                <w:rFonts w:ascii="Arial" w:hAnsi="Arial"/>
                <w:color w:val="111827"/>
                <w:sz w:val="15"/>
              </w:rPr>
            </w:r>
          </w:p>
        </w:tc>
        <w:tc>
          <w:tcPr>
            <w:tcW w:type="dxa" w:w="2016"/>
            <w:vAlign w:val="top"/>
          </w:tcPr>
          <w:p>
            <w:pPr>
              <w:spacing w:after="0"/>
            </w:pPr>
            <w:r>
              <w:rPr>
                <w:rFonts w:ascii="Arial" w:hAnsi="Arial"/>
                <w:color w:val="111827"/>
                <w:sz w:val="15"/>
              </w:rPr>
              <w:t>Pending</w:t>
            </w:r>
          </w:p>
        </w:tc>
        <w:tc>
          <w:tcPr>
            <w:tcW w:type="dxa" w:w="2160"/>
            <w:vAlign w:val="top"/>
          </w:tcPr>
          <w:p>
            <w:pPr>
              <w:spacing w:after="0"/>
            </w:pPr>
            <w:r>
              <w:rPr>
                <w:rFonts w:ascii="Arial" w:hAnsi="Arial"/>
                <w:color w:val="111827"/>
                <w:sz w:val="15"/>
              </w:rPr>
            </w:r>
          </w:p>
        </w:tc>
      </w:tr>
    </w:tbl>
    <w:p>
      <w:pPr>
        <w:spacing w:after="0"/>
      </w:pPr>
    </w:p>
    <w:sectPr w:rsidR="00FC693F" w:rsidRPr="0006063C" w:rsidSect="00034616">
      <w:headerReference w:type="default" r:id="rId9"/>
      <w:footerReference w:type="default" r:id="rId10"/>
      <w:pgSz w:w="11906" w:h="16838"/>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5"/>
      </w:rPr>
      <w:t xml:space="preserve">RF-TTG-001 | 1.0 Draft | Confidential - Planning Draft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RecruitFlow | Technical &amp; Technology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5B21B6"/>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7C3AE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5B21B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60" w:after="80"/>
    </w:pPr>
    <w:rPr>
      <w:rFonts w:asciiTheme="majorHAnsi" w:eastAsiaTheme="majorEastAsia" w:hAnsiTheme="majorHAnsi" w:cstheme="majorBidi" w:ascii="Arial" w:hAnsi="Arial"/>
      <w:b w:val="0"/>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color w:val="11182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color w:val="111827"/>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line="240" w:lineRule="auto"/>
      <w:ind w:left="259" w:right="259"/>
    </w:pPr>
    <w:rPr>
      <w:rFonts w:ascii="Courier New" w:hAnsi="Courier New"/>
      <w:color w:val="111827"/>
      <w:sz w:val="16"/>
    </w:rPr>
  </w:style>
  <w:style w:type="paragraph" w:customStyle="1" w:styleId="SmallText">
    <w:name w:val="Small Text"/>
    <w:pPr>
      <w:spacing w:after="40"/>
    </w:pPr>
    <w:rPr>
      <w:rFonts w:ascii="Arial" w:hAnsi="Arial"/>
      <w:color w:val="6B728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odejs.org/en/about/previous-releases" TargetMode="External"/><Relationship Id="rId15" Type="http://schemas.openxmlformats.org/officeDocument/2006/relationships/hyperlink" Target="https://nodejs.org/en/download" TargetMode="External"/><Relationship Id="rId16" Type="http://schemas.openxmlformats.org/officeDocument/2006/relationships/hyperlink" Target="https://react.dev/versions" TargetMode="External"/><Relationship Id="rId17" Type="http://schemas.openxmlformats.org/officeDocument/2006/relationships/hyperlink" Target="https://react.dev/blog/2025/10/01/react-19-2" TargetMode="External"/><Relationship Id="rId18" Type="http://schemas.openxmlformats.org/officeDocument/2006/relationships/hyperlink" Target="https://vite.dev/guide/" TargetMode="External"/><Relationship Id="rId19" Type="http://schemas.openxmlformats.org/officeDocument/2006/relationships/hyperlink" Target="https://docs.nestjs.com/introduction" TargetMode="External"/><Relationship Id="rId20" Type="http://schemas.openxmlformats.org/officeDocument/2006/relationships/hyperlink" Target="https://docs.nestjs.com/openapi/introduction" TargetMode="External"/><Relationship Id="rId21" Type="http://schemas.openxmlformats.org/officeDocument/2006/relationships/hyperlink" Target="https://www.postgresql.org/docs/18/" TargetMode="External"/><Relationship Id="rId22" Type="http://schemas.openxmlformats.org/officeDocument/2006/relationships/hyperlink" Target="https://www.postgresql.org/support/versioning/" TargetMode="External"/><Relationship Id="rId23" Type="http://schemas.openxmlformats.org/officeDocument/2006/relationships/hyperlink" Target="https://www.postgresql.org/docs/current/functions-uuid.html" TargetMode="External"/><Relationship Id="rId24" Type="http://schemas.openxmlformats.org/officeDocument/2006/relationships/hyperlink" Target="https://www.prisma.io/docs/orm" TargetMode="External"/><Relationship Id="rId25" Type="http://schemas.openxmlformats.org/officeDocument/2006/relationships/hyperlink" Target="https://tanstack.com/query/latest/docs/framework/react" TargetMode="External"/><Relationship Id="rId26" Type="http://schemas.openxmlformats.org/officeDocument/2006/relationships/hyperlink" Target="https://docs.aws.amazon.com/AmazonS3/latest/userguide/using-presigned-url.html" TargetMode="External"/><Relationship Id="rId27" Type="http://schemas.openxmlformats.org/officeDocument/2006/relationships/hyperlink" Target="https://redis.io/docs/latest/develop/use-cases/job-queue/" TargetMode="External"/><Relationship Id="rId28" Type="http://schemas.openxmlformats.org/officeDocument/2006/relationships/hyperlink" Target="https://docs.bullmq.io/" TargetMode="External"/><Relationship Id="rId29" Type="http://schemas.openxmlformats.org/officeDocument/2006/relationships/hyperlink" Target="https://opentelemetry.io/docs/languages/js/" TargetMode="External"/><Relationship Id="rId30" Type="http://schemas.openxmlformats.org/officeDocument/2006/relationships/hyperlink" Target="https://owasp.org/www-project-application-security-verification-standard/" TargetMode="External"/><Relationship Id="rId31" Type="http://schemas.openxmlformats.org/officeDocument/2006/relationships/hyperlink" Target="https://owasp.org/API-Security/" TargetMode="External"/><Relationship Id="rId32" Type="http://schemas.openxmlformats.org/officeDocument/2006/relationships/hyperlink" Target="https://datatracker.ietf.org/doc/html/rfc9457" TargetMode="External"/><Relationship Id="rId33" Type="http://schemas.openxmlformats.org/officeDocument/2006/relationships/hyperlink" Target="https://playwright.dev/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