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5B21B6"/>
          <w:sz w:val="60"/>
        </w:rPr>
        <w:t>AssessFlow</w:t>
      </w:r>
    </w:p>
    <w:p>
      <w:r>
        <w:rPr>
          <w:rFonts w:ascii="Arial" w:hAnsi="Arial"/>
          <w:b/>
          <w:color w:val="111827"/>
          <w:sz w:val="44"/>
        </w:rPr>
        <w:t>Technical &amp; Technology Guidelines</w:t>
      </w:r>
    </w:p>
    <w:p>
      <w:r>
        <w:rPr>
          <w:rFonts w:ascii="Arial" w:hAnsi="Arial"/>
          <w:color w:val="6B7280"/>
          <w:sz w:val="26"/>
        </w:rPr>
        <w:t>Architecture, Engineering Standards, Security, Data, DevOps, and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5B21B6"/>
                <w:sz w:val="19"/>
              </w:rPr>
              <w:t xml:space="preserve">Reference baseline - </w:t>
            </w:r>
            <w:r>
              <w:rPr>
                <w:rFonts w:ascii="Arial" w:hAnsi="Arial"/>
                <w:color w:val="111827"/>
                <w:sz w:val="19"/>
              </w:rPr>
              <w:t>When AssessFlow is implemented in the same enterprise platform, it SHALL inherit the host platform standards. Reference baseline: React 19 + TypeScript, NestJS, PostgreSQL 18, private S3-compatible object storage, modular monolith, and asynchronous workers.</w:t>
            </w:r>
          </w:p>
        </w:tc>
      </w:tr>
    </w:tbl>
    <w:p>
      <w:pPr>
        <w:spacing w:after="20"/>
      </w:pPr>
    </w:p>
    <w:p>
      <w:pPr>
        <w:pStyle w:val="Heading2"/>
      </w:pPr>
      <w:r>
        <w:t>AssessFlow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880"/>
            <w:shd w:fill="5B21B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User Experience</w:t>
            </w:r>
          </w:p>
        </w:tc>
        <w:tc>
          <w:tcPr>
            <w:tcW w:type="dxa" w:w="3744"/>
            <w:shd w:fill="5B21B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Application Layer</w:t>
            </w:r>
          </w:p>
        </w:tc>
        <w:tc>
          <w:tcPr>
            <w:tcW w:type="dxa" w:w="2880"/>
            <w:shd w:fill="5B21B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Background Worker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React SPA</w:t>
              <w:br/>
              <w:t>Role-aware screens</w:t>
              <w:br/>
              <w:t>Tasks / approvals</w:t>
            </w:r>
          </w:p>
        </w:tc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modules</w:t>
              <w:br/>
              <w:t>REST APIs</w:t>
              <w:br/>
              <w:t>Workflow + policy services</w:t>
              <w:br/>
              <w:t>Transactional outbox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Notifications / reminders</w:t>
              <w:br/>
              <w:t>Calendar/email sync</w:t>
              <w:br/>
              <w:t>Exports / scheduled jobs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880"/>
            <w:shd w:fill="2563EB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Data</w:t>
            </w:r>
          </w:p>
        </w:tc>
        <w:tc>
          <w:tcPr>
            <w:tcW w:type="dxa" w:w="3744"/>
            <w:shd w:fill="2563EB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Private File Storage</w:t>
            </w:r>
          </w:p>
        </w:tc>
        <w:tc>
          <w:tcPr>
            <w:tcW w:type="dxa" w:w="2880"/>
            <w:shd w:fill="2563EB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Supporting Platform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PostgreSQL</w:t>
              <w:br/>
              <w:t>Cases, eligibility, plans, results, approvals</w:t>
              <w:br/>
              <w:t>Audit history</w:t>
            </w:r>
          </w:p>
        </w:tc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S3-compatible objects</w:t>
              <w:br/>
              <w:t>Templates, submissions, evidence</w:t>
              <w:br/>
              <w:t>Presigned short-lived access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Redis/BullMQ optional</w:t>
              <w:br/>
              <w:t>Identity provider</w:t>
              <w:br/>
              <w:t>OpenTelemetry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5B21B6"/>
                <w:sz w:val="19"/>
              </w:rPr>
              <w:t xml:space="preserve">Core technical rule - </w:t>
            </w:r>
            <w:r>
              <w:rPr>
                <w:rFonts w:ascii="Arial" w:hAnsi="Arial"/>
                <w:color w:val="111827"/>
                <w:sz w:val="19"/>
              </w:rPr>
              <w:t>PostgreSQL remains the system of record. Scoring is a feature-controlled extension, never a second workflow. Human-entered result and recommendation remain authoritative unless the business formally changes that governance.</w:t>
            </w:r>
          </w:p>
        </w:tc>
      </w:tr>
    </w:tbl>
    <w:p>
      <w:pPr>
        <w:spacing w:after="20"/>
      </w:pPr>
    </w:p>
    <w:p>
      <w:pPr>
        <w:jc w:val="right"/>
      </w:pPr>
      <w:r>
        <w:rPr>
          <w:rFonts w:ascii="Arial" w:hAnsi="Arial"/>
          <w:b/>
          <w:color w:val="6B7280"/>
          <w:sz w:val="18"/>
        </w:rPr>
        <w:t>Version 1.0 Draft  |  10 August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Name / Team</w:t>
            </w:r>
          </w:p>
        </w:tc>
        <w:tc>
          <w:tcPr>
            <w:tcW w:type="dxa" w:w="47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129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Product / Business Owner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To be assigned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 scope, priorities, and business alignment</w:t>
            </w:r>
          </w:p>
        </w:tc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Technical Lead / Architect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 architecture and engineering standards</w:t>
            </w:r>
          </w:p>
        </w:tc>
        <w:tc>
          <w:tcPr>
            <w:tcW w:type="dxa" w:w="129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Security Owner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To be assigned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 security, privacy, and access controls</w:t>
            </w:r>
          </w:p>
        </w:tc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DevOps Owner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 deployment, backup, monitoring, and operations</w:t>
            </w:r>
          </w:p>
        </w:tc>
        <w:tc>
          <w:tcPr>
            <w:tcW w:type="dxa" w:w="129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QA Lead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To be assigned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 testing strategy and quality gates</w:t>
            </w:r>
          </w:p>
        </w:tc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</w:t>
            </w:r>
          </w:p>
        </w:tc>
      </w:tr>
    </w:tbl>
    <w:p>
      <w:pPr>
        <w:spacing w:after="20"/>
      </w:pPr>
    </w:p>
    <w:p>
      <w:pPr>
        <w:pStyle w:val="Heading2"/>
      </w:pPr>
      <w:r>
        <w:t>Related Documents</w:t>
      </w:r>
    </w:p>
    <w:p>
      <w:r>
        <w:t>AF-BRD-001, AF-WFM-001, AF-DDD-001, AF-SRS-001</w:t>
      </w:r>
    </w:p>
    <w:p>
      <w:pPr>
        <w:pStyle w:val="Heading1"/>
      </w:pPr>
      <w:r>
        <w:t>Contents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Executive Technology Decision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Scope, Audience, and Requirement Language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Architecture Principles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Approved Technology Stack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Logical Architecture and Module Boundaries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Repository and Project Structure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7. </w:t>
      </w:r>
      <w:r>
        <w:rPr>
          <w:rFonts w:ascii="Arial" w:hAnsi="Arial"/>
          <w:sz w:val="18"/>
        </w:rPr>
        <w:t>Frontend Engineering Guidelines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8. </w:t>
      </w:r>
      <w:r>
        <w:rPr>
          <w:rFonts w:ascii="Arial" w:hAnsi="Arial"/>
          <w:sz w:val="18"/>
        </w:rPr>
        <w:t>Backend Engineering Guidelines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9. </w:t>
      </w:r>
      <w:r>
        <w:rPr>
          <w:rFonts w:ascii="Arial" w:hAnsi="Arial"/>
          <w:sz w:val="18"/>
        </w:rPr>
        <w:t>API Design Standards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10. </w:t>
      </w:r>
      <w:r>
        <w:rPr>
          <w:rFonts w:ascii="Arial" w:hAnsi="Arial"/>
          <w:sz w:val="18"/>
        </w:rPr>
        <w:t>PostgreSQL and Data Engineering Guidelines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11. </w:t>
      </w:r>
      <w:r>
        <w:rPr>
          <w:rFonts w:ascii="Arial" w:hAnsi="Arial"/>
          <w:sz w:val="18"/>
        </w:rPr>
        <w:t>Files and Object Storage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12. </w:t>
      </w:r>
      <w:r>
        <w:rPr>
          <w:rFonts w:ascii="Arial" w:hAnsi="Arial"/>
          <w:sz w:val="18"/>
        </w:rPr>
        <w:t>Authentication and Authorization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13. </w:t>
      </w:r>
      <w:r>
        <w:rPr>
          <w:rFonts w:ascii="Arial" w:hAnsi="Arial"/>
          <w:sz w:val="18"/>
        </w:rPr>
        <w:t>Security and Privacy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14. </w:t>
      </w:r>
      <w:r>
        <w:rPr>
          <w:rFonts w:ascii="Arial" w:hAnsi="Arial"/>
          <w:sz w:val="18"/>
        </w:rPr>
        <w:t>Background Jobs and Domain Events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15. </w:t>
      </w:r>
      <w:r>
        <w:rPr>
          <w:rFonts w:ascii="Arial" w:hAnsi="Arial"/>
          <w:sz w:val="18"/>
        </w:rPr>
        <w:t>Integrations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16. </w:t>
      </w:r>
      <w:r>
        <w:rPr>
          <w:rFonts w:ascii="Arial" w:hAnsi="Arial"/>
          <w:sz w:val="18"/>
        </w:rPr>
        <w:t>Reporting and Analytics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17. </w:t>
      </w:r>
      <w:r>
        <w:rPr>
          <w:rFonts w:ascii="Arial" w:hAnsi="Arial"/>
          <w:sz w:val="18"/>
        </w:rPr>
        <w:t>Observability, Logging, and Audit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18. </w:t>
      </w:r>
      <w:r>
        <w:rPr>
          <w:rFonts w:ascii="Arial" w:hAnsi="Arial"/>
          <w:sz w:val="18"/>
        </w:rPr>
        <w:t>Testing and Quality Strategy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19. </w:t>
      </w:r>
      <w:r>
        <w:rPr>
          <w:rFonts w:ascii="Arial" w:hAnsi="Arial"/>
          <w:sz w:val="18"/>
        </w:rPr>
        <w:t>DevOps and Environments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20. </w:t>
      </w:r>
      <w:r>
        <w:rPr>
          <w:rFonts w:ascii="Arial" w:hAnsi="Arial"/>
          <w:sz w:val="18"/>
        </w:rPr>
        <w:t>Performance and Scalability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21. </w:t>
      </w:r>
      <w:r>
        <w:rPr>
          <w:rFonts w:ascii="Arial" w:hAnsi="Arial"/>
          <w:sz w:val="18"/>
        </w:rPr>
        <w:t>Scoring Feature Architecture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22. </w:t>
      </w:r>
      <w:r>
        <w:rPr>
          <w:rFonts w:ascii="Arial" w:hAnsi="Arial"/>
          <w:sz w:val="18"/>
        </w:rPr>
        <w:t>Definition of Done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23. </w:t>
      </w:r>
      <w:r>
        <w:rPr>
          <w:rFonts w:ascii="Arial" w:hAnsi="Arial"/>
          <w:sz w:val="18"/>
        </w:rPr>
        <w:t>Prohibited Practices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24. </w:t>
      </w:r>
      <w:r>
        <w:rPr>
          <w:rFonts w:ascii="Arial" w:hAnsi="Arial"/>
          <w:sz w:val="18"/>
        </w:rPr>
        <w:t>Adoption Roadmap</w:t>
      </w:r>
    </w:p>
    <w:p>
      <w:pPr>
        <w:pStyle w:val="Heading1"/>
      </w:pPr>
      <w:r>
        <w:t>1. Executive Technology Decision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AssessFlow SHALL be implemented as a cohesive business module in the host application or as a modular monolith if standalone.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PostgreSQL SHALL store authoritative case/workflow/decision data.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Private S3-compatible object storage SHALL store assessment files when binary storage is needed.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The server SHALL enforce eligibility gates, workflow transitions, permissions, approval rules, and scoring-feature behavior.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Scoring is disabled by default for MVP and must be enabled explicitly by configuration/versioned profile.</w:t>
      </w:r>
    </w:p>
    <w:p>
      <w:pPr>
        <w:pStyle w:val="Heading1"/>
      </w:pPr>
      <w:r>
        <w:t>2. Scope, Audience, and Requirement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SHALL / MUST</w:t>
            </w:r>
          </w:p>
        </w:tc>
        <w:tc>
          <w:tcPr>
            <w:tcW w:type="dxa" w:w="72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Mandatory requirement; deviation requires documented approval.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SHALL NOT / MUST NOT</w:t>
            </w:r>
          </w:p>
        </w:tc>
        <w:tc>
          <w:tcPr>
            <w:tcW w:type="dxa" w:w="72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Prohibited implementation.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SHOULD</w:t>
            </w:r>
          </w:p>
        </w:tc>
        <w:tc>
          <w:tcPr>
            <w:tcW w:type="dxa" w:w="72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Recommended default; deviation should be documented.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MAY</w:t>
            </w:r>
          </w:p>
        </w:tc>
        <w:tc>
          <w:tcPr>
            <w:tcW w:type="dxa" w:w="72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Optional and permitted when useful.</w:t>
            </w:r>
          </w:p>
        </w:tc>
      </w:tr>
    </w:tbl>
    <w:p>
      <w:pPr>
        <w:spacing w:after="20"/>
      </w:pPr>
    </w:p>
    <w:p>
      <w:r>
        <w:t>Document authority: BRD defines business scope; Workflow Matrix defines allowed movement; Data Dictionary defines data ownership; Screen Requirements define user interaction; this document defines engineering and operational implementation. Conflicts are resolved through an explicit controlled decision, not silently in code.</w:t>
      </w:r>
    </w:p>
    <w:p>
      <w:pPr>
        <w:pStyle w:val="Heading1"/>
      </w:pPr>
      <w:r>
        <w:t>3.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02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Principle</w:t>
            </w:r>
          </w:p>
        </w:tc>
        <w:tc>
          <w:tcPr>
            <w:tcW w:type="dxa" w:w="67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Engineering Interpretation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 rules live on the server</w:t>
            </w:r>
          </w:p>
        </w:tc>
        <w:tc>
          <w:tcPr>
            <w:tcW w:type="dxa" w:w="67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UI may guide, but API validates eligibility, result/recommendation transitions, approvals, and permissions.</w:t>
            </w:r>
          </w:p>
        </w:tc>
      </w:tr>
      <w:tr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Relational core, flexible edges</w:t>
            </w:r>
          </w:p>
        </w:tc>
        <w:tc>
          <w:tcPr>
            <w:tcW w:type="dxa" w:w="67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Authoritative data is relational; JSONB is only for controlled flexible answers/configuration payloads.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Human decision is explicit</w:t>
            </w:r>
          </w:p>
        </w:tc>
        <w:tc>
          <w:tcPr>
            <w:tcW w:type="dxa" w:w="67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 result and recommendation are not inferred from hidden calculations.</w:t>
            </w:r>
          </w:p>
        </w:tc>
      </w:tr>
      <w:tr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 is additive</w:t>
            </w:r>
          </w:p>
        </w:tc>
        <w:tc>
          <w:tcPr>
            <w:tcW w:type="dxa" w:w="67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Optional scoring cannot become a required hidden dependency when feature is disabled.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Audit important decisions</w:t>
            </w:r>
          </w:p>
        </w:tc>
        <w:tc>
          <w:tcPr>
            <w:tcW w:type="dxa" w:w="67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Overrides, finalization, approvals, reopen/revisions, exports, and configuration changes are traceable.</w:t>
            </w:r>
          </w:p>
        </w:tc>
      </w:tr>
      <w:tr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Files are private by default</w:t>
            </w:r>
          </w:p>
        </w:tc>
        <w:tc>
          <w:tcPr>
            <w:tcW w:type="dxa" w:w="67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Evidence/submissions use authorized access only.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Operational simplicity first</w:t>
            </w:r>
          </w:p>
        </w:tc>
        <w:tc>
          <w:tcPr>
            <w:tcW w:type="dxa" w:w="67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Avoid microservices/extra databases until measured need.</w:t>
            </w:r>
          </w:p>
        </w:tc>
      </w:tr>
      <w:tr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Build for configuration, not hard-coded policy</w:t>
            </w:r>
          </w:p>
        </w:tc>
        <w:tc>
          <w:tcPr>
            <w:tcW w:type="dxa" w:w="67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criteria, method rules, approval routes, and future scoring profiles are versioned/configurable.</w:t>
            </w:r>
          </w:p>
        </w:tc>
      </w:tr>
    </w:tbl>
    <w:p>
      <w:pPr>
        <w:spacing w:after="20"/>
      </w:pPr>
    </w:p>
    <w:p>
      <w:pPr>
        <w:pStyle w:val="Heading1"/>
      </w:pPr>
      <w:r>
        <w:t>4. Approved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01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31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Reference Choice</w:t>
            </w:r>
          </w:p>
        </w:tc>
        <w:tc>
          <w:tcPr>
            <w:tcW w:type="dxa" w:w="46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Guideline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Node.js 24 LTS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Use host platform LTS baseline.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Language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TypeScript strict mode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Web/API/worker/shared packages.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Frontend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React 19 + Vite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Role-aware internal application.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UI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Tailwind CSS + accessible component primitives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Design tokens and controlled shared components.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Server State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TanStack Query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Caching/mutations/invalidation.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Forms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React Hook Form + Zod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Shared validation schemas where practical.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Backend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NestJS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Module boundaries, guards, validation, OpenAPI.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API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REST over HTTPS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Versioned/documented endpoints.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ORM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Prisma + reviewed SQL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Transactional access; SQL for reports/performance.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Database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PostgreSQL 18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Authoritative transactional/reporting store.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Files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S3-compatible object storage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Private binaries and lifecycle.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Queue/Cache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Redis + BullMQ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Reminders, jobs, exports, integration sync; never source of truth.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Observability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OpenTelemetry + structured logs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Trace workflow and failures.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Testing</w:t>
            </w:r>
          </w:p>
        </w:tc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Vitest / Supertest / Testcontainers / Playwright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Unit, integration, E2E.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CI/CD</w:t>
            </w:r>
          </w:p>
        </w:tc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GitHub Actions or host standard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Build, lint, test, scan, migrate, deploy.</w:t>
            </w:r>
          </w:p>
        </w:tc>
      </w:tr>
    </w:tbl>
    <w:p>
      <w:pPr>
        <w:spacing w:after="20"/>
      </w:pPr>
    </w:p>
    <w:p>
      <w:pPr>
        <w:pStyle w:val="Heading1"/>
      </w:pPr>
      <w:r>
        <w:t>5. Logical Architecture and Module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31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662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Owns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Identity &amp; Access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Users, roles, permissions, sessions, organizational scope.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Organization &amp; Employee Reference</w:t>
            </w:r>
          </w:p>
        </w:tc>
        <w:tc>
          <w:tcPr>
            <w:tcW w:type="dxa" w:w="66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Employees, managers, departments, positions, levels or HRIS adapters.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Cases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Request, reason, target role, stage/status, case lifecycle.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</w:t>
            </w:r>
          </w:p>
        </w:tc>
        <w:tc>
          <w:tcPr>
            <w:tcW w:type="dxa" w:w="66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Criteria, reviews, decisions, overrides.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Planning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Method rules, plan revisions, templates, assessors.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Scheduling &amp; Events</w:t>
            </w:r>
          </w:p>
        </w:tc>
        <w:tc>
          <w:tcPr>
            <w:tcW w:type="dxa" w:w="66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events, calendar metadata, no-shows/reschedules.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Evidence &amp; Results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Assessor submissions, result revisions, optional score extension.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Recommendations &amp; Approvals</w:t>
            </w:r>
          </w:p>
        </w:tc>
        <w:tc>
          <w:tcPr>
            <w:tcW w:type="dxa" w:w="66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 recommendation revisions, approval routes/decisions.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&amp; Reassessment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Plans, actions, due dates, new cycles.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Tasks &amp; Notifications</w:t>
            </w:r>
          </w:p>
        </w:tc>
        <w:tc>
          <w:tcPr>
            <w:tcW w:type="dxa" w:w="66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Assignments, reminders, escalation.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Files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Private evidence/template metadata and storage access.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Reporting &amp; Audit</w:t>
            </w:r>
          </w:p>
        </w:tc>
        <w:tc>
          <w:tcPr>
            <w:tcW w:type="dxa" w:w="66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Operational reporting, audit events, controlled exports.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 (feature)</w:t>
            </w:r>
          </w:p>
        </w:tc>
        <w:tc>
          <w:tcPr>
            <w:tcW w:type="dxa" w:w="66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Profiles, components, entries, calibration; disabled by default.</w:t>
            </w:r>
          </w:p>
        </w:tc>
      </w:tr>
    </w:tbl>
    <w:p>
      <w:pPr>
        <w:spacing w:after="20"/>
      </w:pPr>
    </w:p>
    <w:p>
      <w:pPr>
        <w:pStyle w:val="Heading1"/>
      </w:pPr>
      <w:r>
        <w:t>6. Repository and Project Structure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Prefer one product repository/workspace with clear feature modules and shared packages.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Avoid screen-specific duplicate business logic; domain services enforce transitions and policy.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Separate API DTOs/contracts, domain policies, repositories, background jobs, and UI feature folders.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Database migrations and configuration seed data are version-controlled.</w:t>
      </w:r>
    </w:p>
    <w:p>
      <w:pPr>
        <w:pStyle w:val="Heading1"/>
      </w:pPr>
      <w:r>
        <w:t>7. Frontend Engineering Guidelines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Route and component access follows permissions, but server remains authoritative.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controlled status/result/recommendation codes from APIs, not duplicated hard-coded labels across screens.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Scoring inputs/components render only when case/configuration says scoring is enabled. No invisible required score fields.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Long forms support Save Draft, unsaved-change protection, and server validation summaries.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Sensitive evidence/notes are hidden entirely when permission is absent, not merely visually disabled.</w:t>
      </w:r>
    </w:p>
    <w:p>
      <w:pPr>
        <w:pStyle w:val="Heading1"/>
      </w:pPr>
      <w:r>
        <w:t>8. Backend Engineering Guidelines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Model workflow transitions as explicit commands/services, not arbitrary status PATCH operations.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Each transition validates current state, actor permission, required fields, and optimistic/concurrency conditions.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transactions for transition + task + approval + audit/outbox writes that must remain consistent.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Finalized result/recommendation revisions are append/revise patterns rather than destructive updates.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Eligibility rule evaluation is deterministic and version-aware; external HRIS values are treated as inputs with timestamps/source.</w:t>
      </w:r>
    </w:p>
    <w:p>
      <w:pPr>
        <w:pStyle w:val="Heading1"/>
      </w:pPr>
      <w:r>
        <w:t>9. API Design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748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Example / Rule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Resource IDs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UUIDs in APIs; case_code is display/search key.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Commands</w:t>
            </w:r>
          </w:p>
        </w:tc>
        <w:tc>
          <w:tcPr>
            <w:tcW w:type="dxa" w:w="748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POST /assessment-cases/{id}/submit, /eligibility/decide, /results/finalize, /recommendations/submit.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 models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GET case detail includes current stage/status + permission-aware actions.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Errors</w:t>
            </w:r>
          </w:p>
        </w:tc>
        <w:tc>
          <w:tcPr>
            <w:tcW w:type="dxa" w:w="748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Structured code, human message, field errors, blocking requirements, correlation ID.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Idempotency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 idempotency keys for sensitive command endpoints where retries are possible.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Concurrency</w:t>
            </w:r>
          </w:p>
        </w:tc>
        <w:tc>
          <w:tcPr>
            <w:tcW w:type="dxa" w:w="748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 version/updated_at or explicit row locking for transition commands.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Pagination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Cursor or page pagination for large lists; server-side filtering/sorting.</w:t>
            </w:r>
          </w:p>
        </w:tc>
      </w:tr>
    </w:tbl>
    <w:p>
      <w:pPr>
        <w:spacing w:after="20"/>
      </w:pPr>
    </w:p>
    <w:p>
      <w:pPr>
        <w:pStyle w:val="Heading1"/>
      </w:pPr>
      <w:r>
        <w:t>10. PostgreSQL and Data Engineering Guidelines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Enforce foreign keys for core relationships and explicit deletion behavior.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indexes aligned to case queues: status/stage, employee, owner, reason, target role/level, due dates.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Historical finalized/approved revisions are immutable through normal application operations.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database constraints for uniqueness/current-revision guarantees where practical.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Reporting queries must use stable codes and join current/historical labels intentionally.</w:t>
      </w:r>
    </w:p>
    <w:p>
      <w:pPr>
        <w:pStyle w:val="Heading1"/>
      </w:pPr>
      <w:r>
        <w:t>11. Files and Object Storage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 not store binary assessment files in PostgreSQL.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Validate content type/size; malware scanning can be integrated according to host platform policy.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short-lived authorized download links or streamed responses.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Classify attachments (template, participant submission, assessor evidence, other).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Retention/lifecycle is policy-driven and auditable.</w:t>
      </w:r>
    </w:p>
    <w:p>
      <w:pPr>
        <w:pStyle w:val="Heading1"/>
      </w:pPr>
      <w:r>
        <w:t>12. Authentication and Authorization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Prefer enterprise SSO/OIDC where available.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Deny by default; permissions plus organization/department/case scope control access.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Assessor access is limited to assigned events/cases and permitted context.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Employee visibility of result/evidence/feedback is policy-controlled.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Separate administrative configuration permission from business approval permission.</w:t>
      </w:r>
    </w:p>
    <w:p>
      <w:pPr>
        <w:pStyle w:val="Heading1"/>
      </w:pPr>
      <w:r>
        <w:t>13. Security and Privacy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Encrypt data in transit and at rest using host platform standards.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Protect assessment evidence and sensitive HR notes from broad reporting/export access.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Audit eligibility overrides, result reopen, approval decisions, and data exports.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Avoid logging free-text sensitive evidence in application logs.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Apply retention, subject access, and deletion/legal hold requirements defined by HR/legal policy.</w:t>
      </w:r>
    </w:p>
    <w:p>
      <w:pPr>
        <w:pStyle w:val="Heading1"/>
      </w:pPr>
      <w:r>
        <w:t>14. Background Jobs and Domain Events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background jobs for reminders, SLA escalations, calendar/email sync, exports, and scheduled reassessment notifications.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retry with backoff and dead-letter/failed-job visibility.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Transactional outbox or equivalent pattern SHOULD be used for important notifications/events that must follow committed state changes.</w:t>
      </w:r>
    </w:p>
    <w:p>
      <w:pPr>
        <w:pStyle w:val="Heading1"/>
      </w:pPr>
      <w:r>
        <w:t>15.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30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763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Technical Guideline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HRIS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Read/sync employee, manager, role, level, status with source timestamps and stable external IDs.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SSO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OIDC/SAML through host identity layer.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Calendar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Create/update assessment events; retain external event ID; reconciliation on failure.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Email/Collaboration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 queued templates; do not expose unauthorized evidence in notifications.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LMS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Future development-action sync; AssessFlow keeps its own follow-up status unless ownership is explicitly delegated.</w:t>
            </w:r>
          </w:p>
        </w:tc>
      </w:tr>
    </w:tbl>
    <w:p>
      <w:pPr>
        <w:spacing w:after="20"/>
      </w:pPr>
    </w:p>
    <w:p>
      <w:pPr>
        <w:pStyle w:val="Heading1"/>
      </w:pPr>
      <w:r>
        <w:t>16. Reporting and Analytics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Operational dashboards use database views/materialized views as needed; do not introduce a separate search/analytics platform until justified.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Metric definitions are centralized, especially aging, SLA, result, and recommendation distributions.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Score analytics are excluded when scoring is disabled; never treat null score as zero.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Exports are permission-aware, audited, and asynchronous when large.</w:t>
      </w:r>
    </w:p>
    <w:p>
      <w:pPr>
        <w:pStyle w:val="Heading1"/>
      </w:pPr>
      <w:r>
        <w:t>17. Observability, Logging, and Audit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Structured logs include correlation IDs and domain event names, but avoid sensitive evidence text.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Metrics: API latency/errors, job failures, transition failures, overdue task counts, integration sync failures.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Audit is business history, separate from operational logs, and includes actor, timestamp, action, target, reason, and relevant revision IDs.</w:t>
      </w:r>
    </w:p>
    <w:p>
      <w:pPr>
        <w:pStyle w:val="Heading1"/>
      </w:pPr>
      <w:r>
        <w:t>18. Testing and Quality Strategy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Unit test method recommendation rules, eligibility gating, recommendation option mapping, permissions, and scoring feature flag behavior.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Integration test transitions against real PostgreSQL; assert tasks/audit/outbox are transactionally consistent.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E2E test the standard paths: Eligible -&gt; Assessment -&gt; Result -&gt; Recommendation -&gt; Approval -&gt; Close; Not Eligible; Change Request; Development/Reassessment.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Regression test that scoring-disabled cases finalize with no score data.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When scoring is enabled later, test profile versioning, thresholds, weights, critical-fail logic, and historical immutability.</w:t>
      </w:r>
    </w:p>
    <w:p>
      <w:pPr>
        <w:pStyle w:val="Heading1"/>
      </w:pPr>
      <w:r>
        <w:t>19. DevOps and Environments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Separate development/test/staging/production; production configuration changes are controlled and auditable.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Run migrations through CI/CD with backups and rollback/forward-fix plan.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Secrets are managed outside source control.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Configuration seed/version changes receive review like code.</w:t>
      </w:r>
    </w:p>
    <w:p>
      <w:pPr>
        <w:pStyle w:val="Heading1"/>
      </w:pPr>
      <w:r>
        <w:t>20. Performance and Scalability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Design list APIs for large historical case volumes with indexed server-side filtering.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Avoid loading full evidence/attachments into dashboard list queries.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Asynchronous exports and notification fan-out prevent interactive request blocking.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Scale modular monolith vertically/horizontally before extracting services.</w:t>
      </w:r>
    </w:p>
    <w:p>
      <w:pPr>
        <w:pStyle w:val="Heading1"/>
      </w:pPr>
      <w:r>
        <w:t>21. Scoring Feature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5B21B6"/>
                <w:sz w:val="19"/>
              </w:rPr>
              <w:t xml:space="preserve">Non-negotiable MVP rule - </w:t>
            </w:r>
            <w:r>
              <w:rPr>
                <w:rFonts w:ascii="Arial" w:hAnsi="Arial"/>
                <w:color w:val="111827"/>
                <w:sz w:val="19"/>
              </w:rPr>
              <w:t>scoring_enabled defaults to false. Core result finalization MUST NOT reference score tables or score validation when disabled.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748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Guideline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Feature Control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Organization/process setting plus case snapshot; administrators cannot retroactively reinterpret historical cases.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Profile Versioning</w:t>
            </w:r>
          </w:p>
        </w:tc>
        <w:tc>
          <w:tcPr>
            <w:tcW w:type="dxa" w:w="748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Each scoring profile has immutable versions once used.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Components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Method/competency components may define scale, weight, required flag, and critical-fail behavior.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Calculation</w:t>
            </w:r>
          </w:p>
        </w:tc>
        <w:tc>
          <w:tcPr>
            <w:tcW w:type="dxa" w:w="748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Server calculates normalized/overall values; UI may preview but is not authoritative.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Calibration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Future separate workflow; any adjustment preserves original and adjusted values + reason.</w:t>
            </w:r>
          </w:p>
        </w:tc>
      </w:tr>
      <w:tr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Historical Data</w:t>
            </w:r>
          </w:p>
        </w:tc>
        <w:tc>
          <w:tcPr>
            <w:tcW w:type="dxa" w:w="748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Do not invent/backfill scores for cases completed before scoring activation.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Analytics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Null score is missing/not applicable, never zero.</w:t>
            </w:r>
          </w:p>
        </w:tc>
      </w:tr>
    </w:tbl>
    <w:p>
      <w:pPr>
        <w:spacing w:after="20"/>
      </w:pPr>
    </w:p>
    <w:p>
      <w:pPr>
        <w:pStyle w:val="Heading1"/>
      </w:pPr>
      <w:r>
        <w:t>22. Definition of Done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Functional requirement and acceptance criteria met.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Permission and server transition validation implemented.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Audit event and relevant logs/metrics added.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Unit/integration/E2E coverage for critical path.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Migration/index impact reviewed.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Scoring-disabled behavior verified for any change touching assessment result or plan.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Security/privacy review for new sensitive fields/files.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Operational runbook/update completed for new jobs/integrations.</w:t>
      </w:r>
    </w:p>
    <w:p>
      <w:pPr>
        <w:pStyle w:val="Heading1"/>
      </w:pPr>
      <w:r>
        <w:t>23. Prohibited Practices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Hard-code eligibility thresholds or recommendation mappings in UI code.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a single free-text status field without controlled transition validation.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Require numeric score in MVP through hidden validation.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Overwrite finalized results or approved recommendations in place.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Treat manager recommendation as the assessment result.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Expose assessment files with permanent public URLs.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Use Redis/queue/search index as authoritative decision data.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Auto-generate downgrade/demotion from assessment result.</w:t>
      </w:r>
    </w:p>
    <w:p>
      <w:pPr>
        <w:pStyle w:val="Heading1"/>
      </w:pPr>
      <w:r>
        <w:t>24. Adoption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88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05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Engineering Focus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1 - MVP Foundation</w:t>
            </w:r>
          </w:p>
        </w:tc>
        <w:tc>
          <w:tcPr>
            <w:tcW w:type="dxa" w:w="70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Cases, eligibility, plan/methods, events, evidence/result without mandatory scores, recommendation/approval, follow-up, audit.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2 - Integrations &amp; Automation</w:t>
            </w:r>
          </w:p>
        </w:tc>
        <w:tc>
          <w:tcPr>
            <w:tcW w:type="dxa" w:w="705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HRIS, calendar/email, reminders/escalation, richer reporting.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3 - Scoring Feature</w:t>
            </w:r>
          </w:p>
        </w:tc>
        <w:tc>
          <w:tcPr>
            <w:tcW w:type="dxa" w:w="70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Versioned profiles, score entries, optional calculations, calibration workspace.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4 - Advanced Analytics</w:t>
            </w:r>
          </w:p>
        </w:tc>
        <w:tc>
          <w:tcPr>
            <w:tcW w:type="dxa" w:w="705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Governed outcome validation and trend analysis; add specialized infrastructure only when measured need justifies it.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5"/>
      </w:rPr>
      <w:t>AF-TTG-001 | 1.0 Draft | Confidential - Planning Draft</w:t>
    </w:r>
  </w:p>
  <w:p>
    <w:pPr>
      <w:jc w:val="right"/>
    </w:pPr>
    <w:r>
      <w:rPr>
        <w:rFonts w:ascii="Arial" w:hAnsi="Arial"/>
        <w:color w:val="111827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Technical &amp; Technology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6B7280"/>
      <w:sz w:val="16"/>
    </w:rPr>
  </w:style>
  <w:style w:type="paragraph" w:customStyle="1" w:styleId="Callout">
    <w:name w:val="Callout"/>
    <w:pPr>
      <w:spacing w:before="100" w:after="100"/>
      <w:ind w:left="173" w:right="173"/>
    </w:pPr>
    <w:rPr>
      <w:rFonts w:ascii="Arial" w:hAnsi="Arial"/>
      <w:b/>
      <w:color w:val="5B21B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