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4F39"/>
          <w:sz w:val="52"/>
        </w:rPr>
        <w:t>JADWAL (جدول)</w:t>
      </w:r>
    </w:p>
    <w:p>
      <w:pPr>
        <w:jc w:val="center"/>
      </w:pPr>
      <w:r>
        <w:rPr>
          <w:b/>
          <w:color w:val="C5A059"/>
          <w:sz w:val="30"/>
        </w:rPr>
        <w:t>Comprehensive Product, UX &amp; Technical Architecture Specification (v2.0.0)</w:t>
      </w:r>
    </w:p>
    <w:p>
      <w:pPr>
        <w:jc w:val="center"/>
      </w:pPr>
      <w:r>
        <w:rPr>
          <w:i/>
          <w:sz w:val="22"/>
        </w:rPr>
        <w:t>Cross-Platform Academic Operating System for Aljamea-tus-Saifiyah (C# .NET 10 + Avalonia UI)</w:t>
      </w:r>
    </w:p>
    <w:p>
      <w:pPr>
        <w:jc w:val="center"/>
      </w:pPr>
      <w:r>
        <w:rPr>
          <w:color w:val="646464"/>
          <w:sz w:val="19"/>
        </w:rPr>
        <w:t>Designed &amp; Engineered by Mustafa Rajkotwala | Aljamea-tus-Saifiyah | Production Release v2.0.0</w:t>
      </w:r>
    </w:p>
    <w:p>
      <w:pPr>
        <w:spacing w:after="240"/>
      </w:pPr>
    </w:p>
    <w:p>
      <w:pPr>
        <w:pStyle w:val="Heading1"/>
        <w:spacing w:before="320" w:after="120"/>
      </w:pPr>
      <w:r>
        <w:rPr>
          <w:color w:val="0B4F39"/>
        </w:rPr>
        <w:t>1. Executive Summary</w:t>
      </w:r>
    </w:p>
    <w:p>
      <w:pPr>
        <w:spacing w:after="120" w:line="276" w:lineRule="auto"/>
      </w:pPr>
      <w:r>
        <w:t>Jadwal (جدول) is a unified, cross-platform academic operating system designed specifically for students and faculty of Aljamea-tus-Saifiyah. Initially prototyped in Swift, the production platform has been fully transitioned to modern C# .NET 10 with Avalonia UI 12.1.2, delivering native-performance desktop experiences across macOS (native Mach-O application bundle) and Windows 10/11.</w:t>
      </w:r>
    </w:p>
    <w:p>
      <w:pPr>
        <w:spacing w:after="120" w:line="276" w:lineRule="auto"/>
      </w:pPr>
      <w:r>
        <w:t>The platform addresses the central friction in student daily life: tracking shifting class timetables across 7 academic days, calculating live class statuses in real time, managing deadlines without fear of schedule change data loss, consulting the official Fatimid Misri lunar calendar with full astronomical alignment, and viewing daily Miqaats with precise ceremonial phase distinctions.</w:t>
      </w:r>
    </w:p>
    <w:p>
      <w:pPr>
        <w:pStyle w:val="ListBullet"/>
        <w:spacing w:after="60" w:line="276" w:lineRule="auto"/>
      </w:pPr>
      <w:r>
        <w:t>Zero Silent Data Loss: Student tasks are anchored to abstract slot identity keys (Day + Period Slot ID), ensuring notes and assignments survive sudden schedule updates, room reassignments, and substitute professors.</w:t>
      </w:r>
    </w:p>
    <w:p>
      <w:pPr>
        <w:pStyle w:val="ListBullet"/>
        <w:spacing w:after="60" w:line="276" w:lineRule="auto"/>
      </w:pPr>
      <w:r>
        <w:t>Dual Tabular Calendar Engine: Implements the exact 30-year Fatimid Misri lunar cycle with Astronomical Julian Day conversion, fully mapped to Gregorian dates.</w:t>
      </w:r>
    </w:p>
    <w:p>
      <w:pPr>
        <w:pStyle w:val="ListBullet"/>
        <w:spacing w:after="60" w:line="276" w:lineRule="auto"/>
      </w:pPr>
      <w:r>
        <w:t>Embedded 12-Month Miqaats Database: Complete ceremonial calendar covering Wiladat, Wafat, Eid, and historical occasions with phase filtering (Zohr, Maghrib, Tahajjud, Raat).</w:t>
      </w:r>
    </w:p>
    <w:p>
      <w:pPr>
        <w:pStyle w:val="ListBullet"/>
        <w:spacing w:after="60" w:line="276" w:lineRule="auto"/>
      </w:pPr>
      <w:r>
        <w:t>Real-Time Schedule Sync: Dynamic 12-hour AM/PM periods continuously synchronized with the computer's system clock.</w:t>
      </w:r>
    </w:p>
    <w:p>
      <w:pPr>
        <w:pStyle w:val="ListBullet"/>
        <w:spacing w:after="60" w:line="276" w:lineRule="auto"/>
      </w:pPr>
      <w:r>
        <w:t>RTL 3-Row Timetable: Intuitive Right-to-Left Arabic grid layout featuring 8 academic periods, morning and lunch breaks, and dedicated Physical Education sports slots with Friday exception rules.</w:t>
      </w:r>
    </w:p>
    <w:p>
      <w:pPr>
        <w:pStyle w:val="ListBullet"/>
        <w:spacing w:after="60" w:line="276" w:lineRule="auto"/>
      </w:pPr>
      <w:r>
        <w:t>Fatimid Heritage Aesthetic: Curated Emerald Green (#0B4F39), Warm Cream (#FAF8F5), and Gold (#C5A059) visual identity with native Kanzallulu calligraphy and smooth Light/Dark theme switching.</w:t>
      </w:r>
    </w:p>
    <w:p>
      <w:pPr>
        <w:pStyle w:val="Heading1"/>
        <w:spacing w:before="320" w:after="120"/>
      </w:pPr>
      <w:r>
        <w:rPr>
          <w:color w:val="0B4F39"/>
        </w:rPr>
        <w:t>2. Product Vision and Principles</w:t>
      </w:r>
    </w:p>
    <w:p>
      <w:pPr>
        <w:pStyle w:val="Heading2"/>
        <w:spacing w:before="240" w:after="80"/>
      </w:pPr>
      <w:r>
        <w:rPr>
          <w:color w:val="282828"/>
        </w:rPr>
        <w:t>2.1 Product Principles</w:t>
      </w:r>
    </w:p>
    <w:p>
      <w:pPr>
        <w:pStyle w:val="ListBullet"/>
        <w:spacing w:after="60" w:line="276" w:lineRule="auto"/>
      </w:pPr>
      <w:r>
        <w:t>Reliability Above All: The schedule must be 100% available offline from cached local storage. No network timeout can ever hide a student's class schedule or homework.</w:t>
      </w:r>
    </w:p>
    <w:p>
      <w:pPr>
        <w:pStyle w:val="ListBullet"/>
        <w:spacing w:after="60" w:line="276" w:lineRule="auto"/>
      </w:pPr>
      <w:r>
        <w:t>Contextual Proximity: Tasks belong to classes. Students should not maintain a disconnected todo list; homework, revision, and notes must live on the card of the class itself.</w:t>
      </w:r>
    </w:p>
    <w:p>
      <w:pPr>
        <w:pStyle w:val="ListBullet"/>
        <w:spacing w:after="60" w:line="276" w:lineRule="auto"/>
      </w:pPr>
      <w:r>
        <w:t>Cultural &amp; Spiritual Grounding: Aljamea's calendar is inherently linked to Fatimid Misri lunar dates and Miqaats. The UI honors this heritage through authentic calligraphy, calendar mapping, and ceremonial phase awareness.</w:t>
      </w:r>
    </w:p>
    <w:p>
      <w:pPr>
        <w:pStyle w:val="ListBullet"/>
        <w:spacing w:after="60" w:line="276" w:lineRule="auto"/>
      </w:pPr>
      <w:r>
        <w:t>Non-Destructive Synchronization: Portal imports must never silently overwrite or orphan student-created notes, attachments, or completed checkboxes.</w:t>
      </w:r>
    </w:p>
    <w:p>
      <w:pPr>
        <w:pStyle w:val="ListBullet"/>
        <w:spacing w:after="60" w:line="276" w:lineRule="auto"/>
      </w:pPr>
      <w:r>
        <w:t>Effortless Glanceability: In less than 3 seconds, a student opening their laptop between periods must know their current class, time remaining, room number, teacher, upcoming break, and pending tasks.</w:t>
      </w:r>
    </w:p>
    <w:p>
      <w:pPr>
        <w:pStyle w:val="Heading1"/>
        <w:spacing w:before="320" w:after="120"/>
      </w:pPr>
      <w:r>
        <w:rPr>
          <w:color w:val="0B4F39"/>
        </w:rPr>
        <w:t>3. User Personas and Jobs-to-be-Done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4F39"/>
          </w:tcPr>
          <w:p>
            <w:pPr>
              <w:jc w:val="center"/>
            </w:pPr>
            <w:r>
              <w:rPr>
                <w:b/>
                <w:color w:val="FFFFFF"/>
                <w:sz w:val="19"/>
              </w:rPr>
              <w:t>Persona</w:t>
            </w:r>
          </w:p>
        </w:tc>
        <w:tc>
          <w:tcPr>
            <w:tcW w:type="dxa" w:w="3120"/>
            <w:shd w:fill="0B4F39"/>
          </w:tcPr>
          <w:p>
            <w:pPr>
              <w:jc w:val="center"/>
            </w:pPr>
            <w:r>
              <w:rPr>
                <w:b/>
                <w:color w:val="FFFFFF"/>
                <w:sz w:val="19"/>
              </w:rPr>
              <w:t>Core Problem</w:t>
            </w:r>
          </w:p>
        </w:tc>
        <w:tc>
          <w:tcPr>
            <w:tcW w:type="dxa" w:w="3120"/>
            <w:shd w:fill="0B4F39"/>
          </w:tcPr>
          <w:p>
            <w:pPr>
              <w:jc w:val="center"/>
            </w:pPr>
            <w:r>
              <w:rPr>
                <w:b/>
                <w:color w:val="FFFFFF"/>
                <w:sz w:val="19"/>
              </w:rPr>
              <w:t>Jadwal Solution</w:t>
            </w:r>
          </w:p>
        </w:tc>
      </w:tr>
      <w:tr>
        <w:tc>
          <w:tcPr>
            <w:tcW w:type="dxa" w:w="3120"/>
            <w:shd w:fill="F9FBF9"/>
          </w:tcPr>
          <w:p>
            <w:pPr>
              <w:spacing w:after="40" w:before="40"/>
            </w:pPr>
            <w:r>
              <w:rPr>
                <w:sz w:val="18"/>
              </w:rPr>
              <w:t>Junior Marhala Student (Darajat 1-4)</w:t>
            </w:r>
          </w:p>
        </w:tc>
        <w:tc>
          <w:tcPr>
            <w:tcW w:type="dxa" w:w="3120"/>
            <w:shd w:fill="F9FBF9"/>
          </w:tcPr>
          <w:p>
            <w:pPr>
              <w:spacing w:after="40" w:before="40"/>
            </w:pPr>
            <w:r>
              <w:rPr>
                <w:sz w:val="18"/>
              </w:rPr>
              <w:t>Struggles with dynamic timetable changes and remembering books/tasks for each period.</w:t>
            </w:r>
          </w:p>
        </w:tc>
        <w:tc>
          <w:tcPr>
            <w:tcW w:type="dxa" w:w="3120"/>
            <w:shd w:fill="F9FBF9"/>
          </w:tcPr>
          <w:p>
            <w:pPr>
              <w:spacing w:after="40" w:before="40"/>
            </w:pPr>
            <w:r>
              <w:rPr>
                <w:sz w:val="18"/>
              </w:rPr>
              <w:t>Today Dashboard with live countdown, 3D card flip for tasks, and RTL timetable overview.</w:t>
            </w:r>
          </w:p>
        </w:tc>
      </w:tr>
      <w:tr>
        <w:tc>
          <w:tcPr>
            <w:tcW w:type="dxa" w:w="3120"/>
            <w:shd w:fill="FFFFFF"/>
          </w:tcPr>
          <w:p>
            <w:pPr>
              <w:spacing w:after="40" w:before="40"/>
            </w:pPr>
            <w:r>
              <w:rPr>
                <w:sz w:val="18"/>
              </w:rPr>
              <w:t>Senior Marhala Student (Darajat 5-7)</w:t>
            </w:r>
          </w:p>
        </w:tc>
        <w:tc>
          <w:tcPr>
            <w:tcW w:type="dxa" w:w="3120"/>
            <w:shd w:fill="FFFFFF"/>
          </w:tcPr>
          <w:p>
            <w:pPr>
              <w:spacing w:after="40" w:before="40"/>
            </w:pPr>
            <w:r>
              <w:rPr>
                <w:sz w:val="18"/>
              </w:rPr>
              <w:t>Balances heavy research, assignments, and ceremonial preparation across multiple days.</w:t>
            </w:r>
          </w:p>
        </w:tc>
        <w:tc>
          <w:tcPr>
            <w:tcW w:type="dxa" w:w="3120"/>
            <w:shd w:fill="FFFFFF"/>
          </w:tcPr>
          <w:p>
            <w:pPr>
              <w:spacing w:after="40" w:before="40"/>
            </w:pPr>
            <w:r>
              <w:rPr>
                <w:sz w:val="18"/>
              </w:rPr>
              <w:t>Tasks View filtered by Subject, due dates, priority badges, and daily Miqaat reminders.</w:t>
            </w:r>
          </w:p>
        </w:tc>
      </w:tr>
      <w:tr>
        <w:tc>
          <w:tcPr>
            <w:tcW w:type="dxa" w:w="3120"/>
            <w:shd w:fill="F9FBF9"/>
          </w:tcPr>
          <w:p>
            <w:pPr>
              <w:spacing w:after="40" w:before="40"/>
            </w:pPr>
            <w:r>
              <w:rPr>
                <w:sz w:val="18"/>
              </w:rPr>
              <w:t>Faculty / Ustaz</w:t>
            </w:r>
          </w:p>
        </w:tc>
        <w:tc>
          <w:tcPr>
            <w:tcW w:type="dxa" w:w="3120"/>
            <w:shd w:fill="F9FBF9"/>
          </w:tcPr>
          <w:p>
            <w:pPr>
              <w:spacing w:after="40" w:before="40"/>
            </w:pPr>
            <w:r>
              <w:rPr>
                <w:sz w:val="18"/>
              </w:rPr>
              <w:t>Requires clear schedule visibility across multiple darajaat without complex login friction.</w:t>
            </w:r>
          </w:p>
        </w:tc>
        <w:tc>
          <w:tcPr>
            <w:tcW w:type="dxa" w:w="3120"/>
            <w:shd w:fill="F9FBF9"/>
          </w:tcPr>
          <w:p>
            <w:pPr>
              <w:spacing w:after="40" w:before="40"/>
            </w:pPr>
            <w:r>
              <w:rPr>
                <w:sz w:val="18"/>
              </w:rPr>
              <w:t>Instant timetable sync with portal token persistence and clean daily schedule view.</w:t>
            </w:r>
          </w:p>
        </w:tc>
      </w:tr>
      <w:tr>
        <w:tc>
          <w:tcPr>
            <w:tcW w:type="dxa" w:w="3120"/>
            <w:shd w:fill="FFFFFF"/>
          </w:tcPr>
          <w:p>
            <w:pPr>
              <w:spacing w:after="40" w:before="40"/>
            </w:pPr>
            <w:r>
              <w:rPr>
                <w:sz w:val="18"/>
              </w:rPr>
              <w:t>Windows &amp; Mac Desktop Users</w:t>
            </w:r>
          </w:p>
        </w:tc>
        <w:tc>
          <w:tcPr>
            <w:tcW w:type="dxa" w:w="3120"/>
            <w:shd w:fill="FFFFFF"/>
          </w:tcPr>
          <w:p>
            <w:pPr>
              <w:spacing w:after="40" w:before="40"/>
            </w:pPr>
            <w:r>
              <w:rPr>
                <w:sz w:val="18"/>
              </w:rPr>
              <w:t>Needs consistent UI and shortcut workflows regardless of laptop operating system.</w:t>
            </w:r>
          </w:p>
        </w:tc>
        <w:tc>
          <w:tcPr>
            <w:tcW w:type="dxa" w:w="3120"/>
            <w:shd w:fill="FFFFFF"/>
          </w:tcPr>
          <w:p>
            <w:pPr>
              <w:spacing w:after="40" w:before="40"/>
            </w:pPr>
            <w:r>
              <w:rPr>
                <w:sz w:val="18"/>
              </w:rPr>
              <w:t>Cross-platform .NET 10 + Avalonia UI architecture supporting both macOS and Windows.</w:t>
            </w:r>
          </w:p>
        </w:tc>
      </w:tr>
    </w:tbl>
    <w:p>
      <w:pPr>
        <w:spacing w:after="120"/>
      </w:pPr>
    </w:p>
    <w:p>
      <w:pPr>
        <w:pStyle w:val="Heading1"/>
        <w:spacing w:before="320" w:after="120"/>
      </w:pPr>
      <w:r>
        <w:rPr>
          <w:color w:val="0B4F39"/>
        </w:rPr>
        <w:t>4. Technical Architecture: Clean Architecture in .NET 10</w:t>
      </w:r>
    </w:p>
    <w:p>
      <w:pPr>
        <w:spacing w:after="120" w:line="276" w:lineRule="auto"/>
      </w:pPr>
      <w:r>
        <w:t>Jadwal follows Clean Architecture principles, ensuring strict separation of concerns, testability, and portability across operating systems: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4F39"/>
          </w:tcPr>
          <w:p>
            <w:pPr>
              <w:jc w:val="center"/>
            </w:pPr>
            <w:r>
              <w:rPr>
                <w:b/>
                <w:color w:val="FFFFFF"/>
                <w:sz w:val="19"/>
              </w:rPr>
              <w:t>Layer / Project</w:t>
            </w:r>
          </w:p>
        </w:tc>
        <w:tc>
          <w:tcPr>
            <w:tcW w:type="dxa" w:w="3120"/>
            <w:shd w:fill="0B4F39"/>
          </w:tcPr>
          <w:p>
            <w:pPr>
              <w:jc w:val="center"/>
            </w:pPr>
            <w:r>
              <w:rPr>
                <w:b/>
                <w:color w:val="FFFFFF"/>
                <w:sz w:val="19"/>
              </w:rPr>
              <w:t>Role &amp; Responsibilities</w:t>
            </w:r>
          </w:p>
        </w:tc>
        <w:tc>
          <w:tcPr>
            <w:tcW w:type="dxa" w:w="3120"/>
            <w:shd w:fill="0B4F39"/>
          </w:tcPr>
          <w:p>
            <w:pPr>
              <w:jc w:val="center"/>
            </w:pPr>
            <w:r>
              <w:rPr>
                <w:b/>
                <w:color w:val="FFFFFF"/>
                <w:sz w:val="19"/>
              </w:rPr>
              <w:t>Key Technologies</w:t>
            </w:r>
          </w:p>
        </w:tc>
      </w:tr>
      <w:tr>
        <w:tc>
          <w:tcPr>
            <w:tcW w:type="dxa" w:w="3120"/>
            <w:shd w:fill="F9FBF9"/>
          </w:tcPr>
          <w:p>
            <w:pPr>
              <w:spacing w:after="40" w:before="40"/>
            </w:pPr>
            <w:r>
              <w:rPr>
                <w:sz w:val="18"/>
              </w:rPr>
              <w:t>Jadwal.Domain</w:t>
            </w:r>
          </w:p>
        </w:tc>
        <w:tc>
          <w:tcPr>
            <w:tcW w:type="dxa" w:w="3120"/>
            <w:shd w:fill="F9FBF9"/>
          </w:tcPr>
          <w:p>
            <w:pPr>
              <w:spacing w:after="40" w:before="40"/>
            </w:pPr>
            <w:r>
              <w:rPr>
                <w:sz w:val="18"/>
              </w:rPr>
              <w:t>Core domain entities, Value Objects, FatimidHijriDate calculation, ScheduleTimeline models, PeriodOccurrence states, TimetableDiffEngine.</w:t>
            </w:r>
          </w:p>
        </w:tc>
        <w:tc>
          <w:tcPr>
            <w:tcW w:type="dxa" w:w="3120"/>
            <w:shd w:fill="F9FBF9"/>
          </w:tcPr>
          <w:p>
            <w:pPr>
              <w:spacing w:after="40" w:before="40"/>
            </w:pPr>
            <w:r>
              <w:rPr>
                <w:sz w:val="18"/>
              </w:rPr>
              <w:t>.NET 10 C# 13, Zero dependencies.</w:t>
            </w:r>
          </w:p>
        </w:tc>
      </w:tr>
      <w:tr>
        <w:tc>
          <w:tcPr>
            <w:tcW w:type="dxa" w:w="3120"/>
            <w:shd w:fill="FFFFFF"/>
          </w:tcPr>
          <w:p>
            <w:pPr>
              <w:spacing w:after="40" w:before="40"/>
            </w:pPr>
            <w:r>
              <w:rPr>
                <w:sz w:val="18"/>
              </w:rPr>
              <w:t>Jadwal.Application</w:t>
            </w:r>
          </w:p>
        </w:tc>
        <w:tc>
          <w:tcPr>
            <w:tcW w:type="dxa" w:w="3120"/>
            <w:shd w:fill="FFFFFF"/>
          </w:tcPr>
          <w:p>
            <w:pPr>
              <w:spacing w:after="40" w:before="40"/>
            </w:pPr>
            <w:r>
              <w:rPr>
                <w:sz w:val="18"/>
              </w:rPr>
              <w:t>Application services, DTOs, interfaces (IMiqaatRepository, ITaskRepository, ITimetableRepository), CalendarService, DashboardService, TaskService, TimetableService.</w:t>
            </w:r>
          </w:p>
        </w:tc>
        <w:tc>
          <w:tcPr>
            <w:tcW w:type="dxa" w:w="3120"/>
            <w:shd w:fill="FFFFFF"/>
          </w:tcPr>
          <w:p>
            <w:pPr>
              <w:spacing w:after="40" w:before="40"/>
            </w:pPr>
            <w:r>
              <w:rPr>
                <w:sz w:val="18"/>
              </w:rPr>
              <w:t>Microsoft.Extensions.DependencyInjection.</w:t>
            </w:r>
          </w:p>
        </w:tc>
      </w:tr>
      <w:tr>
        <w:tc>
          <w:tcPr>
            <w:tcW w:type="dxa" w:w="3120"/>
            <w:shd w:fill="F9FBF9"/>
          </w:tcPr>
          <w:p>
            <w:pPr>
              <w:spacing w:after="40" w:before="40"/>
            </w:pPr>
            <w:r>
              <w:rPr>
                <w:sz w:val="18"/>
              </w:rPr>
              <w:t>Jadwal.Infrastructure</w:t>
            </w:r>
          </w:p>
        </w:tc>
        <w:tc>
          <w:tcPr>
            <w:tcW w:type="dxa" w:w="3120"/>
            <w:shd w:fill="F9FBF9"/>
          </w:tcPr>
          <w:p>
            <w:pPr>
              <w:spacing w:after="40" w:before="40"/>
            </w:pPr>
            <w:r>
              <w:rPr>
                <w:sz w:val="18"/>
              </w:rPr>
              <w:t>Local JSON persistence with atomic file writes, embedded 12-month miqaats.json database, JsonMiqaatRepository, LegacyDataMigrator.</w:t>
            </w:r>
          </w:p>
        </w:tc>
        <w:tc>
          <w:tcPr>
            <w:tcW w:type="dxa" w:w="3120"/>
            <w:shd w:fill="F9FBF9"/>
          </w:tcPr>
          <w:p>
            <w:pPr>
              <w:spacing w:after="40" w:before="40"/>
            </w:pPr>
            <w:r>
              <w:rPr>
                <w:sz w:val="18"/>
              </w:rPr>
              <w:t>System.Text.Json, Embedded Resources.</w:t>
            </w:r>
          </w:p>
        </w:tc>
      </w:tr>
      <w:tr>
        <w:tc>
          <w:tcPr>
            <w:tcW w:type="dxa" w:w="3120"/>
            <w:shd w:fill="FFFFFF"/>
          </w:tcPr>
          <w:p>
            <w:pPr>
              <w:spacing w:after="40" w:before="40"/>
            </w:pPr>
            <w:r>
              <w:rPr>
                <w:sz w:val="18"/>
              </w:rPr>
              <w:t>Jadwal.Integrations.Jamia</w:t>
            </w:r>
          </w:p>
        </w:tc>
        <w:tc>
          <w:tcPr>
            <w:tcW w:type="dxa" w:w="3120"/>
            <w:shd w:fill="FFFFFF"/>
          </w:tcPr>
          <w:p>
            <w:pPr>
              <w:spacing w:after="40" w:before="40"/>
            </w:pPr>
            <w:r>
              <w:rPr>
                <w:sz w:val="18"/>
              </w:rPr>
              <w:t>Playwright Python bridge execution, token storage (jamea_token.json), token expiry detection, Excel schedule parsing.</w:t>
            </w:r>
          </w:p>
        </w:tc>
        <w:tc>
          <w:tcPr>
            <w:tcW w:type="dxa" w:w="3120"/>
            <w:shd w:fill="FFFFFF"/>
          </w:tcPr>
          <w:p>
            <w:pPr>
              <w:spacing w:after="40" w:before="40"/>
            </w:pPr>
            <w:r>
              <w:rPr>
                <w:sz w:val="18"/>
              </w:rPr>
              <w:t>System.Diagnostics.Process, OpenPyXL.</w:t>
            </w:r>
          </w:p>
        </w:tc>
      </w:tr>
      <w:tr>
        <w:tc>
          <w:tcPr>
            <w:tcW w:type="dxa" w:w="3120"/>
            <w:shd w:fill="F9FBF9"/>
          </w:tcPr>
          <w:p>
            <w:pPr>
              <w:spacing w:after="40" w:before="40"/>
            </w:pPr>
            <w:r>
              <w:rPr>
                <w:sz w:val="18"/>
              </w:rPr>
              <w:t>Jadwal.Platform.MacOS</w:t>
            </w:r>
          </w:p>
        </w:tc>
        <w:tc>
          <w:tcPr>
            <w:tcW w:type="dxa" w:w="3120"/>
            <w:shd w:fill="F9FBF9"/>
          </w:tcPr>
          <w:p>
            <w:pPr>
              <w:spacing w:after="40" w:before="40"/>
            </w:pPr>
            <w:r>
              <w:rPr>
                <w:sz w:val="18"/>
              </w:rPr>
              <w:t>macOS native integrations: Keychain secure storage, UserNotifications, LaunchAgent background autostart.</w:t>
            </w:r>
          </w:p>
        </w:tc>
        <w:tc>
          <w:tcPr>
            <w:tcW w:type="dxa" w:w="3120"/>
            <w:shd w:fill="F9FBF9"/>
          </w:tcPr>
          <w:p>
            <w:pPr>
              <w:spacing w:after="40" w:before="40"/>
            </w:pPr>
            <w:r>
              <w:rPr>
                <w:sz w:val="18"/>
              </w:rPr>
              <w:t>OS security primitives, P/Invoke.</w:t>
            </w:r>
          </w:p>
        </w:tc>
      </w:tr>
      <w:tr>
        <w:tc>
          <w:tcPr>
            <w:tcW w:type="dxa" w:w="3120"/>
            <w:shd w:fill="FFFFFF"/>
          </w:tcPr>
          <w:p>
            <w:pPr>
              <w:spacing w:after="40" w:before="40"/>
            </w:pPr>
            <w:r>
              <w:rPr>
                <w:sz w:val="18"/>
              </w:rPr>
              <w:t>Jadwal.Platform.Windows</w:t>
            </w:r>
          </w:p>
        </w:tc>
        <w:tc>
          <w:tcPr>
            <w:tcW w:type="dxa" w:w="3120"/>
            <w:shd w:fill="FFFFFF"/>
          </w:tcPr>
          <w:p>
            <w:pPr>
              <w:spacing w:after="40" w:before="40"/>
            </w:pPr>
            <w:r>
              <w:rPr>
                <w:sz w:val="18"/>
              </w:rPr>
              <w:t>Windows native integrations: DPAPI secure storage, Windows Toast notifications, Registry Run autostart.</w:t>
            </w:r>
          </w:p>
        </w:tc>
        <w:tc>
          <w:tcPr>
            <w:tcW w:type="dxa" w:w="3120"/>
            <w:shd w:fill="FFFFFF"/>
          </w:tcPr>
          <w:p>
            <w:pPr>
              <w:spacing w:after="40" w:before="40"/>
            </w:pPr>
            <w:r>
              <w:rPr>
                <w:sz w:val="18"/>
              </w:rPr>
              <w:t>Microsoft.Win32.Registry, DPAPI.</w:t>
            </w:r>
          </w:p>
        </w:tc>
      </w:tr>
      <w:tr>
        <w:tc>
          <w:tcPr>
            <w:tcW w:type="dxa" w:w="3120"/>
            <w:shd w:fill="F9FBF9"/>
          </w:tcPr>
          <w:p>
            <w:pPr>
              <w:spacing w:after="40" w:before="40"/>
            </w:pPr>
            <w:r>
              <w:rPr>
                <w:sz w:val="18"/>
              </w:rPr>
              <w:t>Jadwal.UI</w:t>
            </w:r>
          </w:p>
        </w:tc>
        <w:tc>
          <w:tcPr>
            <w:tcW w:type="dxa" w:w="3120"/>
            <w:shd w:fill="F9FBF9"/>
          </w:tcPr>
          <w:p>
            <w:pPr>
              <w:spacing w:after="40" w:before="40"/>
            </w:pPr>
            <w:r>
              <w:rPr>
                <w:sz w:val="18"/>
              </w:rPr>
              <w:t>Avalonia MVVM desktop UI: Views, ViewModels, FatimidTheme styling, Kanzallulu typography, 3D card flip controls, RTL grid layouts.</w:t>
            </w:r>
          </w:p>
        </w:tc>
        <w:tc>
          <w:tcPr>
            <w:tcW w:type="dxa" w:w="3120"/>
            <w:shd w:fill="F9FBF9"/>
          </w:tcPr>
          <w:p>
            <w:pPr>
              <w:spacing w:after="40" w:before="40"/>
            </w:pPr>
            <w:r>
              <w:rPr>
                <w:sz w:val="18"/>
              </w:rPr>
              <w:t>Avalonia 12.1.2, CommunityToolkit.Mvvm.</w:t>
            </w:r>
          </w:p>
        </w:tc>
      </w:tr>
      <w:tr>
        <w:tc>
          <w:tcPr>
            <w:tcW w:type="dxa" w:w="3120"/>
            <w:shd w:fill="FFFFFF"/>
          </w:tcPr>
          <w:p>
            <w:pPr>
              <w:spacing w:after="40" w:before="40"/>
            </w:pPr>
            <w:r>
              <w:rPr>
                <w:sz w:val="18"/>
              </w:rPr>
              <w:t>Jadwal.App</w:t>
            </w:r>
          </w:p>
        </w:tc>
        <w:tc>
          <w:tcPr>
            <w:tcW w:type="dxa" w:w="3120"/>
            <w:shd w:fill="FFFFFF"/>
          </w:tcPr>
          <w:p>
            <w:pPr>
              <w:spacing w:after="40" w:before="40"/>
            </w:pPr>
            <w:r>
              <w:rPr>
                <w:sz w:val="18"/>
              </w:rPr>
              <w:t>Desktop bootstrap, DI configuration, global unhandled exception crash logging, native Mach-O launcher (launcher_macos.c).</w:t>
            </w:r>
          </w:p>
        </w:tc>
        <w:tc>
          <w:tcPr>
            <w:tcW w:type="dxa" w:w="3120"/>
            <w:shd w:fill="FFFFFF"/>
          </w:tcPr>
          <w:p>
            <w:pPr>
              <w:spacing w:after="40" w:before="40"/>
            </w:pPr>
            <w:r>
              <w:rPr>
                <w:sz w:val="18"/>
              </w:rPr>
              <w:t>hostfxr native hosting API, AppBuilder.</w:t>
            </w:r>
          </w:p>
        </w:tc>
      </w:tr>
    </w:tbl>
    <w:p>
      <w:pPr>
        <w:spacing w:after="120"/>
      </w:pPr>
    </w:p>
    <w:p>
      <w:pPr>
        <w:pStyle w:val="Heading1"/>
        <w:spacing w:before="320" w:after="120"/>
      </w:pPr>
      <w:r>
        <w:rPr>
          <w:color w:val="0B4F39"/>
        </w:rPr>
        <w:t>5. Dual Fatimid Hijri &amp; Gregorian Calendar Engine</w:t>
      </w:r>
    </w:p>
    <w:p>
      <w:pPr>
        <w:pStyle w:val="Heading2"/>
        <w:spacing w:before="240" w:after="80"/>
      </w:pPr>
      <w:r>
        <w:rPr>
          <w:color w:val="282828"/>
        </w:rPr>
        <w:t>5.1 Astronomical Tabular Lunar Algorithm</w:t>
      </w:r>
    </w:p>
    <w:p>
      <w:pPr>
        <w:spacing w:after="120" w:line="276" w:lineRule="auto"/>
      </w:pPr>
      <w:r>
        <w:t>The Fatimid Misri calendar operates on a strict 30-year tabular lunar cycle containing 11 leap years (years 2, 5, 7, 10, 13, 16, 18, 21, 24, 26, and 29) of 355 days, and 19 ordinary years of 354 days. Odd-numbered months have 30 days, while even-numbered months have 29 days (with the 12th month having 30 days in leap years).</w:t>
      </w:r>
    </w:p>
    <w:p>
      <w:pPr>
        <w:spacing w:after="120" w:line="276" w:lineRule="auto"/>
      </w:pPr>
      <w:r>
        <w:t>The FatimidHijriDate domain model provides exact bidirectional conversion between Gregorian dates (DateTime) and Fatimid Hijri dates via Astronomical Julian Day Numbers (JDN):</w:t>
      </w:r>
    </w:p>
    <w:p>
      <w:pPr>
        <w:pStyle w:val="ListBullet"/>
        <w:spacing w:after="60" w:line="276" w:lineRule="auto"/>
      </w:pPr>
      <w:r>
        <w:t>From Gregorian to JDN: JDN = (1461 * (Y + 4800 + (M - 14) / 12)) / 4 + (367 * (M - 2 - 12 * ((M - 14) / 12))) / 12 - (3 * ((Y + 4900 + (M - 14) / 12) / 100)) / 4 + D - 32075</w:t>
      </w:r>
    </w:p>
    <w:p>
      <w:pPr>
        <w:pStyle w:val="ListBullet"/>
        <w:spacing w:after="60" w:line="276" w:lineRule="auto"/>
      </w:pPr>
      <w:r>
        <w:t>From JDN to Fatimid Misri: Julian Epoch offset JDN 1948439 (1 Moharram 1 AH / 16 July 622 CE).</w:t>
      </w:r>
    </w:p>
    <w:p>
      <w:pPr>
        <w:pStyle w:val="ListBullet"/>
        <w:spacing w:after="60" w:line="276" w:lineRule="auto"/>
      </w:pPr>
      <w:r>
        <w:t>Calendar Grid Alignment: Generic 7-column grid layout starting on Monday (al-Ithnayn) with empty offset cells for day alignment.</w:t>
      </w:r>
    </w:p>
    <w:p>
      <w:pPr>
        <w:pStyle w:val="Heading2"/>
        <w:spacing w:before="240" w:after="80"/>
      </w:pPr>
      <w:r>
        <w:rPr>
          <w:color w:val="282828"/>
        </w:rPr>
        <w:t>5.2 Official 12-Month Miqaats Knowledge Database</w:t>
      </w:r>
    </w:p>
    <w:p>
      <w:pPr>
        <w:spacing w:after="120" w:line="276" w:lineRule="auto"/>
      </w:pPr>
      <w:r>
        <w:t>Jadwal embeds the official Aljamea-tus-Saifiyah Miqaats dataset (Data/miqaats.json), curated across all 12 Hijri months: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4F39"/>
          </w:tcPr>
          <w:p>
            <w:pPr>
              <w:jc w:val="center"/>
            </w:pPr>
            <w:r>
              <w:rPr>
                <w:b/>
                <w:color w:val="FFFFFF"/>
                <w:sz w:val="19"/>
              </w:rPr>
              <w:t>Hijri Month</w:t>
            </w:r>
          </w:p>
        </w:tc>
        <w:tc>
          <w:tcPr>
            <w:tcW w:type="dxa" w:w="3120"/>
            <w:shd w:fill="0B4F39"/>
          </w:tcPr>
          <w:p>
            <w:pPr>
              <w:jc w:val="center"/>
            </w:pPr>
            <w:r>
              <w:rPr>
                <w:b/>
                <w:color w:val="FFFFFF"/>
                <w:sz w:val="19"/>
              </w:rPr>
              <w:t>Month Name (Arabic / Roman)</w:t>
            </w:r>
          </w:p>
        </w:tc>
        <w:tc>
          <w:tcPr>
            <w:tcW w:type="dxa" w:w="3120"/>
            <w:shd w:fill="0B4F39"/>
          </w:tcPr>
          <w:p>
            <w:pPr>
              <w:jc w:val="center"/>
            </w:pPr>
            <w:r>
              <w:rPr>
                <w:b/>
                <w:color w:val="FFFFFF"/>
                <w:sz w:val="19"/>
              </w:rPr>
              <w:t>Notable Miqaats Included</w:t>
            </w:r>
          </w:p>
        </w:tc>
      </w:tr>
      <w:tr>
        <w:tc>
          <w:tcPr>
            <w:tcW w:type="dxa" w:w="3120"/>
            <w:shd w:fill="F9FBF9"/>
          </w:tcPr>
          <w:p>
            <w:pPr>
              <w:spacing w:after="40" w:before="40"/>
            </w:pPr>
            <w:r>
              <w:rPr>
                <w:sz w:val="18"/>
              </w:rPr>
              <w:t>Month 1</w:t>
            </w:r>
          </w:p>
        </w:tc>
        <w:tc>
          <w:tcPr>
            <w:tcW w:type="dxa" w:w="3120"/>
            <w:shd w:fill="F9FBF9"/>
          </w:tcPr>
          <w:p>
            <w:pPr>
              <w:spacing w:after="40" w:before="40"/>
            </w:pPr>
            <w:r>
              <w:rPr>
                <w:sz w:val="18"/>
              </w:rPr>
              <w:t>Moharram al-Haram (محرّم الحرام)</w:t>
            </w:r>
          </w:p>
        </w:tc>
        <w:tc>
          <w:tcPr>
            <w:tcW w:type="dxa" w:w="3120"/>
            <w:shd w:fill="F9FBF9"/>
          </w:tcPr>
          <w:p>
            <w:pPr>
              <w:spacing w:after="40" w:before="40"/>
            </w:pPr>
            <w:r>
              <w:rPr>
                <w:sz w:val="18"/>
              </w:rPr>
              <w:t>Aashura, Shahadat Imam Husain AS, Urus Syedna Hatim RA, Urus Syedna Taher Saifuddin RA.</w:t>
            </w:r>
          </w:p>
        </w:tc>
      </w:tr>
      <w:tr>
        <w:tc>
          <w:tcPr>
            <w:tcW w:type="dxa" w:w="3120"/>
            <w:shd w:fill="FFFFFF"/>
          </w:tcPr>
          <w:p>
            <w:pPr>
              <w:spacing w:after="40" w:before="40"/>
            </w:pPr>
            <w:r>
              <w:rPr>
                <w:sz w:val="18"/>
              </w:rPr>
              <w:t>Month 2</w:t>
            </w:r>
          </w:p>
        </w:tc>
        <w:tc>
          <w:tcPr>
            <w:tcW w:type="dxa" w:w="3120"/>
            <w:shd w:fill="FFFFFF"/>
          </w:tcPr>
          <w:p>
            <w:pPr>
              <w:spacing w:after="40" w:before="40"/>
            </w:pPr>
            <w:r>
              <w:rPr>
                <w:sz w:val="18"/>
              </w:rPr>
              <w:t>Safar al-Muzaffar (صفر المظفر)</w:t>
            </w:r>
          </w:p>
        </w:tc>
        <w:tc>
          <w:tcPr>
            <w:tcW w:type="dxa" w:w="3120"/>
            <w:shd w:fill="FFFFFF"/>
          </w:tcPr>
          <w:p>
            <w:pPr>
              <w:spacing w:after="40" w:before="40"/>
            </w:pPr>
            <w:r>
              <w:rPr>
                <w:sz w:val="18"/>
              </w:rPr>
              <w:t>Chelum Imam Husain AS, Urus Syedi Fakhruddin Shaheed, Urus Syedna Idris Imaduddin RA.</w:t>
            </w:r>
          </w:p>
        </w:tc>
      </w:tr>
      <w:tr>
        <w:tc>
          <w:tcPr>
            <w:tcW w:type="dxa" w:w="3120"/>
            <w:shd w:fill="F9FBF9"/>
          </w:tcPr>
          <w:p>
            <w:pPr>
              <w:spacing w:after="40" w:before="40"/>
            </w:pPr>
            <w:r>
              <w:rPr>
                <w:sz w:val="18"/>
              </w:rPr>
              <w:t>Month 3</w:t>
            </w:r>
          </w:p>
        </w:tc>
        <w:tc>
          <w:tcPr>
            <w:tcW w:type="dxa" w:w="3120"/>
            <w:shd w:fill="F9FBF9"/>
          </w:tcPr>
          <w:p>
            <w:pPr>
              <w:spacing w:after="40" w:before="40"/>
            </w:pPr>
            <w:r>
              <w:rPr>
                <w:sz w:val="18"/>
              </w:rPr>
              <w:t>Rabi al-Awwal (ربيع الأول)</w:t>
            </w:r>
          </w:p>
        </w:tc>
        <w:tc>
          <w:tcPr>
            <w:tcW w:type="dxa" w:w="3120"/>
            <w:shd w:fill="F9FBF9"/>
          </w:tcPr>
          <w:p>
            <w:pPr>
              <w:spacing w:after="40" w:before="40"/>
            </w:pPr>
            <w:r>
              <w:rPr>
                <w:sz w:val="18"/>
              </w:rPr>
              <w:t>Miladun Nabi SAW, Milad Imamuz Zaman AS, Urus Syedna Noor Mohammed Nooruddin RA.</w:t>
            </w:r>
          </w:p>
        </w:tc>
      </w:tr>
      <w:tr>
        <w:tc>
          <w:tcPr>
            <w:tcW w:type="dxa" w:w="3120"/>
            <w:shd w:fill="FFFFFF"/>
          </w:tcPr>
          <w:p>
            <w:pPr>
              <w:spacing w:after="40" w:before="40"/>
            </w:pPr>
            <w:r>
              <w:rPr>
                <w:sz w:val="18"/>
              </w:rPr>
              <w:t>Month 4</w:t>
            </w:r>
          </w:p>
        </w:tc>
        <w:tc>
          <w:tcPr>
            <w:tcW w:type="dxa" w:w="3120"/>
            <w:shd w:fill="FFFFFF"/>
          </w:tcPr>
          <w:p>
            <w:pPr>
              <w:spacing w:after="40" w:before="40"/>
            </w:pPr>
            <w:r>
              <w:rPr>
                <w:sz w:val="18"/>
              </w:rPr>
              <w:t>Rabi al-Aakhar (ربيع الآخر)</w:t>
            </w:r>
          </w:p>
        </w:tc>
        <w:tc>
          <w:tcPr>
            <w:tcW w:type="dxa" w:w="3120"/>
            <w:shd w:fill="FFFFFF"/>
          </w:tcPr>
          <w:p>
            <w:pPr>
              <w:spacing w:after="40" w:before="40"/>
            </w:pPr>
            <w:r>
              <w:rPr>
                <w:sz w:val="18"/>
              </w:rPr>
              <w:t>Milad Syedna Mohammed Burhanuddin RA, Urus Syedi Hasanfeer, Urus Syedna Ismail Badruddin RA.</w:t>
            </w:r>
          </w:p>
        </w:tc>
      </w:tr>
      <w:tr>
        <w:tc>
          <w:tcPr>
            <w:tcW w:type="dxa" w:w="3120"/>
            <w:shd w:fill="F9FBF9"/>
          </w:tcPr>
          <w:p>
            <w:pPr>
              <w:spacing w:after="40" w:before="40"/>
            </w:pPr>
            <w:r>
              <w:rPr>
                <w:sz w:val="18"/>
              </w:rPr>
              <w:t>Month 5</w:t>
            </w:r>
          </w:p>
        </w:tc>
        <w:tc>
          <w:tcPr>
            <w:tcW w:type="dxa" w:w="3120"/>
            <w:shd w:fill="F9FBF9"/>
          </w:tcPr>
          <w:p>
            <w:pPr>
              <w:spacing w:after="40" w:before="40"/>
            </w:pPr>
            <w:r>
              <w:rPr>
                <w:sz w:val="18"/>
              </w:rPr>
              <w:t>Jumada al-Ula (جمادى الأولى)</w:t>
            </w:r>
          </w:p>
        </w:tc>
        <w:tc>
          <w:tcPr>
            <w:tcW w:type="dxa" w:w="3120"/>
            <w:shd w:fill="F9FBF9"/>
          </w:tcPr>
          <w:p>
            <w:pPr>
              <w:spacing w:after="40" w:before="40"/>
            </w:pPr>
            <w:r>
              <w:rPr>
                <w:sz w:val="18"/>
              </w:rPr>
              <w:t>Milad Maulatana Fatimatuz Zahra AS, Urus Syedna Qutbuddin Shaheed RA.</w:t>
            </w:r>
          </w:p>
        </w:tc>
      </w:tr>
      <w:tr>
        <w:tc>
          <w:tcPr>
            <w:tcW w:type="dxa" w:w="3120"/>
            <w:shd w:fill="FFFFFF"/>
          </w:tcPr>
          <w:p>
            <w:pPr>
              <w:spacing w:after="40" w:before="40"/>
            </w:pPr>
            <w:r>
              <w:rPr>
                <w:sz w:val="18"/>
              </w:rPr>
              <w:t>Month 6</w:t>
            </w:r>
          </w:p>
        </w:tc>
        <w:tc>
          <w:tcPr>
            <w:tcW w:type="dxa" w:w="3120"/>
            <w:shd w:fill="FFFFFF"/>
          </w:tcPr>
          <w:p>
            <w:pPr>
              <w:spacing w:after="40" w:before="40"/>
            </w:pPr>
            <w:r>
              <w:rPr>
                <w:sz w:val="18"/>
              </w:rPr>
              <w:t>Jumada al-Ukhra (جمادى الآخرة)</w:t>
            </w:r>
          </w:p>
        </w:tc>
        <w:tc>
          <w:tcPr>
            <w:tcW w:type="dxa" w:w="3120"/>
            <w:shd w:fill="FFFFFF"/>
          </w:tcPr>
          <w:p>
            <w:pPr>
              <w:spacing w:after="40" w:before="40"/>
            </w:pPr>
            <w:r>
              <w:rPr>
                <w:sz w:val="18"/>
              </w:rPr>
              <w:t>Milad Syedna Mufaddal Saifuddin TUS, Urus Syedi Lukmanji, Urus Syedna Abdulqadir Najmuddin RA.</w:t>
            </w:r>
          </w:p>
        </w:tc>
      </w:tr>
      <w:tr>
        <w:tc>
          <w:tcPr>
            <w:tcW w:type="dxa" w:w="3120"/>
            <w:shd w:fill="F9FBF9"/>
          </w:tcPr>
          <w:p>
            <w:pPr>
              <w:spacing w:after="40" w:before="40"/>
            </w:pPr>
            <w:r>
              <w:rPr>
                <w:sz w:val="18"/>
              </w:rPr>
              <w:t>Month 7</w:t>
            </w:r>
          </w:p>
        </w:tc>
        <w:tc>
          <w:tcPr>
            <w:tcW w:type="dxa" w:w="3120"/>
            <w:shd w:fill="F9FBF9"/>
          </w:tcPr>
          <w:p>
            <w:pPr>
              <w:spacing w:after="40" w:before="40"/>
            </w:pPr>
            <w:r>
              <w:rPr>
                <w:sz w:val="18"/>
              </w:rPr>
              <w:t>Rajab al-Asab (رجب الأصب)</w:t>
            </w:r>
          </w:p>
        </w:tc>
        <w:tc>
          <w:tcPr>
            <w:tcW w:type="dxa" w:w="3120"/>
            <w:shd w:fill="F9FBF9"/>
          </w:tcPr>
          <w:p>
            <w:pPr>
              <w:spacing w:after="40" w:before="40"/>
            </w:pPr>
            <w:r>
              <w:rPr>
                <w:sz w:val="18"/>
              </w:rPr>
              <w:t>Mab'as Nabi SAW, Me'raj, Urus Syedna Ali Shamsuddin RA, Pehli Raat Rajab.</w:t>
            </w:r>
          </w:p>
        </w:tc>
      </w:tr>
      <w:tr>
        <w:tc>
          <w:tcPr>
            <w:tcW w:type="dxa" w:w="3120"/>
            <w:shd w:fill="FFFFFF"/>
          </w:tcPr>
          <w:p>
            <w:pPr>
              <w:spacing w:after="40" w:before="40"/>
            </w:pPr>
            <w:r>
              <w:rPr>
                <w:sz w:val="18"/>
              </w:rPr>
              <w:t>Month 8</w:t>
            </w:r>
          </w:p>
        </w:tc>
        <w:tc>
          <w:tcPr>
            <w:tcW w:type="dxa" w:w="3120"/>
            <w:shd w:fill="FFFFFF"/>
          </w:tcPr>
          <w:p>
            <w:pPr>
              <w:spacing w:after="40" w:before="40"/>
            </w:pPr>
            <w:r>
              <w:rPr>
                <w:sz w:val="18"/>
              </w:rPr>
              <w:t>Shaban al-Kareem (شعبان الكريم)</w:t>
            </w:r>
          </w:p>
        </w:tc>
        <w:tc>
          <w:tcPr>
            <w:tcW w:type="dxa" w:w="3120"/>
            <w:shd w:fill="FFFFFF"/>
          </w:tcPr>
          <w:p>
            <w:pPr>
              <w:spacing w:after="40" w:before="40"/>
            </w:pPr>
            <w:r>
              <w:rPr>
                <w:sz w:val="18"/>
              </w:rPr>
              <w:t>Nisf Shaban (Shab-e-Bara'at), Milad Imam Husain AS, Urus Syedna Hebatullah al-Moayyid RA.</w:t>
            </w:r>
          </w:p>
        </w:tc>
      </w:tr>
      <w:tr>
        <w:tc>
          <w:tcPr>
            <w:tcW w:type="dxa" w:w="3120"/>
            <w:shd w:fill="F9FBF9"/>
          </w:tcPr>
          <w:p>
            <w:pPr>
              <w:spacing w:after="40" w:before="40"/>
            </w:pPr>
            <w:r>
              <w:rPr>
                <w:sz w:val="18"/>
              </w:rPr>
              <w:t>Month 9</w:t>
            </w:r>
          </w:p>
        </w:tc>
        <w:tc>
          <w:tcPr>
            <w:tcW w:type="dxa" w:w="3120"/>
            <w:shd w:fill="F9FBF9"/>
          </w:tcPr>
          <w:p>
            <w:pPr>
              <w:spacing w:after="40" w:before="40"/>
            </w:pPr>
            <w:r>
              <w:rPr>
                <w:sz w:val="18"/>
              </w:rPr>
              <w:t>Shehre Ramadan al-Moazzam (شهر رمضان المعظم)</w:t>
            </w:r>
          </w:p>
        </w:tc>
        <w:tc>
          <w:tcPr>
            <w:tcW w:type="dxa" w:w="3120"/>
            <w:shd w:fill="F9FBF9"/>
          </w:tcPr>
          <w:p>
            <w:pPr>
              <w:spacing w:after="40" w:before="40"/>
            </w:pPr>
            <w:r>
              <w:rPr>
                <w:sz w:val="18"/>
              </w:rPr>
              <w:t>Lailat al-Qadr, Eid al-Fitr, Youm al-Jumua, Youm al-Qadr.</w:t>
            </w:r>
          </w:p>
        </w:tc>
      </w:tr>
      <w:tr>
        <w:tc>
          <w:tcPr>
            <w:tcW w:type="dxa" w:w="3120"/>
            <w:shd w:fill="FFFFFF"/>
          </w:tcPr>
          <w:p>
            <w:pPr>
              <w:spacing w:after="40" w:before="40"/>
            </w:pPr>
            <w:r>
              <w:rPr>
                <w:sz w:val="18"/>
              </w:rPr>
              <w:t>Month 10</w:t>
            </w:r>
          </w:p>
        </w:tc>
        <w:tc>
          <w:tcPr>
            <w:tcW w:type="dxa" w:w="3120"/>
            <w:shd w:fill="FFFFFF"/>
          </w:tcPr>
          <w:p>
            <w:pPr>
              <w:spacing w:after="40" w:before="40"/>
            </w:pPr>
            <w:r>
              <w:rPr>
                <w:sz w:val="18"/>
              </w:rPr>
              <w:t>Shawwal al-Mukarram (شوال المكرّم)</w:t>
            </w:r>
          </w:p>
        </w:tc>
        <w:tc>
          <w:tcPr>
            <w:tcW w:type="dxa" w:w="3120"/>
            <w:shd w:fill="FFFFFF"/>
          </w:tcPr>
          <w:p>
            <w:pPr>
              <w:spacing w:after="40" w:before="40"/>
            </w:pPr>
            <w:r>
              <w:rPr>
                <w:sz w:val="18"/>
              </w:rPr>
              <w:t>Eid al-Fitr, Urus Syedna Qutbuddin Shaheed RA, Urus Syedna Feer Khan Shujauddin RA.</w:t>
            </w:r>
          </w:p>
        </w:tc>
      </w:tr>
      <w:tr>
        <w:tc>
          <w:tcPr>
            <w:tcW w:type="dxa" w:w="3120"/>
            <w:shd w:fill="F9FBF9"/>
          </w:tcPr>
          <w:p>
            <w:pPr>
              <w:spacing w:after="40" w:before="40"/>
            </w:pPr>
            <w:r>
              <w:rPr>
                <w:sz w:val="18"/>
              </w:rPr>
              <w:t>Month 11</w:t>
            </w:r>
          </w:p>
        </w:tc>
        <w:tc>
          <w:tcPr>
            <w:tcW w:type="dxa" w:w="3120"/>
            <w:shd w:fill="F9FBF9"/>
          </w:tcPr>
          <w:p>
            <w:pPr>
              <w:spacing w:after="40" w:before="40"/>
            </w:pPr>
            <w:r>
              <w:rPr>
                <w:sz w:val="18"/>
              </w:rPr>
              <w:t>Zilqadat al-Haraam (ذو القعدة الحرام)</w:t>
            </w:r>
          </w:p>
        </w:tc>
        <w:tc>
          <w:tcPr>
            <w:tcW w:type="dxa" w:w="3120"/>
            <w:shd w:fill="F9FBF9"/>
          </w:tcPr>
          <w:p>
            <w:pPr>
              <w:spacing w:after="40" w:before="40"/>
            </w:pPr>
            <w:r>
              <w:rPr>
                <w:sz w:val="18"/>
              </w:rPr>
              <w:t>Milad Imam Ali Raza AS, Urus Syedna Bawa Mulla Khan, Urus Syedna Noor Mohammed RA.</w:t>
            </w:r>
          </w:p>
        </w:tc>
      </w:tr>
      <w:tr>
        <w:tc>
          <w:tcPr>
            <w:tcW w:type="dxa" w:w="3120"/>
            <w:shd w:fill="FFFFFF"/>
          </w:tcPr>
          <w:p>
            <w:pPr>
              <w:spacing w:after="40" w:before="40"/>
            </w:pPr>
            <w:r>
              <w:rPr>
                <w:sz w:val="18"/>
              </w:rPr>
              <w:t>Month 12</w:t>
            </w:r>
          </w:p>
        </w:tc>
        <w:tc>
          <w:tcPr>
            <w:tcW w:type="dxa" w:w="3120"/>
            <w:shd w:fill="FFFFFF"/>
          </w:tcPr>
          <w:p>
            <w:pPr>
              <w:spacing w:after="40" w:before="40"/>
            </w:pPr>
            <w:r>
              <w:rPr>
                <w:sz w:val="18"/>
              </w:rPr>
              <w:t>Zilhajje al-Haraam (ذو الحجة الحرام)</w:t>
            </w:r>
          </w:p>
        </w:tc>
        <w:tc>
          <w:tcPr>
            <w:tcW w:type="dxa" w:w="3120"/>
            <w:shd w:fill="FFFFFF"/>
          </w:tcPr>
          <w:p>
            <w:pPr>
              <w:spacing w:after="40" w:before="40"/>
            </w:pPr>
            <w:r>
              <w:rPr>
                <w:sz w:val="18"/>
              </w:rPr>
              <w:t>Eid al-Adha, Eid-e-Ghadir-e-Khum, Urus Syedi Abdulqadir Hakimuddin, Hajj Days.</w:t>
            </w:r>
          </w:p>
        </w:tc>
      </w:tr>
    </w:tbl>
    <w:p>
      <w:pPr>
        <w:spacing w:after="120"/>
      </w:pPr>
    </w:p>
    <w:p>
      <w:pPr>
        <w:pStyle w:val="Heading2"/>
        <w:spacing w:before="240" w:after="80"/>
      </w:pPr>
      <w:r>
        <w:rPr>
          <w:color w:val="282828"/>
        </w:rPr>
        <w:t>5.3 Ceremonial Phase and Category Classifications</w:t>
      </w:r>
    </w:p>
    <w:p>
      <w:pPr>
        <w:spacing w:after="120" w:line="276" w:lineRule="auto"/>
      </w:pPr>
      <w:r>
        <w:t>Each Miqaat is annotated with its ceremonial observance phase and category:</w:t>
      </w:r>
    </w:p>
    <w:p>
      <w:pPr>
        <w:pStyle w:val="ListBullet"/>
        <w:spacing w:after="60" w:line="276" w:lineRule="auto"/>
      </w:pPr>
      <w:r>
        <w:t>Phases: AllDay, Zohr, Maghrib, Tahajjud, Raat (Evening).</w:t>
      </w:r>
    </w:p>
    <w:p>
      <w:pPr>
        <w:pStyle w:val="ListBullet"/>
        <w:spacing w:after="60" w:line="276" w:lineRule="auto"/>
      </w:pPr>
      <w:r>
        <w:t>Categories: Wiladat, Wafat, Eid, Historical, Tazyeen.</w:t>
      </w:r>
    </w:p>
    <w:p>
      <w:pPr>
        <w:pStyle w:val="ListBullet"/>
        <w:spacing w:after="60" w:line="276" w:lineRule="auto"/>
      </w:pPr>
      <w:r>
        <w:t>Visual Badges: Rendered with distinct color-coded pills in both Today view and Calendar details drawer.</w:t>
      </w:r>
    </w:p>
    <w:p>
      <w:pPr>
        <w:pStyle w:val="Heading1"/>
        <w:spacing w:before="320" w:after="120"/>
      </w:pPr>
      <w:r>
        <w:rPr>
          <w:color w:val="0B4F39"/>
        </w:rPr>
        <w:t>6. Real-Time Schedule Engine &amp; 12-Hour AM/PM Synchronization</w:t>
      </w:r>
    </w:p>
    <w:p>
      <w:pPr>
        <w:pStyle w:val="Heading2"/>
        <w:spacing w:before="240" w:after="80"/>
      </w:pPr>
      <w:r>
        <w:rPr>
          <w:color w:val="282828"/>
        </w:rPr>
        <w:t>6.1 Clock Synchronization</w:t>
      </w:r>
    </w:p>
    <w:p>
      <w:pPr>
        <w:spacing w:after="120" w:line="276" w:lineRule="auto"/>
      </w:pPr>
      <w:r>
        <w:t>The Today view and Timetable views maintain continuous synchronization with the host machine's hardware clock using ITimeProvider and a 1-second background refresh timer. Active periods dynamically update their state without requiring manual page reload or view re-navigation.</w:t>
      </w:r>
    </w:p>
    <w:p>
      <w:pPr>
        <w:pStyle w:val="Heading2"/>
        <w:spacing w:before="240" w:after="80"/>
      </w:pPr>
      <w:r>
        <w:rPr>
          <w:color w:val="282828"/>
        </w:rPr>
        <w:t>6.2 Period Occurrence Lifecycle States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4F39"/>
          </w:tcPr>
          <w:p>
            <w:pPr>
              <w:jc w:val="center"/>
            </w:pPr>
            <w:r>
              <w:rPr>
                <w:b/>
                <w:color w:val="FFFFFF"/>
                <w:sz w:val="19"/>
              </w:rPr>
              <w:t>State</w:t>
            </w:r>
          </w:p>
        </w:tc>
        <w:tc>
          <w:tcPr>
            <w:tcW w:type="dxa" w:w="2340"/>
            <w:shd w:fill="0B4F39"/>
          </w:tcPr>
          <w:p>
            <w:pPr>
              <w:jc w:val="center"/>
            </w:pPr>
            <w:r>
              <w:rPr>
                <w:b/>
                <w:color w:val="FFFFFF"/>
                <w:sz w:val="19"/>
              </w:rPr>
              <w:t>Condition</w:t>
            </w:r>
          </w:p>
        </w:tc>
        <w:tc>
          <w:tcPr>
            <w:tcW w:type="dxa" w:w="2340"/>
            <w:shd w:fill="0B4F39"/>
          </w:tcPr>
          <w:p>
            <w:pPr>
              <w:jc w:val="center"/>
            </w:pPr>
            <w:r>
              <w:rPr>
                <w:b/>
                <w:color w:val="FFFFFF"/>
                <w:sz w:val="19"/>
              </w:rPr>
              <w:t>Visual Styling</w:t>
            </w:r>
          </w:p>
        </w:tc>
        <w:tc>
          <w:tcPr>
            <w:tcW w:type="dxa" w:w="2340"/>
            <w:shd w:fill="0B4F39"/>
          </w:tcPr>
          <w:p>
            <w:pPr>
              <w:jc w:val="center"/>
            </w:pPr>
            <w:r>
              <w:rPr>
                <w:b/>
                <w:color w:val="FFFFFF"/>
                <w:sz w:val="19"/>
              </w:rPr>
              <w:t>Behavior</w:t>
            </w:r>
          </w:p>
        </w:tc>
      </w:tr>
      <w:tr>
        <w:tc>
          <w:tcPr>
            <w:tcW w:type="dxa" w:w="2340"/>
            <w:shd w:fill="F9FBF9"/>
          </w:tcPr>
          <w:p>
            <w:pPr>
              <w:spacing w:after="40" w:before="40"/>
            </w:pPr>
            <w:r>
              <w:rPr>
                <w:sz w:val="18"/>
              </w:rPr>
              <w:t>InSession</w:t>
            </w:r>
          </w:p>
        </w:tc>
        <w:tc>
          <w:tcPr>
            <w:tcW w:type="dxa" w:w="2340"/>
            <w:shd w:fill="F9FBF9"/>
          </w:tcPr>
          <w:p>
            <w:pPr>
              <w:spacing w:after="40" w:before="40"/>
            </w:pPr>
            <w:r>
              <w:rPr>
                <w:sz w:val="18"/>
              </w:rPr>
              <w:t>Current time is between Period Start and End time.</w:t>
            </w:r>
          </w:p>
        </w:tc>
        <w:tc>
          <w:tcPr>
            <w:tcW w:type="dxa" w:w="2340"/>
            <w:shd w:fill="F9FBF9"/>
          </w:tcPr>
          <w:p>
            <w:pPr>
              <w:spacing w:after="40" w:before="40"/>
            </w:pPr>
            <w:r>
              <w:rPr>
                <w:sz w:val="18"/>
              </w:rPr>
              <w:t>Highlighted Emerald border, glowing badge, active progress bar.</w:t>
            </w:r>
          </w:p>
        </w:tc>
        <w:tc>
          <w:tcPr>
            <w:tcW w:type="dxa" w:w="2340"/>
            <w:shd w:fill="F9FBF9"/>
          </w:tcPr>
          <w:p>
            <w:pPr>
              <w:spacing w:after="40" w:before="40"/>
            </w:pPr>
            <w:r>
              <w:rPr>
                <w:sz w:val="18"/>
              </w:rPr>
              <w:t>Displays live elapsed time and countdown to period conclusion.</w:t>
            </w:r>
          </w:p>
        </w:tc>
      </w:tr>
      <w:tr>
        <w:tc>
          <w:tcPr>
            <w:tcW w:type="dxa" w:w="2340"/>
            <w:shd w:fill="FFFFFF"/>
          </w:tcPr>
          <w:p>
            <w:pPr>
              <w:spacing w:after="40" w:before="40"/>
            </w:pPr>
            <w:r>
              <w:rPr>
                <w:sz w:val="18"/>
              </w:rPr>
              <w:t>StartingSoon</w:t>
            </w:r>
          </w:p>
        </w:tc>
        <w:tc>
          <w:tcPr>
            <w:tcW w:type="dxa" w:w="2340"/>
            <w:shd w:fill="FFFFFF"/>
          </w:tcPr>
          <w:p>
            <w:pPr>
              <w:spacing w:after="40" w:before="40"/>
            </w:pPr>
            <w:r>
              <w:rPr>
                <w:sz w:val="18"/>
              </w:rPr>
              <w:t>Within 15 minutes prior to Period Start time.</w:t>
            </w:r>
          </w:p>
        </w:tc>
        <w:tc>
          <w:tcPr>
            <w:tcW w:type="dxa" w:w="2340"/>
            <w:shd w:fill="FFFFFF"/>
          </w:tcPr>
          <w:p>
            <w:pPr>
              <w:spacing w:after="40" w:before="40"/>
            </w:pPr>
            <w:r>
              <w:rPr>
                <w:sz w:val="18"/>
              </w:rPr>
              <w:t>Amber accent pill, pulsing indicator.</w:t>
            </w:r>
          </w:p>
        </w:tc>
        <w:tc>
          <w:tcPr>
            <w:tcW w:type="dxa" w:w="2340"/>
            <w:shd w:fill="FFFFFF"/>
          </w:tcPr>
          <w:p>
            <w:pPr>
              <w:spacing w:after="40" w:before="40"/>
            </w:pPr>
            <w:r>
              <w:rPr>
                <w:sz w:val="18"/>
              </w:rPr>
              <w:t>Alerts student to transition to the assigned classroom.</w:t>
            </w:r>
          </w:p>
        </w:tc>
      </w:tr>
      <w:tr>
        <w:tc>
          <w:tcPr>
            <w:tcW w:type="dxa" w:w="2340"/>
            <w:shd w:fill="F9FBF9"/>
          </w:tcPr>
          <w:p>
            <w:pPr>
              <w:spacing w:after="40" w:before="40"/>
            </w:pPr>
            <w:r>
              <w:rPr>
                <w:sz w:val="18"/>
              </w:rPr>
              <w:t>Upcoming</w:t>
            </w:r>
          </w:p>
        </w:tc>
        <w:tc>
          <w:tcPr>
            <w:tcW w:type="dxa" w:w="2340"/>
            <w:shd w:fill="F9FBF9"/>
          </w:tcPr>
          <w:p>
            <w:pPr>
              <w:spacing w:after="40" w:before="40"/>
            </w:pPr>
            <w:r>
              <w:rPr>
                <w:sz w:val="18"/>
              </w:rPr>
              <w:t>Scheduled later in the current academic day.</w:t>
            </w:r>
          </w:p>
        </w:tc>
        <w:tc>
          <w:tcPr>
            <w:tcW w:type="dxa" w:w="2340"/>
            <w:shd w:fill="F9FBF9"/>
          </w:tcPr>
          <w:p>
            <w:pPr>
              <w:spacing w:after="40" w:before="40"/>
            </w:pPr>
            <w:r>
              <w:rPr>
                <w:sz w:val="18"/>
              </w:rPr>
              <w:t>Clean primary card styling with dominant subject typography.</w:t>
            </w:r>
          </w:p>
        </w:tc>
        <w:tc>
          <w:tcPr>
            <w:tcW w:type="dxa" w:w="2340"/>
            <w:shd w:fill="F9FBF9"/>
          </w:tcPr>
          <w:p>
            <w:pPr>
              <w:spacing w:after="40" w:before="40"/>
            </w:pPr>
            <w:r>
              <w:rPr>
                <w:sz w:val="18"/>
              </w:rPr>
              <w:t>Displays teacher name, room, and associated task count.</w:t>
            </w:r>
          </w:p>
        </w:tc>
      </w:tr>
      <w:tr>
        <w:tc>
          <w:tcPr>
            <w:tcW w:type="dxa" w:w="2340"/>
            <w:shd w:fill="FFFFFF"/>
          </w:tcPr>
          <w:p>
            <w:pPr>
              <w:spacing w:after="40" w:before="40"/>
            </w:pPr>
            <w:r>
              <w:rPr>
                <w:sz w:val="18"/>
              </w:rPr>
              <w:t>Completed</w:t>
            </w:r>
          </w:p>
        </w:tc>
        <w:tc>
          <w:tcPr>
            <w:tcW w:type="dxa" w:w="2340"/>
            <w:shd w:fill="FFFFFF"/>
          </w:tcPr>
          <w:p>
            <w:pPr>
              <w:spacing w:after="40" w:before="40"/>
            </w:pPr>
            <w:r>
              <w:rPr>
                <w:sz w:val="18"/>
              </w:rPr>
              <w:t>Period End time is in the past.</w:t>
            </w:r>
          </w:p>
        </w:tc>
        <w:tc>
          <w:tcPr>
            <w:tcW w:type="dxa" w:w="2340"/>
            <w:shd w:fill="FFFFFF"/>
          </w:tcPr>
          <w:p>
            <w:pPr>
              <w:spacing w:after="40" w:before="40"/>
            </w:pPr>
            <w:r>
              <w:rPr>
                <w:sz w:val="18"/>
              </w:rPr>
              <w:t>Subdued background, subtle opacity reduction, checkmark icon.</w:t>
            </w:r>
          </w:p>
        </w:tc>
        <w:tc>
          <w:tcPr>
            <w:tcW w:type="dxa" w:w="2340"/>
            <w:shd w:fill="FFFFFF"/>
          </w:tcPr>
          <w:p>
            <w:pPr>
              <w:spacing w:after="40" w:before="40"/>
            </w:pPr>
            <w:r>
              <w:rPr>
                <w:sz w:val="18"/>
              </w:rPr>
              <w:t>Keeps period visible for reviewing notes or completed tasks.</w:t>
            </w:r>
          </w:p>
        </w:tc>
      </w:tr>
      <w:tr>
        <w:tc>
          <w:tcPr>
            <w:tcW w:type="dxa" w:w="2340"/>
            <w:shd w:fill="F9FBF9"/>
          </w:tcPr>
          <w:p>
            <w:pPr>
              <w:spacing w:after="40" w:before="40"/>
            </w:pPr>
            <w:r>
              <w:rPr>
                <w:sz w:val="18"/>
              </w:rPr>
              <w:t>Changed</w:t>
            </w:r>
          </w:p>
        </w:tc>
        <w:tc>
          <w:tcPr>
            <w:tcW w:type="dxa" w:w="2340"/>
            <w:shd w:fill="F9FBF9"/>
          </w:tcPr>
          <w:p>
            <w:pPr>
              <w:spacing w:after="40" w:before="40"/>
            </w:pPr>
            <w:r>
              <w:rPr>
                <w:sz w:val="18"/>
              </w:rPr>
              <w:t>Diff engine detects schedule discrepancy.</w:t>
            </w:r>
          </w:p>
        </w:tc>
        <w:tc>
          <w:tcPr>
            <w:tcW w:type="dxa" w:w="2340"/>
            <w:shd w:fill="F9FBF9"/>
          </w:tcPr>
          <w:p>
            <w:pPr>
              <w:spacing w:after="40" w:before="40"/>
            </w:pPr>
            <w:r>
              <w:rPr>
                <w:sz w:val="18"/>
              </w:rPr>
              <w:t>Orange warning indicator, conflict resolution banner.</w:t>
            </w:r>
          </w:p>
        </w:tc>
        <w:tc>
          <w:tcPr>
            <w:tcW w:type="dxa" w:w="2340"/>
            <w:shd w:fill="F9FBF9"/>
          </w:tcPr>
          <w:p>
            <w:pPr>
              <w:spacing w:after="40" w:before="40"/>
            </w:pPr>
            <w:r>
              <w:rPr>
                <w:sz w:val="18"/>
              </w:rPr>
              <w:t>Prompts student with 1-click task resolution options.</w:t>
            </w:r>
          </w:p>
        </w:tc>
      </w:tr>
    </w:tbl>
    <w:p>
      <w:pPr>
        <w:spacing w:after="120"/>
      </w:pPr>
    </w:p>
    <w:p>
      <w:pPr>
        <w:pStyle w:val="Heading2"/>
        <w:spacing w:before="240" w:after="80"/>
      </w:pPr>
      <w:r>
        <w:rPr>
          <w:color w:val="282828"/>
        </w:rPr>
        <w:t>6.3 12-Hour AM/PM Time Formatting</w:t>
      </w:r>
    </w:p>
    <w:p>
      <w:pPr>
        <w:spacing w:after="120" w:line="276" w:lineRule="auto"/>
      </w:pPr>
      <w:r>
        <w:t>All period and break occurrences display user-friendly 12-hour AM/PM formatting:</w:t>
      </w:r>
    </w:p>
    <w:p>
      <w:pPr>
        <w:pStyle w:val="ListBullet"/>
        <w:spacing w:after="60" w:line="276" w:lineRule="auto"/>
      </w:pPr>
      <w:r>
        <w:t>Period 1: 08:00 AM – 08:50 AM</w:t>
      </w:r>
    </w:p>
    <w:p>
      <w:pPr>
        <w:pStyle w:val="ListBullet"/>
        <w:spacing w:after="60" w:line="276" w:lineRule="auto"/>
      </w:pPr>
      <w:r>
        <w:t>Period 2: 08:50 AM – 09:40 AM</w:t>
      </w:r>
    </w:p>
    <w:p>
      <w:pPr>
        <w:pStyle w:val="ListBullet"/>
        <w:spacing w:after="60" w:line="276" w:lineRule="auto"/>
      </w:pPr>
      <w:r>
        <w:t>Period 3: 09:40 AM – 10:30 AM</w:t>
      </w:r>
    </w:p>
    <w:p>
      <w:pPr>
        <w:pStyle w:val="ListBullet"/>
        <w:spacing w:after="60" w:line="276" w:lineRule="auto"/>
      </w:pPr>
      <w:r>
        <w:t>Morning Break: 10:30 AM – 11:05 AM (Morning Snack / Prep)</w:t>
      </w:r>
    </w:p>
    <w:p>
      <w:pPr>
        <w:pStyle w:val="ListBullet"/>
        <w:spacing w:after="60" w:line="276" w:lineRule="auto"/>
      </w:pPr>
      <w:r>
        <w:t>Period 4: 11:05 AM – 11:55 AM</w:t>
      </w:r>
    </w:p>
    <w:p>
      <w:pPr>
        <w:pStyle w:val="ListBullet"/>
        <w:spacing w:after="60" w:line="276" w:lineRule="auto"/>
      </w:pPr>
      <w:r>
        <w:t>Period 5: 11:55 AM – 12:45 PM</w:t>
      </w:r>
    </w:p>
    <w:p>
      <w:pPr>
        <w:pStyle w:val="ListBullet"/>
        <w:spacing w:after="60" w:line="276" w:lineRule="auto"/>
      </w:pPr>
      <w:r>
        <w:t>Noon Break: 12:45 PM – 01:45 PM (Zohr Prayer &amp; Lunch)</w:t>
      </w:r>
    </w:p>
    <w:p>
      <w:pPr>
        <w:pStyle w:val="ListBullet"/>
        <w:spacing w:after="60" w:line="276" w:lineRule="auto"/>
      </w:pPr>
      <w:r>
        <w:t>Period 6: 01:45 PM – 02:35 PM</w:t>
      </w:r>
    </w:p>
    <w:p>
      <w:pPr>
        <w:pStyle w:val="ListBullet"/>
        <w:spacing w:after="60" w:line="276" w:lineRule="auto"/>
      </w:pPr>
      <w:r>
        <w:t>Period 7: 02:35 PM – 03:25 PM</w:t>
      </w:r>
    </w:p>
    <w:p>
      <w:pPr>
        <w:pStyle w:val="ListBullet"/>
        <w:spacing w:after="60" w:line="276" w:lineRule="auto"/>
      </w:pPr>
      <w:r>
        <w:t>Period 8: 03:25 PM – 04:15 PM</w:t>
      </w:r>
    </w:p>
    <w:p>
      <w:pPr>
        <w:pStyle w:val="ListBullet"/>
        <w:spacing w:after="60" w:line="276" w:lineRule="auto"/>
      </w:pPr>
      <w:r>
        <w:t>Physical Education: 04:15 PM – 05:00 PM (Saturday – Thursday; omitted Friday)</w:t>
      </w:r>
    </w:p>
    <w:p>
      <w:pPr>
        <w:pStyle w:val="Heading1"/>
        <w:spacing w:before="320" w:after="120"/>
      </w:pPr>
      <w:r>
        <w:rPr>
          <w:color w:val="0B4F39"/>
        </w:rPr>
        <w:t>7. Right-to-Left (RTL) Weekly Timetable Layout</w:t>
      </w:r>
    </w:p>
    <w:p>
      <w:pPr>
        <w:pStyle w:val="Heading2"/>
        <w:spacing w:before="240" w:after="80"/>
      </w:pPr>
      <w:r>
        <w:rPr>
          <w:color w:val="282828"/>
        </w:rPr>
        <w:t>7.1 Grid Layout &amp; Sequence</w:t>
      </w:r>
    </w:p>
    <w:p>
      <w:pPr>
        <w:spacing w:after="120" w:line="276" w:lineRule="auto"/>
      </w:pPr>
      <w:r>
        <w:t>To honor the traditional layout of Jamea schedules and Arabic reading direction, the Timetable view and Today timetable grid render in Right-to-Left (RTL) sequence. Column 0 represents the first period of the block on the right, flowing leftward.</w:t>
      </w:r>
    </w:p>
    <w:p>
      <w:pPr>
        <w:pStyle w:val="Heading2"/>
        <w:spacing w:before="240" w:after="80"/>
      </w:pPr>
      <w:r>
        <w:rPr>
          <w:color w:val="282828"/>
        </w:rPr>
        <w:t>7.2 3-Row Daily Layout Structure</w:t>
      </w:r>
    </w:p>
    <w:p>
      <w:pPr>
        <w:pStyle w:val="ListBullet"/>
        <w:spacing w:after="60" w:line="276" w:lineRule="auto"/>
      </w:pPr>
      <w:r>
        <w:t>Row 1: Periods 1, 2, and 3, terminating in the Morning Break banner.</w:t>
      </w:r>
    </w:p>
    <w:p>
      <w:pPr>
        <w:pStyle w:val="ListBullet"/>
        <w:spacing w:after="60" w:line="276" w:lineRule="auto"/>
      </w:pPr>
      <w:r>
        <w:t>Row 2: Periods 4 and 5, terminating in the comprehensive Zohr Prayer &amp; Lunch Break banner.</w:t>
      </w:r>
    </w:p>
    <w:p>
      <w:pPr>
        <w:pStyle w:val="ListBullet"/>
        <w:spacing w:after="60" w:line="276" w:lineRule="auto"/>
      </w:pPr>
      <w:r>
        <w:t>Row 3: Periods 6, 7, and 8, followed by the compact Physical Education sports slot.</w:t>
      </w:r>
    </w:p>
    <w:p>
      <w:pPr>
        <w:pStyle w:val="Heading2"/>
        <w:spacing w:before="240" w:after="80"/>
      </w:pPr>
      <w:r>
        <w:rPr>
          <w:color w:val="282828"/>
        </w:rPr>
        <w:t>7.3 Physical Education Slot &amp; Friday Exception</w:t>
      </w:r>
    </w:p>
    <w:p>
      <w:pPr>
        <w:spacing w:after="120" w:line="276" w:lineRule="auto"/>
      </w:pPr>
      <w:r>
        <w:t>Physical Education is an integral part of the Jamea daily schedule. Jadwal represents it with a dedicated compact card control (PhysicalEducationCardControl) rendered in Row 3 after Period 8. It features sports iconography, activity title, and timing. For Friday (al-Jumua), the application automatically detects day 5 of the cycle and omits the PE slot in accordance with official Aljamea schedule rules.</w:t>
      </w:r>
    </w:p>
    <w:p>
      <w:pPr>
        <w:pStyle w:val="Heading1"/>
        <w:spacing w:before="320" w:after="120"/>
      </w:pPr>
      <w:r>
        <w:rPr>
          <w:color w:val="0B4F39"/>
        </w:rPr>
        <w:t>8. Interactive 3D Class Card Flip &amp; Subject Task Integration</w:t>
      </w:r>
    </w:p>
    <w:p>
      <w:pPr>
        <w:pStyle w:val="Heading2"/>
        <w:spacing w:before="240" w:after="80"/>
      </w:pPr>
      <w:r>
        <w:rPr>
          <w:color w:val="282828"/>
        </w:rPr>
        <w:t>8.1 3D Flip Interaction</w:t>
      </w:r>
    </w:p>
    <w:p>
      <w:pPr>
        <w:spacing w:after="120" w:line="276" w:lineRule="auto"/>
      </w:pPr>
      <w:r>
        <w:t>Each class card in the Today view features a 3D flip button in its upper-right corner. Tapping or clicking triggers a smooth Y-axis rotation (0° to 180°), flipping the card to reveal its reverse side:</w:t>
      </w:r>
    </w:p>
    <w:p>
      <w:pPr>
        <w:pStyle w:val="ListBullet"/>
        <w:spacing w:after="60" w:line="276" w:lineRule="auto"/>
      </w:pPr>
      <w:r>
        <w:t>Front Face: Subject name in bold typography, teacher name, classroom number, timing, status pill, and task count badge.</w:t>
      </w:r>
    </w:p>
    <w:p>
      <w:pPr>
        <w:pStyle w:val="ListBullet"/>
        <w:spacing w:after="60" w:line="276" w:lineRule="auto"/>
      </w:pPr>
      <w:r>
        <w:t>Back Face: Task list directly attached to this class occurrence, inline task creation input field, priority picker, and return flip button.</w:t>
      </w:r>
    </w:p>
    <w:p>
      <w:pPr>
        <w:pStyle w:val="Heading2"/>
        <w:spacing w:before="240" w:after="80"/>
      </w:pPr>
      <w:r>
        <w:rPr>
          <w:color w:val="282828"/>
        </w:rPr>
        <w:t>8.2 Subject-Level Task Filter</w:t>
      </w:r>
    </w:p>
    <w:p>
      <w:pPr>
        <w:spacing w:after="120" w:line="276" w:lineRule="auto"/>
      </w:pPr>
      <w:r>
        <w:t>In the global Tasks view, students can filter their assignments, homework, and revision by specific academic subjects (e.g. Fiqh, Nahw, Adab, Tareekh, Hifz) or view all active tasks grouped by due date and priority.</w:t>
      </w:r>
    </w:p>
    <w:p>
      <w:pPr>
        <w:pStyle w:val="Heading1"/>
        <w:spacing w:before="320" w:after="120"/>
      </w:pPr>
      <w:r>
        <w:rPr>
          <w:color w:val="0B4F39"/>
        </w:rPr>
        <w:t>9. Task Management, Edit Modal &amp; Change Protection</w:t>
      </w:r>
    </w:p>
    <w:p>
      <w:pPr>
        <w:pStyle w:val="Heading2"/>
        <w:spacing w:before="240" w:after="80"/>
      </w:pPr>
      <w:r>
        <w:rPr>
          <w:color w:val="282828"/>
        </w:rPr>
        <w:t>9.1 Full Task CRUD &amp; Edit Dialog</w:t>
      </w:r>
    </w:p>
    <w:p>
      <w:pPr>
        <w:spacing w:after="120" w:line="276" w:lineRule="auto"/>
      </w:pPr>
      <w:r>
        <w:t>Jadwal provides a complete task management engine with an interactive modal editing dialog (EditTaskDialog). Students can modify:</w:t>
      </w:r>
    </w:p>
    <w:p>
      <w:pPr>
        <w:pStyle w:val="ListBullet"/>
        <w:spacing w:after="60" w:line="276" w:lineRule="auto"/>
      </w:pPr>
      <w:r>
        <w:t>Title &amp; Detailed Notes: Rich multi-line task descriptions and homework instructions.</w:t>
      </w:r>
    </w:p>
    <w:p>
      <w:pPr>
        <w:pStyle w:val="ListBullet"/>
        <w:spacing w:after="60" w:line="276" w:lineRule="auto"/>
      </w:pPr>
      <w:r>
        <w:t>Priority Levels: Urgent (Red), High (Orange), Medium (Emerald), Low (Subdued).</w:t>
      </w:r>
    </w:p>
    <w:p>
      <w:pPr>
        <w:pStyle w:val="ListBullet"/>
        <w:spacing w:after="60" w:line="276" w:lineRule="auto"/>
      </w:pPr>
      <w:r>
        <w:t>Due Dates: Date picker with quick shortcuts (Today, Tomorrow, End of Week).</w:t>
      </w:r>
    </w:p>
    <w:p>
      <w:pPr>
        <w:pStyle w:val="ListBullet"/>
        <w:spacing w:after="60" w:line="276" w:lineRule="auto"/>
      </w:pPr>
      <w:r>
        <w:t>Subject &amp; Period Association: Link tasks to specific timetable slots or keep as independent student goals.</w:t>
      </w:r>
    </w:p>
    <w:p>
      <w:pPr>
        <w:pStyle w:val="Heading2"/>
        <w:spacing w:before="240" w:after="80"/>
      </w:pPr>
      <w:r>
        <w:rPr>
          <w:color w:val="282828"/>
        </w:rPr>
        <w:t>9.2 Zero Silent Data Loss &amp; Diff Engine</w:t>
      </w:r>
    </w:p>
    <w:p>
      <w:pPr>
        <w:spacing w:after="120" w:line="276" w:lineRule="auto"/>
      </w:pPr>
      <w:r>
        <w:t>When the weekly timetable is re-synced, the TimetableDiffEngine compares incoming periods against existing records using immutable Slot Keys (e.g. Day_Slot_1):</w:t>
      </w:r>
    </w:p>
    <w:p>
      <w:pPr>
        <w:pStyle w:val="ListBullet"/>
        <w:spacing w:after="60" w:line="276" w:lineRule="auto"/>
      </w:pPr>
      <w:r>
        <w:t>If the subject changed (e.g., Fiqh substituted by Adab): Existing tasks remain safely attached to the student's record with a conflict badge.</w:t>
      </w:r>
    </w:p>
    <w:p>
      <w:pPr>
        <w:pStyle w:val="ListBullet"/>
        <w:spacing w:after="60" w:line="276" w:lineRule="auto"/>
      </w:pPr>
      <w:r>
        <w:t>Resolution Modal: Prompts the student with 1-click options: (1) Adopt New Subject, (2) Keep Original Subject Context, or (3) Dismiss.</w:t>
      </w:r>
    </w:p>
    <w:p>
      <w:pPr>
        <w:pStyle w:val="Heading1"/>
        <w:spacing w:before="320" w:after="120"/>
      </w:pPr>
      <w:r>
        <w:rPr>
          <w:color w:val="0B4F39"/>
        </w:rPr>
        <w:t>10. Fatimid Islamic Heritage Visual Design System</w:t>
      </w:r>
    </w:p>
    <w:p>
      <w:pPr>
        <w:pStyle w:val="Heading2"/>
        <w:spacing w:before="240" w:after="80"/>
      </w:pPr>
      <w:r>
        <w:rPr>
          <w:color w:val="282828"/>
        </w:rPr>
        <w:t>10.1 Curated Color Palette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4F39"/>
          </w:tcPr>
          <w:p>
            <w:pPr>
              <w:jc w:val="center"/>
            </w:pPr>
            <w:r>
              <w:rPr>
                <w:b/>
                <w:color w:val="FFFFFF"/>
                <w:sz w:val="19"/>
              </w:rPr>
              <w:t>Color Token</w:t>
            </w:r>
          </w:p>
        </w:tc>
        <w:tc>
          <w:tcPr>
            <w:tcW w:type="dxa" w:w="3120"/>
            <w:shd w:fill="0B4F39"/>
          </w:tcPr>
          <w:p>
            <w:pPr>
              <w:jc w:val="center"/>
            </w:pPr>
            <w:r>
              <w:rPr>
                <w:b/>
                <w:color w:val="FFFFFF"/>
                <w:sz w:val="19"/>
              </w:rPr>
              <w:t>Hex Code</w:t>
            </w:r>
          </w:p>
        </w:tc>
        <w:tc>
          <w:tcPr>
            <w:tcW w:type="dxa" w:w="3120"/>
            <w:shd w:fill="0B4F39"/>
          </w:tcPr>
          <w:p>
            <w:pPr>
              <w:jc w:val="center"/>
            </w:pPr>
            <w:r>
              <w:rPr>
                <w:b/>
                <w:color w:val="FFFFFF"/>
                <w:sz w:val="19"/>
              </w:rPr>
              <w:t>Application</w:t>
            </w:r>
          </w:p>
        </w:tc>
      </w:tr>
      <w:tr>
        <w:tc>
          <w:tcPr>
            <w:tcW w:type="dxa" w:w="3120"/>
            <w:shd w:fill="F9FBF9"/>
          </w:tcPr>
          <w:p>
            <w:pPr>
              <w:spacing w:after="40" w:before="40"/>
            </w:pPr>
            <w:r>
              <w:rPr>
                <w:sz w:val="18"/>
              </w:rPr>
              <w:t>Emerald Primary</w:t>
            </w:r>
          </w:p>
        </w:tc>
        <w:tc>
          <w:tcPr>
            <w:tcW w:type="dxa" w:w="3120"/>
            <w:shd w:fill="F9FBF9"/>
          </w:tcPr>
          <w:p>
            <w:pPr>
              <w:spacing w:after="40" w:before="40"/>
            </w:pPr>
            <w:r>
              <w:rPr>
                <w:sz w:val="18"/>
              </w:rPr>
              <w:t>#0B4F39</w:t>
            </w:r>
          </w:p>
        </w:tc>
        <w:tc>
          <w:tcPr>
            <w:tcW w:type="dxa" w:w="3120"/>
            <w:shd w:fill="F9FBF9"/>
          </w:tcPr>
          <w:p>
            <w:pPr>
              <w:spacing w:after="40" w:before="40"/>
            </w:pPr>
            <w:r>
              <w:rPr>
                <w:sz w:val="18"/>
              </w:rPr>
              <w:t>Primary brand color, headers, active navigation pills, primary action buttons.</w:t>
            </w:r>
          </w:p>
        </w:tc>
      </w:tr>
      <w:tr>
        <w:tc>
          <w:tcPr>
            <w:tcW w:type="dxa" w:w="3120"/>
            <w:shd w:fill="FFFFFF"/>
          </w:tcPr>
          <w:p>
            <w:pPr>
              <w:spacing w:after="40" w:before="40"/>
            </w:pPr>
            <w:r>
              <w:rPr>
                <w:sz w:val="18"/>
              </w:rPr>
              <w:t>Emerald Dark</w:t>
            </w:r>
          </w:p>
        </w:tc>
        <w:tc>
          <w:tcPr>
            <w:tcW w:type="dxa" w:w="3120"/>
            <w:shd w:fill="FFFFFF"/>
          </w:tcPr>
          <w:p>
            <w:pPr>
              <w:spacing w:after="40" w:before="40"/>
            </w:pPr>
            <w:r>
              <w:rPr>
                <w:sz w:val="18"/>
              </w:rPr>
              <w:t>#083B2B</w:t>
            </w:r>
          </w:p>
        </w:tc>
        <w:tc>
          <w:tcPr>
            <w:tcW w:type="dxa" w:w="3120"/>
            <w:shd w:fill="FFFFFF"/>
          </w:tcPr>
          <w:p>
            <w:pPr>
              <w:spacing w:after="40" w:before="40"/>
            </w:pPr>
            <w:r>
              <w:rPr>
                <w:sz w:val="18"/>
              </w:rPr>
              <w:t>Header gradients, dark mode surfaces, high-contrast borders.</w:t>
            </w:r>
          </w:p>
        </w:tc>
      </w:tr>
      <w:tr>
        <w:tc>
          <w:tcPr>
            <w:tcW w:type="dxa" w:w="3120"/>
            <w:shd w:fill="F9FBF9"/>
          </w:tcPr>
          <w:p>
            <w:pPr>
              <w:spacing w:after="40" w:before="40"/>
            </w:pPr>
            <w:r>
              <w:rPr>
                <w:sz w:val="18"/>
              </w:rPr>
              <w:t>Warm Cream Background</w:t>
            </w:r>
          </w:p>
        </w:tc>
        <w:tc>
          <w:tcPr>
            <w:tcW w:type="dxa" w:w="3120"/>
            <w:shd w:fill="F9FBF9"/>
          </w:tcPr>
          <w:p>
            <w:pPr>
              <w:spacing w:after="40" w:before="40"/>
            </w:pPr>
            <w:r>
              <w:rPr>
                <w:sz w:val="18"/>
              </w:rPr>
              <w:t>#FAF8F5</w:t>
            </w:r>
          </w:p>
        </w:tc>
        <w:tc>
          <w:tcPr>
            <w:tcW w:type="dxa" w:w="3120"/>
            <w:shd w:fill="F9FBF9"/>
          </w:tcPr>
          <w:p>
            <w:pPr>
              <w:spacing w:after="40" w:before="40"/>
            </w:pPr>
            <w:r>
              <w:rPr>
                <w:sz w:val="18"/>
              </w:rPr>
              <w:t>Light mode page background, soothing on eyes during long study sessions.</w:t>
            </w:r>
          </w:p>
        </w:tc>
      </w:tr>
      <w:tr>
        <w:tc>
          <w:tcPr>
            <w:tcW w:type="dxa" w:w="3120"/>
            <w:shd w:fill="FFFFFF"/>
          </w:tcPr>
          <w:p>
            <w:pPr>
              <w:spacing w:after="40" w:before="40"/>
            </w:pPr>
            <w:r>
              <w:rPr>
                <w:sz w:val="18"/>
              </w:rPr>
              <w:t>Card Surface</w:t>
            </w:r>
          </w:p>
        </w:tc>
        <w:tc>
          <w:tcPr>
            <w:tcW w:type="dxa" w:w="3120"/>
            <w:shd w:fill="FFFFFF"/>
          </w:tcPr>
          <w:p>
            <w:pPr>
              <w:spacing w:after="40" w:before="40"/>
            </w:pPr>
            <w:r>
              <w:rPr>
                <w:sz w:val="18"/>
              </w:rPr>
              <w:t>#FFFFFF</w:t>
            </w:r>
          </w:p>
        </w:tc>
        <w:tc>
          <w:tcPr>
            <w:tcW w:type="dxa" w:w="3120"/>
            <w:shd w:fill="FFFFFF"/>
          </w:tcPr>
          <w:p>
            <w:pPr>
              <w:spacing w:after="40" w:before="40"/>
            </w:pPr>
            <w:r>
              <w:rPr>
                <w:sz w:val="18"/>
              </w:rPr>
              <w:t>Clean card background in light mode with subtle 1px border (#E6DFD5).</w:t>
            </w:r>
          </w:p>
        </w:tc>
      </w:tr>
      <w:tr>
        <w:tc>
          <w:tcPr>
            <w:tcW w:type="dxa" w:w="3120"/>
            <w:shd w:fill="F9FBF9"/>
          </w:tcPr>
          <w:p>
            <w:pPr>
              <w:spacing w:after="40" w:before="40"/>
            </w:pPr>
            <w:r>
              <w:rPr>
                <w:sz w:val="18"/>
              </w:rPr>
              <w:t>Fatimid Gold Accent</w:t>
            </w:r>
          </w:p>
        </w:tc>
        <w:tc>
          <w:tcPr>
            <w:tcW w:type="dxa" w:w="3120"/>
            <w:shd w:fill="F9FBF9"/>
          </w:tcPr>
          <w:p>
            <w:pPr>
              <w:spacing w:after="40" w:before="40"/>
            </w:pPr>
            <w:r>
              <w:rPr>
                <w:sz w:val="18"/>
              </w:rPr>
              <w:t>#C5A059</w:t>
            </w:r>
          </w:p>
        </w:tc>
        <w:tc>
          <w:tcPr>
            <w:tcW w:type="dxa" w:w="3120"/>
            <w:shd w:fill="F9FBF9"/>
          </w:tcPr>
          <w:p>
            <w:pPr>
              <w:spacing w:after="40" w:before="40"/>
            </w:pPr>
            <w:r>
              <w:rPr>
                <w:sz w:val="18"/>
              </w:rPr>
              <w:t>Badges, star icons, secondary highlights, borders on active cards.</w:t>
            </w:r>
          </w:p>
        </w:tc>
      </w:tr>
      <w:tr>
        <w:tc>
          <w:tcPr>
            <w:tcW w:type="dxa" w:w="3120"/>
            <w:shd w:fill="FFFFFF"/>
          </w:tcPr>
          <w:p>
            <w:pPr>
              <w:spacing w:after="40" w:before="40"/>
            </w:pPr>
            <w:r>
              <w:rPr>
                <w:sz w:val="18"/>
              </w:rPr>
              <w:t>Dark Mode Background</w:t>
            </w:r>
          </w:p>
        </w:tc>
        <w:tc>
          <w:tcPr>
            <w:tcW w:type="dxa" w:w="3120"/>
            <w:shd w:fill="FFFFFF"/>
          </w:tcPr>
          <w:p>
            <w:pPr>
              <w:spacing w:after="40" w:before="40"/>
            </w:pPr>
            <w:r>
              <w:rPr>
                <w:sz w:val="18"/>
              </w:rPr>
              <w:t>#121815</w:t>
            </w:r>
          </w:p>
        </w:tc>
        <w:tc>
          <w:tcPr>
            <w:tcW w:type="dxa" w:w="3120"/>
            <w:shd w:fill="FFFFFF"/>
          </w:tcPr>
          <w:p>
            <w:pPr>
              <w:spacing w:after="40" w:before="40"/>
            </w:pPr>
            <w:r>
              <w:rPr>
                <w:sz w:val="18"/>
              </w:rPr>
              <w:t>Deep slate emerald background in dark mode.</w:t>
            </w:r>
          </w:p>
        </w:tc>
      </w:tr>
      <w:tr>
        <w:tc>
          <w:tcPr>
            <w:tcW w:type="dxa" w:w="3120"/>
            <w:shd w:fill="F9FBF9"/>
          </w:tcPr>
          <w:p>
            <w:pPr>
              <w:spacing w:after="40" w:before="40"/>
            </w:pPr>
            <w:r>
              <w:rPr>
                <w:sz w:val="18"/>
              </w:rPr>
              <w:t>Dark Mode Surface</w:t>
            </w:r>
          </w:p>
        </w:tc>
        <w:tc>
          <w:tcPr>
            <w:tcW w:type="dxa" w:w="3120"/>
            <w:shd w:fill="F9FBF9"/>
          </w:tcPr>
          <w:p>
            <w:pPr>
              <w:spacing w:after="40" w:before="40"/>
            </w:pPr>
            <w:r>
              <w:rPr>
                <w:sz w:val="18"/>
              </w:rPr>
              <w:t>#1A2320</w:t>
            </w:r>
          </w:p>
        </w:tc>
        <w:tc>
          <w:tcPr>
            <w:tcW w:type="dxa" w:w="3120"/>
            <w:shd w:fill="F9FBF9"/>
          </w:tcPr>
          <w:p>
            <w:pPr>
              <w:spacing w:after="40" w:before="40"/>
            </w:pPr>
            <w:r>
              <w:rPr>
                <w:sz w:val="18"/>
              </w:rPr>
              <w:t>Elevated card surface with crisp 1px borders in dark mode.</w:t>
            </w:r>
          </w:p>
        </w:tc>
      </w:tr>
    </w:tbl>
    <w:p>
      <w:pPr>
        <w:spacing w:after="120"/>
      </w:pPr>
    </w:p>
    <w:p>
      <w:pPr>
        <w:pStyle w:val="Heading2"/>
        <w:spacing w:before="240" w:after="80"/>
      </w:pPr>
      <w:r>
        <w:rPr>
          <w:color w:val="282828"/>
        </w:rPr>
        <w:t>10.2 Typography &amp; Arabesque Motifs</w:t>
      </w:r>
    </w:p>
    <w:p>
      <w:pPr>
        <w:pStyle w:val="ListBullet"/>
        <w:spacing w:after="60" w:line="276" w:lineRule="auto"/>
      </w:pPr>
      <w:r>
        <w:t>Arabic Calligraphy: Integrated Kanzallulu typography bundled as an application resource for all Arabic headers, day titles, and Quranic/Du'a phrases.</w:t>
      </w:r>
    </w:p>
    <w:p>
      <w:pPr>
        <w:pStyle w:val="ListBullet"/>
        <w:spacing w:after="60" w:line="276" w:lineRule="auto"/>
      </w:pPr>
      <w:r>
        <w:t>Latin Interface: Modern clean system typography (Segoe UI on Windows, SF Pro / Inter on macOS).</w:t>
      </w:r>
    </w:p>
    <w:p>
      <w:pPr>
        <w:pStyle w:val="ListBullet"/>
        <w:spacing w:after="60" w:line="276" w:lineRule="auto"/>
      </w:pPr>
      <w:r>
        <w:t>Geometric Motifs: Restrained Fatimid 8-pointed star watermarks and arch accents rendered at low opacity to maintain high text legibility.</w:t>
      </w:r>
    </w:p>
    <w:p>
      <w:pPr>
        <w:pStyle w:val="ListBullet"/>
        <w:spacing w:after="60" w:line="276" w:lineRule="auto"/>
      </w:pPr>
      <w:r>
        <w:t>Theme Switching: Full dynamic theme variant support (ThemeVariant.Light / ThemeVariant.Dark) configured in Settings and stored in user preferences.</w:t>
      </w:r>
    </w:p>
    <w:p>
      <w:pPr>
        <w:pStyle w:val="Heading1"/>
        <w:spacing w:before="320" w:after="120"/>
      </w:pPr>
      <w:r>
        <w:rPr>
          <w:color w:val="0B4F39"/>
        </w:rPr>
        <w:t>11. Automated Jamia Portal Synchronization Engine</w:t>
      </w:r>
    </w:p>
    <w:p>
      <w:pPr>
        <w:pStyle w:val="Heading2"/>
        <w:spacing w:before="240" w:after="80"/>
      </w:pPr>
      <w:r>
        <w:rPr>
          <w:color w:val="282828"/>
        </w:rPr>
        <w:t>11.1 Single Sign-On &amp; Token Persistence</w:t>
      </w:r>
    </w:p>
    <w:p>
      <w:pPr>
        <w:spacing w:after="120" w:line="276" w:lineRule="auto"/>
      </w:pPr>
      <w:r>
        <w:t>Timetable synchronization is orchestrated via the Playwright Python automation bridge (helper/jamea_helper.py). Authentication utilizes the official ITS / Aljamea single sign-on portal:</w:t>
      </w:r>
    </w:p>
    <w:p>
      <w:pPr>
        <w:pStyle w:val="ListBullet"/>
        <w:spacing w:after="60" w:line="276" w:lineRule="auto"/>
      </w:pPr>
      <w:r>
        <w:t>Session Persistence: Successfully issued JWT bearer tokens are stored locally in data/jamea_token.json and user application data directories.</w:t>
      </w:r>
    </w:p>
    <w:p>
      <w:pPr>
        <w:pStyle w:val="ListBullet"/>
        <w:spacing w:after="60" w:line="276" w:lineRule="auto"/>
      </w:pPr>
      <w:r>
        <w:t>Token Expiry Check: On sync, the bridge verifies token validity. If the token is still active, it bypasses the browser and directly retrieves the timetable in headless mode.</w:t>
      </w:r>
    </w:p>
    <w:p>
      <w:pPr>
        <w:pStyle w:val="ListBullet"/>
        <w:spacing w:after="60" w:line="276" w:lineRule="auto"/>
      </w:pPr>
      <w:r>
        <w:t>Interactive Re-Auth: If the token is expired (401), the app displays a Chromium browser window for ITS credentials, captures the new token, and updates local cache.</w:t>
      </w:r>
    </w:p>
    <w:p>
      <w:pPr>
        <w:pStyle w:val="ListBullet"/>
        <w:spacing w:after="60" w:line="276" w:lineRule="auto"/>
      </w:pPr>
      <w:r>
        <w:t>Excel Spreadsheet Parser: Downloads and parses the official multi-tab timetable spreadsheet using OpenPyXL, normalizing room names, subjects, and periods into the JSON domain model.</w:t>
      </w:r>
    </w:p>
    <w:p>
      <w:pPr>
        <w:pStyle w:val="Heading1"/>
        <w:spacing w:before="320" w:after="120"/>
      </w:pPr>
      <w:r>
        <w:rPr>
          <w:color w:val="0B4F39"/>
        </w:rPr>
        <w:t>12. Settings, Startup &amp; Developer Attribution</w:t>
      </w:r>
    </w:p>
    <w:p>
      <w:pPr>
        <w:pStyle w:val="Heading2"/>
        <w:spacing w:before="240" w:after="80"/>
      </w:pPr>
      <w:r>
        <w:rPr>
          <w:color w:val="282828"/>
        </w:rPr>
        <w:t>12.1 Settings View Capabilities</w:t>
      </w:r>
    </w:p>
    <w:p>
      <w:pPr>
        <w:pStyle w:val="ListBullet"/>
        <w:spacing w:after="60" w:line="276" w:lineRule="auto"/>
      </w:pPr>
      <w:r>
        <w:t>Theme Mode: Radio options for Light Mode and Dark Mode with immediate visual application.</w:t>
      </w:r>
    </w:p>
    <w:p>
      <w:pPr>
        <w:pStyle w:val="ListBullet"/>
        <w:spacing w:after="60" w:line="276" w:lineRule="auto"/>
      </w:pPr>
      <w:r>
        <w:t>Sync Credentials: ITS username and password fields with local credential storage.</w:t>
      </w:r>
    </w:p>
    <w:p>
      <w:pPr>
        <w:pStyle w:val="ListBullet"/>
        <w:spacing w:after="60" w:line="276" w:lineRule="auto"/>
      </w:pPr>
      <w:r>
        <w:t>Startup Autostart: Launch at system startup toggle (macOS LaunchAgent and Windows Registry).</w:t>
      </w:r>
    </w:p>
    <w:p>
      <w:pPr>
        <w:pStyle w:val="ListBullet"/>
        <w:spacing w:after="60" w:line="276" w:lineRule="auto"/>
      </w:pPr>
      <w:r>
        <w:t>Developer Credits: Prominently displays developer attribution: Mustafa Rajkotwala, Version 2.0.0, Aljamea-tus-Saifiyah.</w:t>
      </w:r>
    </w:p>
    <w:p>
      <w:pPr>
        <w:pStyle w:val="Heading1"/>
        <w:spacing w:before="320" w:after="120"/>
      </w:pPr>
      <w:r>
        <w:rPr>
          <w:color w:val="0B4F39"/>
        </w:rPr>
        <w:t>13. Native Packaging &amp; Deployment Architecture</w:t>
      </w:r>
    </w:p>
    <w:p>
      <w:pPr>
        <w:pStyle w:val="Heading2"/>
        <w:spacing w:before="240" w:after="80"/>
      </w:pPr>
      <w:r>
        <w:rPr>
          <w:color w:val="282828"/>
        </w:rPr>
        <w:t>13.1 macOS Native Bundle &amp; Launcher</w:t>
      </w:r>
    </w:p>
    <w:p>
      <w:pPr>
        <w:spacing w:after="120" w:line="276" w:lineRule="auto"/>
      </w:pPr>
      <w:r>
        <w:t>To avoid macOS gatekeeper translocation issues and .App extension execution constraints, Jadwal features a custom native Mach-O launcher (src/Jadwal.App/launcher_macos.c) compiled via Clang:</w:t>
      </w:r>
    </w:p>
    <w:p>
      <w:pPr>
        <w:pStyle w:val="ListBullet"/>
        <w:spacing w:after="60" w:line="276" w:lineRule="auto"/>
      </w:pPr>
      <w:r>
        <w:t>Locates libhostfxr.dylib dynamically relative to the executable path.</w:t>
      </w:r>
    </w:p>
    <w:p>
      <w:pPr>
        <w:pStyle w:val="ListBullet"/>
        <w:spacing w:after="60" w:line="276" w:lineRule="auto"/>
      </w:pPr>
      <w:r>
        <w:t>Invokes hostfxr_main to execute Jadwal.App.dll cleanly inside the Jadwal.app/Contents/MacOS/ bundle.</w:t>
      </w:r>
    </w:p>
    <w:p>
      <w:pPr>
        <w:pStyle w:val="ListBullet"/>
        <w:spacing w:after="60" w:line="276" w:lineRule="auto"/>
      </w:pPr>
      <w:r>
        <w:t>Code-signed with Apple Developer certificate and verified with ad-hoc signing fallback.</w:t>
      </w:r>
    </w:p>
    <w:p>
      <w:pPr>
        <w:pStyle w:val="ListBullet"/>
        <w:spacing w:after="60" w:line="276" w:lineRule="auto"/>
      </w:pPr>
      <w:r>
        <w:t>Packaged as Jadwal-v2.0.0-macos-x64.zip for zero-install extraction.</w:t>
      </w:r>
    </w:p>
    <w:p>
      <w:pPr>
        <w:pStyle w:val="Heading2"/>
        <w:spacing w:before="240" w:after="80"/>
      </w:pPr>
      <w:r>
        <w:rPr>
          <w:color w:val="282828"/>
        </w:rPr>
        <w:t>13.2 Windows Deployment</w:t>
      </w:r>
    </w:p>
    <w:p>
      <w:pPr>
        <w:spacing w:after="120" w:line="276" w:lineRule="auto"/>
      </w:pPr>
      <w:r>
        <w:t>Self-contained Windows deployment using dotnet publish -r win-x64 --self-contained true produces a standalone directory with all .NET runtime dependencies, SkiaSharp native DLLs, and Jadwal.App.exe, packaged as Jadwal-v2.0.0-windows-x64.zip.</w:t>
      </w:r>
    </w:p>
    <w:p>
      <w:pPr>
        <w:pStyle w:val="Heading1"/>
        <w:spacing w:before="320" w:after="120"/>
      </w:pPr>
      <w:r>
        <w:rPr>
          <w:color w:val="0B4F39"/>
        </w:rPr>
        <w:t>14. Testing &amp; Quality Strategy</w:t>
      </w:r>
    </w:p>
    <w:p>
      <w:pPr>
        <w:spacing w:after="120" w:line="276" w:lineRule="auto"/>
      </w:pPr>
      <w:r>
        <w:t>Jadwal includes 5 dedicated automated test projects verifying 100% of core domain rules, application services, and UI viewmodels: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4F39"/>
          </w:tcPr>
          <w:p>
            <w:pPr>
              <w:jc w:val="center"/>
            </w:pPr>
            <w:r>
              <w:rPr>
                <w:b/>
                <w:color w:val="FFFFFF"/>
                <w:sz w:val="19"/>
              </w:rPr>
              <w:t>Test Project</w:t>
            </w:r>
          </w:p>
        </w:tc>
        <w:tc>
          <w:tcPr>
            <w:tcW w:type="dxa" w:w="3120"/>
            <w:shd w:fill="0B4F39"/>
          </w:tcPr>
          <w:p>
            <w:pPr>
              <w:jc w:val="center"/>
            </w:pPr>
            <w:r>
              <w:rPr>
                <w:b/>
                <w:color w:val="FFFFFF"/>
                <w:sz w:val="19"/>
              </w:rPr>
              <w:t>Tests Count</w:t>
            </w:r>
          </w:p>
        </w:tc>
        <w:tc>
          <w:tcPr>
            <w:tcW w:type="dxa" w:w="3120"/>
            <w:shd w:fill="0B4F39"/>
          </w:tcPr>
          <w:p>
            <w:pPr>
              <w:jc w:val="center"/>
            </w:pPr>
            <w:r>
              <w:rPr>
                <w:b/>
                <w:color w:val="FFFFFF"/>
                <w:sz w:val="19"/>
              </w:rPr>
              <w:t>Scope &amp; Coverage</w:t>
            </w:r>
          </w:p>
        </w:tc>
      </w:tr>
      <w:tr>
        <w:tc>
          <w:tcPr>
            <w:tcW w:type="dxa" w:w="3120"/>
            <w:shd w:fill="F9FBF9"/>
          </w:tcPr>
          <w:p>
            <w:pPr>
              <w:spacing w:after="40" w:before="40"/>
            </w:pPr>
            <w:r>
              <w:rPr>
                <w:sz w:val="18"/>
              </w:rPr>
              <w:t>Jadwal.Domain.Tests</w:t>
            </w:r>
          </w:p>
        </w:tc>
        <w:tc>
          <w:tcPr>
            <w:tcW w:type="dxa" w:w="3120"/>
            <w:shd w:fill="F9FBF9"/>
          </w:tcPr>
          <w:p>
            <w:pPr>
              <w:spacing w:after="40" w:before="40"/>
            </w:pPr>
            <w:r>
              <w:rPr>
                <w:sz w:val="18"/>
              </w:rPr>
              <w:t>31 Passed</w:t>
            </w:r>
          </w:p>
        </w:tc>
        <w:tc>
          <w:tcPr>
            <w:tcW w:type="dxa" w:w="3120"/>
            <w:shd w:fill="F9FBF9"/>
          </w:tcPr>
          <w:p>
            <w:pPr>
              <w:spacing w:after="40" w:before="40"/>
            </w:pPr>
            <w:r>
              <w:rPr>
                <w:sz w:val="18"/>
              </w:rPr>
              <w:t>FatimidHijriDate tabular algorithm, leap year cycle, Julian Day conversion, PeriodOccurrence lifecycle, ScheduleTimeline.</w:t>
            </w:r>
          </w:p>
        </w:tc>
      </w:tr>
      <w:tr>
        <w:tc>
          <w:tcPr>
            <w:tcW w:type="dxa" w:w="3120"/>
            <w:shd w:fill="FFFFFF"/>
          </w:tcPr>
          <w:p>
            <w:pPr>
              <w:spacing w:after="40" w:before="40"/>
            </w:pPr>
            <w:r>
              <w:rPr>
                <w:sz w:val="18"/>
              </w:rPr>
              <w:t>Jadwal.Application.Tests</w:t>
            </w:r>
          </w:p>
        </w:tc>
        <w:tc>
          <w:tcPr>
            <w:tcW w:type="dxa" w:w="3120"/>
            <w:shd w:fill="FFFFFF"/>
          </w:tcPr>
          <w:p>
            <w:pPr>
              <w:spacing w:after="40" w:before="40"/>
            </w:pPr>
            <w:r>
              <w:rPr>
                <w:sz w:val="18"/>
              </w:rPr>
              <w:t>7 Passed</w:t>
            </w:r>
          </w:p>
        </w:tc>
        <w:tc>
          <w:tcPr>
            <w:tcW w:type="dxa" w:w="3120"/>
            <w:shd w:fill="FFFFFF"/>
          </w:tcPr>
          <w:p>
            <w:pPr>
              <w:spacing w:after="40" w:before="40"/>
            </w:pPr>
            <w:r>
              <w:rPr>
                <w:sz w:val="18"/>
              </w:rPr>
              <w:t>CalendarService, Miqaat retrieval, monthly cell generation, task association.</w:t>
            </w:r>
          </w:p>
        </w:tc>
      </w:tr>
      <w:tr>
        <w:tc>
          <w:tcPr>
            <w:tcW w:type="dxa" w:w="3120"/>
            <w:shd w:fill="F9FBF9"/>
          </w:tcPr>
          <w:p>
            <w:pPr>
              <w:spacing w:after="40" w:before="40"/>
            </w:pPr>
            <w:r>
              <w:rPr>
                <w:sz w:val="18"/>
              </w:rPr>
              <w:t>Jadwal.UI.Tests</w:t>
            </w:r>
          </w:p>
        </w:tc>
        <w:tc>
          <w:tcPr>
            <w:tcW w:type="dxa" w:w="3120"/>
            <w:shd w:fill="F9FBF9"/>
          </w:tcPr>
          <w:p>
            <w:pPr>
              <w:spacing w:after="40" w:before="40"/>
            </w:pPr>
            <w:r>
              <w:rPr>
                <w:sz w:val="18"/>
              </w:rPr>
              <w:t>24 Passed</w:t>
            </w:r>
          </w:p>
        </w:tc>
        <w:tc>
          <w:tcPr>
            <w:tcW w:type="dxa" w:w="3120"/>
            <w:shd w:fill="F9FBF9"/>
          </w:tcPr>
          <w:p>
            <w:pPr>
              <w:spacing w:after="40" w:before="40"/>
            </w:pPr>
            <w:r>
              <w:rPr>
                <w:sz w:val="18"/>
              </w:rPr>
              <w:t>TodayViewModel, TimetableViewModel, TasksViewModel, CalendarViewModel, RTL sequencing, 12h formatting.</w:t>
            </w:r>
          </w:p>
        </w:tc>
      </w:tr>
      <w:tr>
        <w:tc>
          <w:tcPr>
            <w:tcW w:type="dxa" w:w="3120"/>
            <w:shd w:fill="FFFFFF"/>
          </w:tcPr>
          <w:p>
            <w:pPr>
              <w:spacing w:after="40" w:before="40"/>
            </w:pPr>
            <w:r>
              <w:rPr>
                <w:sz w:val="18"/>
              </w:rPr>
              <w:t>Jadwal.Infrastructure.Tests</w:t>
            </w:r>
          </w:p>
        </w:tc>
        <w:tc>
          <w:tcPr>
            <w:tcW w:type="dxa" w:w="3120"/>
            <w:shd w:fill="FFFFFF"/>
          </w:tcPr>
          <w:p>
            <w:pPr>
              <w:spacing w:after="40" w:before="40"/>
            </w:pPr>
            <w:r>
              <w:rPr>
                <w:sz w:val="18"/>
              </w:rPr>
              <w:t>8 Passed</w:t>
            </w:r>
          </w:p>
        </w:tc>
        <w:tc>
          <w:tcPr>
            <w:tcW w:type="dxa" w:w="3120"/>
            <w:shd w:fill="FFFFFF"/>
          </w:tcPr>
          <w:p>
            <w:pPr>
              <w:spacing w:after="40" w:before="40"/>
            </w:pPr>
            <w:r>
              <w:rPr>
                <w:sz w:val="18"/>
              </w:rPr>
              <w:t>JsonMiqaatRepository, embedded miqaats.json parsing, atomic file writes, legacy data migration.</w:t>
            </w:r>
          </w:p>
        </w:tc>
      </w:tr>
      <w:tr>
        <w:tc>
          <w:tcPr>
            <w:tcW w:type="dxa" w:w="3120"/>
            <w:shd w:fill="F9FBF9"/>
          </w:tcPr>
          <w:p>
            <w:pPr>
              <w:spacing w:after="40" w:before="40"/>
            </w:pPr>
            <w:r>
              <w:rPr>
                <w:sz w:val="18"/>
              </w:rPr>
              <w:t>Jadwal.Integrations.Jamia.Tests</w:t>
            </w:r>
          </w:p>
        </w:tc>
        <w:tc>
          <w:tcPr>
            <w:tcW w:type="dxa" w:w="3120"/>
            <w:shd w:fill="F9FBF9"/>
          </w:tcPr>
          <w:p>
            <w:pPr>
              <w:spacing w:after="40" w:before="40"/>
            </w:pPr>
            <w:r>
              <w:rPr>
                <w:sz w:val="18"/>
              </w:rPr>
              <w:t>6 Passed</w:t>
            </w:r>
          </w:p>
        </w:tc>
        <w:tc>
          <w:tcPr>
            <w:tcW w:type="dxa" w:w="3120"/>
            <w:shd w:fill="F9FBF9"/>
          </w:tcPr>
          <w:p>
            <w:pPr>
              <w:spacing w:after="40" w:before="40"/>
            </w:pPr>
            <w:r>
              <w:rPr>
                <w:sz w:val="18"/>
              </w:rPr>
              <w:t>JamiaTimetableProvider, token expiry logic, Excel parsing fallback, account validation.</w:t>
            </w:r>
          </w:p>
        </w:tc>
      </w:tr>
      <w:tr>
        <w:tc>
          <w:tcPr>
            <w:tcW w:type="dxa" w:w="3120"/>
            <w:shd w:fill="FFFFFF"/>
          </w:tcPr>
          <w:p>
            <w:pPr>
              <w:spacing w:after="40" w:before="40"/>
            </w:pPr>
            <w:r>
              <w:rPr>
                <w:sz w:val="18"/>
              </w:rPr>
              <w:t>Total Test Suite</w:t>
            </w:r>
          </w:p>
        </w:tc>
        <w:tc>
          <w:tcPr>
            <w:tcW w:type="dxa" w:w="3120"/>
            <w:shd w:fill="FFFFFF"/>
          </w:tcPr>
          <w:p>
            <w:pPr>
              <w:spacing w:after="40" w:before="40"/>
            </w:pPr>
            <w:r>
              <w:rPr>
                <w:sz w:val="18"/>
              </w:rPr>
              <w:t>76 Passed (0 Failed)</w:t>
            </w:r>
          </w:p>
        </w:tc>
        <w:tc>
          <w:tcPr>
            <w:tcW w:type="dxa" w:w="3120"/>
            <w:shd w:fill="FFFFFF"/>
          </w:tcPr>
          <w:p>
            <w:pPr>
              <w:spacing w:after="40" w:before="40"/>
            </w:pPr>
            <w:r>
              <w:rPr>
                <w:sz w:val="18"/>
              </w:rPr>
              <w:t>100% automated regression protection across all core modules.</w:t>
            </w:r>
          </w:p>
        </w:tc>
      </w:tr>
    </w:tbl>
    <w:p>
      <w:pPr>
        <w:spacing w:after="120"/>
      </w:pPr>
    </w:p>
    <w:p>
      <w:pPr>
        <w:pStyle w:val="Heading1"/>
        <w:spacing w:before="320" w:after="120"/>
      </w:pPr>
      <w:r>
        <w:rPr>
          <w:color w:val="0B4F39"/>
        </w:rPr>
        <w:t>Appendix A — Technical Specifications Summary</w:t>
      </w:r>
    </w:p>
    <w:tbl>
      <w:tblPr>
        <w:tblStyle w:val="TableGrid"/>
        <w:tblW w:type="auto" w:w="0"/>
        <w:jc w:val="center"/>
        <w:tblLook w:firstColumn="1" w:firstRow="1" w:lastColumn="0" w:lastRow="0" w:noHBand="0" w:noVBand="1" w:val="04A0"/>
      </w:tblPr>
      <w:tblGrid>
        <w:gridCol w:w="4680"/>
        <w:gridCol w:w="4680"/>
      </w:tblGrid>
      <w:tr>
        <w:tc>
          <w:tcPr>
            <w:tcW w:type="dxa" w:w="4680"/>
            <w:shd w:fill="0B4F39"/>
          </w:tcPr>
          <w:p>
            <w:pPr>
              <w:jc w:val="center"/>
            </w:pPr>
            <w:r>
              <w:rPr>
                <w:b/>
                <w:color w:val="FFFFFF"/>
                <w:sz w:val="19"/>
              </w:rPr>
              <w:t>Attribute</w:t>
            </w:r>
          </w:p>
        </w:tc>
        <w:tc>
          <w:tcPr>
            <w:tcW w:type="dxa" w:w="4680"/>
            <w:shd w:fill="0B4F39"/>
          </w:tcPr>
          <w:p>
            <w:pPr>
              <w:jc w:val="center"/>
            </w:pPr>
            <w:r>
              <w:rPr>
                <w:b/>
                <w:color w:val="FFFFFF"/>
                <w:sz w:val="19"/>
              </w:rPr>
              <w:t>Specification Details</w:t>
            </w:r>
          </w:p>
        </w:tc>
      </w:tr>
      <w:tr>
        <w:tc>
          <w:tcPr>
            <w:tcW w:type="dxa" w:w="4680"/>
            <w:shd w:fill="F9FBF9"/>
          </w:tcPr>
          <w:p>
            <w:pPr>
              <w:spacing w:after="40" w:before="40"/>
            </w:pPr>
            <w:r>
              <w:rPr>
                <w:sz w:val="18"/>
              </w:rPr>
              <w:t>Application Name</w:t>
            </w:r>
          </w:p>
        </w:tc>
        <w:tc>
          <w:tcPr>
            <w:tcW w:type="dxa" w:w="4680"/>
            <w:shd w:fill="F9FBF9"/>
          </w:tcPr>
          <w:p>
            <w:pPr>
              <w:spacing w:after="40" w:before="40"/>
            </w:pPr>
            <w:r>
              <w:rPr>
                <w:sz w:val="18"/>
              </w:rPr>
              <w:t>Jadwal (جدول)</w:t>
            </w:r>
          </w:p>
        </w:tc>
      </w:tr>
      <w:tr>
        <w:tc>
          <w:tcPr>
            <w:tcW w:type="dxa" w:w="4680"/>
            <w:shd w:fill="FFFFFF"/>
          </w:tcPr>
          <w:p>
            <w:pPr>
              <w:spacing w:after="40" w:before="40"/>
            </w:pPr>
            <w:r>
              <w:rPr>
                <w:sz w:val="18"/>
              </w:rPr>
              <w:t>Version</w:t>
            </w:r>
          </w:p>
        </w:tc>
        <w:tc>
          <w:tcPr>
            <w:tcW w:type="dxa" w:w="4680"/>
            <w:shd w:fill="FFFFFF"/>
          </w:tcPr>
          <w:p>
            <w:pPr>
              <w:spacing w:after="40" w:before="40"/>
            </w:pPr>
            <w:r>
              <w:rPr>
                <w:sz w:val="18"/>
              </w:rPr>
              <w:t>2.0.0 (Build 2026.09)</w:t>
            </w:r>
          </w:p>
        </w:tc>
      </w:tr>
      <w:tr>
        <w:tc>
          <w:tcPr>
            <w:tcW w:type="dxa" w:w="4680"/>
            <w:shd w:fill="F9FBF9"/>
          </w:tcPr>
          <w:p>
            <w:pPr>
              <w:spacing w:after="40" w:before="40"/>
            </w:pPr>
            <w:r>
              <w:rPr>
                <w:sz w:val="18"/>
              </w:rPr>
              <w:t>Developer</w:t>
            </w:r>
          </w:p>
        </w:tc>
        <w:tc>
          <w:tcPr>
            <w:tcW w:type="dxa" w:w="4680"/>
            <w:shd w:fill="F9FBF9"/>
          </w:tcPr>
          <w:p>
            <w:pPr>
              <w:spacing w:after="40" w:before="40"/>
            </w:pPr>
            <w:r>
              <w:rPr>
                <w:sz w:val="18"/>
              </w:rPr>
              <w:t>Mustafa Rajkotwala</w:t>
            </w:r>
          </w:p>
        </w:tc>
      </w:tr>
      <w:tr>
        <w:tc>
          <w:tcPr>
            <w:tcW w:type="dxa" w:w="4680"/>
            <w:shd w:fill="FFFFFF"/>
          </w:tcPr>
          <w:p>
            <w:pPr>
              <w:spacing w:after="40" w:before="40"/>
            </w:pPr>
            <w:r>
              <w:rPr>
                <w:sz w:val="18"/>
              </w:rPr>
              <w:t>Target Framework</w:t>
            </w:r>
          </w:p>
        </w:tc>
        <w:tc>
          <w:tcPr>
            <w:tcW w:type="dxa" w:w="4680"/>
            <w:shd w:fill="FFFFFF"/>
          </w:tcPr>
          <w:p>
            <w:pPr>
              <w:spacing w:after="40" w:before="40"/>
            </w:pPr>
            <w:r>
              <w:rPr>
                <w:sz w:val="18"/>
              </w:rPr>
              <w:t>.NET 10.0 (net10.0)</w:t>
            </w:r>
          </w:p>
        </w:tc>
      </w:tr>
      <w:tr>
        <w:tc>
          <w:tcPr>
            <w:tcW w:type="dxa" w:w="4680"/>
            <w:shd w:fill="F9FBF9"/>
          </w:tcPr>
          <w:p>
            <w:pPr>
              <w:spacing w:after="40" w:before="40"/>
            </w:pPr>
            <w:r>
              <w:rPr>
                <w:sz w:val="18"/>
              </w:rPr>
              <w:t>UI Framework</w:t>
            </w:r>
          </w:p>
        </w:tc>
        <w:tc>
          <w:tcPr>
            <w:tcW w:type="dxa" w:w="4680"/>
            <w:shd w:fill="F9FBF9"/>
          </w:tcPr>
          <w:p>
            <w:pPr>
              <w:spacing w:after="40" w:before="40"/>
            </w:pPr>
            <w:r>
              <w:rPr>
                <w:sz w:val="18"/>
              </w:rPr>
              <w:t>Avalonia UI 12.1.2 with MVVM CommunityToolkit</w:t>
            </w:r>
          </w:p>
        </w:tc>
      </w:tr>
      <w:tr>
        <w:tc>
          <w:tcPr>
            <w:tcW w:type="dxa" w:w="4680"/>
            <w:shd w:fill="FFFFFF"/>
          </w:tcPr>
          <w:p>
            <w:pPr>
              <w:spacing w:after="40" w:before="40"/>
            </w:pPr>
            <w:r>
              <w:rPr>
                <w:sz w:val="18"/>
              </w:rPr>
              <w:t>Architecture</w:t>
            </w:r>
          </w:p>
        </w:tc>
        <w:tc>
          <w:tcPr>
            <w:tcW w:type="dxa" w:w="4680"/>
            <w:shd w:fill="FFFFFF"/>
          </w:tcPr>
          <w:p>
            <w:pPr>
              <w:spacing w:after="40" w:before="40"/>
            </w:pPr>
            <w:r>
              <w:rPr>
                <w:sz w:val="18"/>
              </w:rPr>
              <w:t>Clean Architecture (Domain, Application, Infrastructure, UI, Platform, Integrations)</w:t>
            </w:r>
          </w:p>
        </w:tc>
      </w:tr>
      <w:tr>
        <w:tc>
          <w:tcPr>
            <w:tcW w:type="dxa" w:w="4680"/>
            <w:shd w:fill="F9FBF9"/>
          </w:tcPr>
          <w:p>
            <w:pPr>
              <w:spacing w:after="40" w:before="40"/>
            </w:pPr>
            <w:r>
              <w:rPr>
                <w:sz w:val="18"/>
              </w:rPr>
              <w:t>Platforms Supported</w:t>
            </w:r>
          </w:p>
        </w:tc>
        <w:tc>
          <w:tcPr>
            <w:tcW w:type="dxa" w:w="4680"/>
            <w:shd w:fill="F9FBF9"/>
          </w:tcPr>
          <w:p>
            <w:pPr>
              <w:spacing w:after="40" w:before="40"/>
            </w:pPr>
            <w:r>
              <w:rPr>
                <w:sz w:val="18"/>
              </w:rPr>
              <w:t>macOS 12.0+ (x86_64, arm64 Rosetta) &amp; Windows 10/11 (x64)</w:t>
            </w:r>
          </w:p>
        </w:tc>
      </w:tr>
      <w:tr>
        <w:tc>
          <w:tcPr>
            <w:tcW w:type="dxa" w:w="4680"/>
            <w:shd w:fill="FFFFFF"/>
          </w:tcPr>
          <w:p>
            <w:pPr>
              <w:spacing w:after="40" w:before="40"/>
            </w:pPr>
            <w:r>
              <w:rPr>
                <w:sz w:val="18"/>
              </w:rPr>
              <w:t>Calendar Algorithms</w:t>
            </w:r>
          </w:p>
        </w:tc>
        <w:tc>
          <w:tcPr>
            <w:tcW w:type="dxa" w:w="4680"/>
            <w:shd w:fill="FFFFFF"/>
          </w:tcPr>
          <w:p>
            <w:pPr>
              <w:spacing w:after="40" w:before="40"/>
            </w:pPr>
            <w:r>
              <w:rPr>
                <w:sz w:val="18"/>
              </w:rPr>
              <w:t>Fatimid Misri 30-Year Tabular Lunar Algorithm + Astronomical Julian Day Number</w:t>
            </w:r>
          </w:p>
        </w:tc>
      </w:tr>
      <w:tr>
        <w:tc>
          <w:tcPr>
            <w:tcW w:type="dxa" w:w="4680"/>
            <w:shd w:fill="F9FBF9"/>
          </w:tcPr>
          <w:p>
            <w:pPr>
              <w:spacing w:after="40" w:before="40"/>
            </w:pPr>
            <w:r>
              <w:rPr>
                <w:sz w:val="18"/>
              </w:rPr>
              <w:t>Miqaats Database</w:t>
            </w:r>
          </w:p>
        </w:tc>
        <w:tc>
          <w:tcPr>
            <w:tcW w:type="dxa" w:w="4680"/>
            <w:shd w:fill="F9FBF9"/>
          </w:tcPr>
          <w:p>
            <w:pPr>
              <w:spacing w:after="40" w:before="40"/>
            </w:pPr>
            <w:r>
              <w:rPr>
                <w:sz w:val="18"/>
              </w:rPr>
              <w:t>12 Hijri Months, 100+ events with ceremonial phases and descriptions</w:t>
            </w:r>
          </w:p>
        </w:tc>
      </w:tr>
      <w:tr>
        <w:tc>
          <w:tcPr>
            <w:tcW w:type="dxa" w:w="4680"/>
            <w:shd w:fill="FFFFFF"/>
          </w:tcPr>
          <w:p>
            <w:pPr>
              <w:spacing w:after="40" w:before="40"/>
            </w:pPr>
            <w:r>
              <w:rPr>
                <w:sz w:val="18"/>
              </w:rPr>
              <w:t>Timetable Grid</w:t>
            </w:r>
          </w:p>
        </w:tc>
        <w:tc>
          <w:tcPr>
            <w:tcW w:type="dxa" w:w="4680"/>
            <w:shd w:fill="FFFFFF"/>
          </w:tcPr>
          <w:p>
            <w:pPr>
              <w:spacing w:after="40" w:before="40"/>
            </w:pPr>
            <w:r>
              <w:rPr>
                <w:sz w:val="18"/>
              </w:rPr>
              <w:t>RTL Flow, 3 Rows, 8 Periods, 2 Breaks, Physical Education Card, Friday Exception</w:t>
            </w:r>
          </w:p>
        </w:tc>
      </w:tr>
      <w:tr>
        <w:tc>
          <w:tcPr>
            <w:tcW w:type="dxa" w:w="4680"/>
            <w:shd w:fill="F9FBF9"/>
          </w:tcPr>
          <w:p>
            <w:pPr>
              <w:spacing w:after="40" w:before="40"/>
            </w:pPr>
            <w:r>
              <w:rPr>
                <w:sz w:val="18"/>
              </w:rPr>
              <w:t>Automated Test Coverage</w:t>
            </w:r>
          </w:p>
        </w:tc>
        <w:tc>
          <w:tcPr>
            <w:tcW w:type="dxa" w:w="4680"/>
            <w:shd w:fill="F9FBF9"/>
          </w:tcPr>
          <w:p>
            <w:pPr>
              <w:spacing w:after="40" w:before="40"/>
            </w:pPr>
            <w:r>
              <w:rPr>
                <w:sz w:val="18"/>
              </w:rPr>
              <w:t>76 Unit &amp; Integration Tests across 5 test suites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