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886" w:rsidRDefault="00AB6C78">
      <w:pPr>
        <w:pStyle w:val="Heading1"/>
        <w:spacing w:before="120"/>
        <w:jc w:val="center"/>
        <w:rPr>
          <w:sz w:val="36"/>
        </w:rPr>
      </w:pPr>
      <w:r>
        <w:rPr>
          <w:sz w:val="36"/>
        </w:rPr>
        <w:t>MEDC CRM RFP Pre-Bid Meeting</w:t>
      </w:r>
    </w:p>
    <w:p w:rsidR="00EE3886" w:rsidRDefault="00AB6C78">
      <w:pPr>
        <w:pStyle w:val="Heading1"/>
        <w:spacing w:before="120"/>
        <w:jc w:val="center"/>
        <w:rPr>
          <w:sz w:val="36"/>
        </w:rPr>
      </w:pPr>
      <w:r>
        <w:rPr>
          <w:sz w:val="36"/>
        </w:rPr>
        <w:t>June 23, 2010</w:t>
      </w:r>
    </w:p>
    <w:p w:rsidR="00EE3886" w:rsidRDefault="00EE3886"/>
    <w:p w:rsidR="00EE3886" w:rsidRDefault="00662CA6">
      <w:pPr>
        <w:pStyle w:val="Heading1"/>
      </w:pPr>
      <w:r>
        <w:t xml:space="preserve">Vendors </w:t>
      </w:r>
      <w:r w:rsidR="00AB6C78">
        <w:t>Registering Attendance</w:t>
      </w:r>
    </w:p>
    <w:p w:rsidR="00662CA6" w:rsidRDefault="00662CA6" w:rsidP="00012910"/>
    <w:tbl>
      <w:tblPr>
        <w:tblStyle w:val="LightShading-Accent1"/>
        <w:tblW w:w="0" w:type="auto"/>
        <w:tblLook w:val="0480"/>
      </w:tblPr>
      <w:tblGrid>
        <w:gridCol w:w="4788"/>
        <w:gridCol w:w="4788"/>
      </w:tblGrid>
      <w:tr w:rsidR="00160F33" w:rsidTr="00971A19">
        <w:trPr>
          <w:cnfStyle w:val="000000100000"/>
        </w:trPr>
        <w:tc>
          <w:tcPr>
            <w:cnfStyle w:val="001000000000"/>
            <w:tcW w:w="4788" w:type="dxa"/>
          </w:tcPr>
          <w:p w:rsidR="00160F33" w:rsidRDefault="00160F33" w:rsidP="00012910">
            <w:r>
              <w:t>Accenture</w:t>
            </w:r>
          </w:p>
        </w:tc>
        <w:tc>
          <w:tcPr>
            <w:tcW w:w="4788" w:type="dxa"/>
            <w:tcBorders>
              <w:bottom w:val="nil"/>
            </w:tcBorders>
          </w:tcPr>
          <w:p w:rsidR="00160F33" w:rsidRDefault="00160F33" w:rsidP="00012910">
            <w:pPr>
              <w:cnfStyle w:val="000000100000"/>
            </w:pPr>
            <w:r>
              <w:t>Accenture.com</w:t>
            </w:r>
          </w:p>
        </w:tc>
      </w:tr>
      <w:tr w:rsidR="00160F33" w:rsidTr="00971A19">
        <w:tc>
          <w:tcPr>
            <w:cnfStyle w:val="001000000000"/>
            <w:tcW w:w="4788" w:type="dxa"/>
          </w:tcPr>
          <w:p w:rsidR="00160F33" w:rsidRDefault="00160F33" w:rsidP="00012910">
            <w:r>
              <w:t>Acumen</w:t>
            </w:r>
            <w:r w:rsidR="00971A19">
              <w:t xml:space="preserve"> Solutions</w:t>
            </w:r>
          </w:p>
        </w:tc>
        <w:tc>
          <w:tcPr>
            <w:tcW w:w="4788" w:type="dxa"/>
            <w:tcBorders>
              <w:top w:val="nil"/>
              <w:bottom w:val="nil"/>
            </w:tcBorders>
            <w:shd w:val="clear" w:color="auto" w:fill="FFFFFF" w:themeFill="background1"/>
          </w:tcPr>
          <w:p w:rsidR="00160F33" w:rsidRDefault="00D67B9D" w:rsidP="00012910">
            <w:pPr>
              <w:cnfStyle w:val="000000000000"/>
            </w:pPr>
            <w:r>
              <w:t>Acumensolutions.com</w:t>
            </w:r>
          </w:p>
        </w:tc>
      </w:tr>
      <w:tr w:rsidR="00160F33" w:rsidTr="00971A19">
        <w:trPr>
          <w:cnfStyle w:val="000000100000"/>
        </w:trPr>
        <w:tc>
          <w:tcPr>
            <w:cnfStyle w:val="001000000000"/>
            <w:tcW w:w="4788" w:type="dxa"/>
          </w:tcPr>
          <w:p w:rsidR="00160F33" w:rsidRDefault="00160F33" w:rsidP="00012910">
            <w:r>
              <w:t>Eagle Creek</w:t>
            </w:r>
            <w:r w:rsidR="00971A19">
              <w:t xml:space="preserve"> Software Services</w:t>
            </w:r>
          </w:p>
        </w:tc>
        <w:tc>
          <w:tcPr>
            <w:tcW w:w="4788" w:type="dxa"/>
            <w:tcBorders>
              <w:top w:val="nil"/>
            </w:tcBorders>
          </w:tcPr>
          <w:p w:rsidR="00160F33" w:rsidRDefault="00D67B9D" w:rsidP="00012910">
            <w:pPr>
              <w:cnfStyle w:val="000000100000"/>
            </w:pPr>
            <w:r>
              <w:t>Eaglecrk.com</w:t>
            </w:r>
          </w:p>
        </w:tc>
      </w:tr>
      <w:tr w:rsidR="00160F33" w:rsidTr="00160F33">
        <w:tc>
          <w:tcPr>
            <w:cnfStyle w:val="001000000000"/>
            <w:tcW w:w="4788" w:type="dxa"/>
          </w:tcPr>
          <w:p w:rsidR="00160F33" w:rsidRDefault="00160F33" w:rsidP="00012910">
            <w:r>
              <w:t>EHTC</w:t>
            </w:r>
          </w:p>
        </w:tc>
        <w:tc>
          <w:tcPr>
            <w:tcW w:w="4788" w:type="dxa"/>
          </w:tcPr>
          <w:p w:rsidR="00160F33" w:rsidRDefault="00160F33" w:rsidP="00012910">
            <w:pPr>
              <w:cnfStyle w:val="000000000000"/>
            </w:pPr>
            <w:r>
              <w:t>Ehtc.com</w:t>
            </w:r>
          </w:p>
        </w:tc>
      </w:tr>
      <w:tr w:rsidR="00160F33" w:rsidTr="00160F33">
        <w:trPr>
          <w:cnfStyle w:val="000000100000"/>
        </w:trPr>
        <w:tc>
          <w:tcPr>
            <w:cnfStyle w:val="001000000000"/>
            <w:tcW w:w="4788" w:type="dxa"/>
          </w:tcPr>
          <w:p w:rsidR="00160F33" w:rsidRDefault="00971A19" w:rsidP="00971A19">
            <w:r>
              <w:t>eV</w:t>
            </w:r>
            <w:r w:rsidR="00160F33">
              <w:t>erg</w:t>
            </w:r>
            <w:r>
              <w:t>e Group</w:t>
            </w:r>
          </w:p>
        </w:tc>
        <w:tc>
          <w:tcPr>
            <w:tcW w:w="4788" w:type="dxa"/>
          </w:tcPr>
          <w:p w:rsidR="00160F33" w:rsidRDefault="00D67B9D" w:rsidP="00012910">
            <w:pPr>
              <w:cnfStyle w:val="000000100000"/>
            </w:pPr>
            <w:r>
              <w:t>Evergegroup.com</w:t>
            </w:r>
          </w:p>
        </w:tc>
      </w:tr>
      <w:tr w:rsidR="00160F33" w:rsidTr="00160F33">
        <w:tc>
          <w:tcPr>
            <w:cnfStyle w:val="001000000000"/>
            <w:tcW w:w="4788" w:type="dxa"/>
          </w:tcPr>
          <w:p w:rsidR="00160F33" w:rsidRDefault="00160F33" w:rsidP="00012910">
            <w:r>
              <w:t>Microsoft</w:t>
            </w:r>
          </w:p>
        </w:tc>
        <w:tc>
          <w:tcPr>
            <w:tcW w:w="4788" w:type="dxa"/>
          </w:tcPr>
          <w:p w:rsidR="00160F33" w:rsidRDefault="00160F33" w:rsidP="00012910">
            <w:pPr>
              <w:cnfStyle w:val="000000000000"/>
            </w:pPr>
            <w:r>
              <w:t>Microsoft.com</w:t>
            </w:r>
          </w:p>
        </w:tc>
      </w:tr>
      <w:tr w:rsidR="00160F33" w:rsidTr="00160F33">
        <w:trPr>
          <w:cnfStyle w:val="000000100000"/>
        </w:trPr>
        <w:tc>
          <w:tcPr>
            <w:cnfStyle w:val="001000000000"/>
            <w:tcW w:w="4788" w:type="dxa"/>
          </w:tcPr>
          <w:p w:rsidR="00160F33" w:rsidRDefault="00160F33" w:rsidP="00012910">
            <w:r>
              <w:t>Oracle</w:t>
            </w:r>
          </w:p>
        </w:tc>
        <w:tc>
          <w:tcPr>
            <w:tcW w:w="4788" w:type="dxa"/>
          </w:tcPr>
          <w:p w:rsidR="00160F33" w:rsidRDefault="00160F33" w:rsidP="00012910">
            <w:pPr>
              <w:cnfStyle w:val="000000100000"/>
            </w:pPr>
            <w:r>
              <w:t>Oracle.com</w:t>
            </w:r>
          </w:p>
        </w:tc>
      </w:tr>
      <w:tr w:rsidR="00160F33" w:rsidTr="00160F33">
        <w:tc>
          <w:tcPr>
            <w:cnfStyle w:val="001000000000"/>
            <w:tcW w:w="4788" w:type="dxa"/>
          </w:tcPr>
          <w:p w:rsidR="00160F33" w:rsidRDefault="00160F33" w:rsidP="00012910">
            <w:r>
              <w:t>Polylogical</w:t>
            </w:r>
            <w:r w:rsidR="00971A19">
              <w:t xml:space="preserve"> Solutions</w:t>
            </w:r>
          </w:p>
        </w:tc>
        <w:tc>
          <w:tcPr>
            <w:tcW w:w="4788" w:type="dxa"/>
          </w:tcPr>
          <w:p w:rsidR="00160F33" w:rsidRDefault="00971A19" w:rsidP="00012910">
            <w:pPr>
              <w:cnfStyle w:val="000000000000"/>
            </w:pPr>
            <w:r>
              <w:t>polylogical.net</w:t>
            </w:r>
          </w:p>
        </w:tc>
      </w:tr>
      <w:tr w:rsidR="00160F33" w:rsidTr="00160F33">
        <w:trPr>
          <w:cnfStyle w:val="000000100000"/>
        </w:trPr>
        <w:tc>
          <w:tcPr>
            <w:cnfStyle w:val="001000000000"/>
            <w:tcW w:w="4788" w:type="dxa"/>
          </w:tcPr>
          <w:p w:rsidR="00160F33" w:rsidRDefault="00160F33" w:rsidP="00012910">
            <w:r>
              <w:t>TM Group</w:t>
            </w:r>
          </w:p>
        </w:tc>
        <w:tc>
          <w:tcPr>
            <w:tcW w:w="4788" w:type="dxa"/>
          </w:tcPr>
          <w:p w:rsidR="00160F33" w:rsidRDefault="00971A19" w:rsidP="00971A19">
            <w:pPr>
              <w:cnfStyle w:val="000000100000"/>
            </w:pPr>
            <w:r>
              <w:t>www.t</w:t>
            </w:r>
            <w:r w:rsidR="00160F33">
              <w:t>mgroupinc.com</w:t>
            </w:r>
          </w:p>
        </w:tc>
      </w:tr>
      <w:tr w:rsidR="00160F33" w:rsidTr="00160F33">
        <w:tc>
          <w:tcPr>
            <w:cnfStyle w:val="001000000000"/>
            <w:tcW w:w="4788" w:type="dxa"/>
          </w:tcPr>
          <w:p w:rsidR="00160F33" w:rsidRDefault="00160F33" w:rsidP="00012910">
            <w:r>
              <w:t>Technology Advisors</w:t>
            </w:r>
          </w:p>
        </w:tc>
        <w:tc>
          <w:tcPr>
            <w:tcW w:w="4788" w:type="dxa"/>
          </w:tcPr>
          <w:p w:rsidR="00160F33" w:rsidRDefault="00160F33" w:rsidP="00012910">
            <w:pPr>
              <w:cnfStyle w:val="000000000000"/>
            </w:pPr>
            <w:r>
              <w:t>Techadv.com</w:t>
            </w:r>
          </w:p>
        </w:tc>
      </w:tr>
      <w:tr w:rsidR="00160F33" w:rsidTr="00160F33">
        <w:trPr>
          <w:cnfStyle w:val="000000100000"/>
        </w:trPr>
        <w:tc>
          <w:tcPr>
            <w:cnfStyle w:val="001000000000"/>
            <w:tcW w:w="4788" w:type="dxa"/>
          </w:tcPr>
          <w:p w:rsidR="00160F33" w:rsidRDefault="00160F33" w:rsidP="00012910">
            <w:r>
              <w:t>Traction Software</w:t>
            </w:r>
          </w:p>
        </w:tc>
        <w:tc>
          <w:tcPr>
            <w:tcW w:w="4788" w:type="dxa"/>
          </w:tcPr>
          <w:p w:rsidR="00160F33" w:rsidRDefault="00160F33" w:rsidP="00012910">
            <w:pPr>
              <w:cnfStyle w:val="000000100000"/>
            </w:pPr>
            <w:r>
              <w:t>Tractionsoftware.com</w:t>
            </w:r>
          </w:p>
        </w:tc>
      </w:tr>
      <w:tr w:rsidR="00160F33" w:rsidTr="00160F33">
        <w:tc>
          <w:tcPr>
            <w:cnfStyle w:val="001000000000"/>
            <w:tcW w:w="4788" w:type="dxa"/>
          </w:tcPr>
          <w:p w:rsidR="00160F33" w:rsidRDefault="00160F33" w:rsidP="00012910">
            <w:r>
              <w:t>Xede</w:t>
            </w:r>
          </w:p>
        </w:tc>
        <w:tc>
          <w:tcPr>
            <w:tcW w:w="4788" w:type="dxa"/>
          </w:tcPr>
          <w:p w:rsidR="00160F33" w:rsidRDefault="00160F33" w:rsidP="00012910">
            <w:pPr>
              <w:cnfStyle w:val="000000000000"/>
            </w:pPr>
            <w:r>
              <w:t>Xede.com</w:t>
            </w:r>
          </w:p>
        </w:tc>
      </w:tr>
      <w:tr w:rsidR="00160F33" w:rsidTr="00160F33">
        <w:trPr>
          <w:cnfStyle w:val="000000100000"/>
        </w:trPr>
        <w:tc>
          <w:tcPr>
            <w:cnfStyle w:val="001000000000"/>
            <w:tcW w:w="4788" w:type="dxa"/>
          </w:tcPr>
          <w:p w:rsidR="00160F33" w:rsidRDefault="00160F33" w:rsidP="00012910"/>
        </w:tc>
        <w:tc>
          <w:tcPr>
            <w:tcW w:w="4788" w:type="dxa"/>
          </w:tcPr>
          <w:p w:rsidR="00160F33" w:rsidRDefault="00160F33" w:rsidP="00012910">
            <w:pPr>
              <w:cnfStyle w:val="000000100000"/>
            </w:pPr>
          </w:p>
        </w:tc>
      </w:tr>
    </w:tbl>
    <w:p w:rsidR="00160F33" w:rsidRDefault="00160F33" w:rsidP="00012910"/>
    <w:p w:rsidR="00EE3886" w:rsidRDefault="00662CA6">
      <w:pPr>
        <w:pStyle w:val="Heading1"/>
      </w:pPr>
      <w:r>
        <w:t>MEDC PowerPoint</w:t>
      </w:r>
    </w:p>
    <w:p w:rsidR="00662CA6" w:rsidRDefault="00662CA6" w:rsidP="00012910"/>
    <w:p w:rsidR="00662CA6" w:rsidRDefault="00662CA6" w:rsidP="00012910">
      <w:r>
        <w:t xml:space="preserve">The brief PowerPoint from the </w:t>
      </w:r>
      <w:r w:rsidR="00471E9D" w:rsidRPr="00471E9D">
        <w:t>MEDC</w:t>
      </w:r>
      <w:r w:rsidR="00DB0708">
        <w:t xml:space="preserve"> is imbedded here:</w:t>
      </w:r>
    </w:p>
    <w:p w:rsidR="00DB0708" w:rsidRDefault="00DB0708" w:rsidP="00012910"/>
    <w:p w:rsidR="00DB0708" w:rsidRDefault="00DB0708" w:rsidP="00012910">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7" o:title=""/>
          </v:shape>
          <o:OLEObject Type="Embed" ProgID="PowerPoint.Show.8" ShapeID="_x0000_i1025" DrawAspect="Icon" ObjectID="_1338898038" r:id="rId8"/>
        </w:object>
      </w:r>
    </w:p>
    <w:p w:rsidR="00EE3886" w:rsidRDefault="00662CA6">
      <w:pPr>
        <w:pStyle w:val="Heading1"/>
      </w:pPr>
      <w:r>
        <w:t>Question and Answers</w:t>
      </w:r>
    </w:p>
    <w:p w:rsidR="00662CA6" w:rsidRDefault="00662CA6" w:rsidP="00012910"/>
    <w:p w:rsidR="00171283" w:rsidRPr="003B2A4F" w:rsidRDefault="00171283" w:rsidP="00012910">
      <w:pPr>
        <w:pStyle w:val="ListParagraph"/>
        <w:numPr>
          <w:ilvl w:val="0"/>
          <w:numId w:val="8"/>
        </w:numPr>
      </w:pPr>
      <w:r w:rsidRPr="003B2A4F">
        <w:t xml:space="preserve">Is there a preference for </w:t>
      </w:r>
      <w:r w:rsidR="00DB0708" w:rsidRPr="003B2A4F">
        <w:t>M</w:t>
      </w:r>
      <w:r w:rsidR="00DB0708">
        <w:t>ichigan-</w:t>
      </w:r>
      <w:r w:rsidRPr="003B2A4F">
        <w:t>based companies?</w:t>
      </w:r>
    </w:p>
    <w:p w:rsidR="00171283" w:rsidRDefault="00DB0708" w:rsidP="003B2A4F">
      <w:pPr>
        <w:pStyle w:val="ListParagraph"/>
        <w:numPr>
          <w:ilvl w:val="0"/>
          <w:numId w:val="10"/>
        </w:numPr>
      </w:pPr>
      <w:r>
        <w:t xml:space="preserve">The MEDC has no policy favoring Michigan-based </w:t>
      </w:r>
      <w:r w:rsidR="00BA09B4">
        <w:t xml:space="preserve">companies </w:t>
      </w:r>
      <w:r>
        <w:t xml:space="preserve">in the procurement process. Such a policy would cause Michigan-based companies to be disadvantaged when bidding for business in other states by triggering reciprocal </w:t>
      </w:r>
      <w:r w:rsidR="00BA09B4">
        <w:t xml:space="preserve">preference </w:t>
      </w:r>
      <w:r>
        <w:t>policies in those states</w:t>
      </w:r>
      <w:r w:rsidR="00E405EE">
        <w:rPr>
          <w:rFonts w:ascii="Arial" w:hAnsi="Arial" w:cs="Arial"/>
          <w:sz w:val="16"/>
          <w:szCs w:val="16"/>
        </w:rPr>
        <w:t>.</w:t>
      </w:r>
    </w:p>
    <w:p w:rsidR="00EE3886" w:rsidRDefault="00EE3886">
      <w:pPr>
        <w:ind w:left="720"/>
      </w:pPr>
    </w:p>
    <w:p w:rsidR="00BF5C0D" w:rsidRDefault="00DB0708" w:rsidP="00012910">
      <w:pPr>
        <w:pStyle w:val="ListParagraph"/>
        <w:numPr>
          <w:ilvl w:val="0"/>
          <w:numId w:val="8"/>
        </w:numPr>
      </w:pPr>
      <w:r>
        <w:t xml:space="preserve">Exhibit 10 </w:t>
      </w:r>
      <w:r w:rsidR="00BF5C0D">
        <w:t>defines some recommendations for business process changes that would be difficult to include in a fixed-price software implementation bid. How will these business process changes be addressed?</w:t>
      </w:r>
    </w:p>
    <w:p w:rsidR="00171283" w:rsidRDefault="00171283" w:rsidP="00012910">
      <w:pPr>
        <w:pStyle w:val="ListParagraph"/>
        <w:numPr>
          <w:ilvl w:val="0"/>
          <w:numId w:val="10"/>
        </w:numPr>
      </w:pPr>
      <w:r w:rsidRPr="003B2A4F">
        <w:t>Business process changes</w:t>
      </w:r>
      <w:r w:rsidR="00BF5C0D">
        <w:t xml:space="preserve"> described or implied in Exhibit 10</w:t>
      </w:r>
      <w:r w:rsidRPr="003B2A4F">
        <w:t xml:space="preserve"> are not in the scope of the fixed price bid.  </w:t>
      </w:r>
      <w:r w:rsidR="00BF5C0D">
        <w:t>Any business process changes that occur before or during the project will be dealt with as changes in scope using a change control process.</w:t>
      </w:r>
    </w:p>
    <w:p w:rsidR="005F383F" w:rsidRPr="003B2A4F" w:rsidRDefault="005F383F" w:rsidP="00012910">
      <w:pPr>
        <w:pStyle w:val="ListParagraph"/>
        <w:numPr>
          <w:ilvl w:val="0"/>
          <w:numId w:val="10"/>
        </w:numPr>
      </w:pPr>
      <w:r>
        <w:lastRenderedPageBreak/>
        <w:t xml:space="preserve">Exhibit 10 is for reference and is not a requirements Exhibit.  </w:t>
      </w:r>
      <w:r w:rsidR="00BF5C0D">
        <w:t xml:space="preserve">It is intended to provide high-level enterprise context for the project. </w:t>
      </w:r>
    </w:p>
    <w:p w:rsidR="00171283" w:rsidRPr="003B2A4F" w:rsidRDefault="00171283" w:rsidP="003B2A4F"/>
    <w:p w:rsidR="00171283" w:rsidRPr="003B2A4F" w:rsidRDefault="00171283" w:rsidP="00012910">
      <w:pPr>
        <w:pStyle w:val="ListParagraph"/>
        <w:numPr>
          <w:ilvl w:val="0"/>
          <w:numId w:val="8"/>
        </w:numPr>
      </w:pPr>
      <w:r w:rsidRPr="003B2A4F">
        <w:t xml:space="preserve">Implementation – </w:t>
      </w:r>
      <w:r w:rsidR="00BF5C0D">
        <w:t>does the MEDC</w:t>
      </w:r>
      <w:r w:rsidRPr="003B2A4F">
        <w:t xml:space="preserve"> desire a SaaS </w:t>
      </w:r>
      <w:r w:rsidR="00BF5C0D">
        <w:t xml:space="preserve">solution </w:t>
      </w:r>
      <w:r w:rsidRPr="003B2A4F">
        <w:t xml:space="preserve">or an </w:t>
      </w:r>
      <w:r w:rsidR="00BF5C0D" w:rsidRPr="003B2A4F">
        <w:t>on</w:t>
      </w:r>
      <w:r w:rsidR="00BF5C0D">
        <w:t>-</w:t>
      </w:r>
      <w:r w:rsidRPr="003B2A4F">
        <w:t>premise solution?</w:t>
      </w:r>
    </w:p>
    <w:p w:rsidR="00171283" w:rsidRPr="003B2A4F" w:rsidRDefault="00BF5C0D" w:rsidP="00012910">
      <w:pPr>
        <w:pStyle w:val="ListParagraph"/>
        <w:numPr>
          <w:ilvl w:val="0"/>
          <w:numId w:val="10"/>
        </w:numPr>
      </w:pPr>
      <w:r>
        <w:t>The MEDC is o</w:t>
      </w:r>
      <w:r w:rsidR="00171283" w:rsidRPr="003B2A4F">
        <w:t>pen</w:t>
      </w:r>
      <w:r w:rsidR="00E405EE">
        <w:t xml:space="preserve"> to either</w:t>
      </w:r>
      <w:r>
        <w:t xml:space="preserve"> a Software as a Service solution or an on-premise solution. </w:t>
      </w:r>
      <w:r w:rsidR="003F3049">
        <w:t>Attachment E of</w:t>
      </w:r>
      <w:r w:rsidR="00E405EE">
        <w:t xml:space="preserve"> RFP provides instructions for both On-Premise and SaaS</w:t>
      </w:r>
      <w:r w:rsidR="003F3049">
        <w:t>.</w:t>
      </w:r>
    </w:p>
    <w:p w:rsidR="00171283" w:rsidRPr="003B2A4F" w:rsidRDefault="00171283" w:rsidP="003B2A4F"/>
    <w:p w:rsidR="00171283" w:rsidRPr="003B2A4F" w:rsidRDefault="003F3049" w:rsidP="00012910">
      <w:pPr>
        <w:pStyle w:val="ListParagraph"/>
        <w:numPr>
          <w:ilvl w:val="0"/>
          <w:numId w:val="8"/>
        </w:numPr>
      </w:pPr>
      <w:r>
        <w:t>Is the MEDC expecting a single-vendor solution or are</w:t>
      </w:r>
      <w:r w:rsidR="007B40B5">
        <w:t xml:space="preserve"> we </w:t>
      </w:r>
      <w:r>
        <w:t>willing to contract separately</w:t>
      </w:r>
      <w:r w:rsidR="007B40B5">
        <w:t xml:space="preserve"> with a software provider and an implementation company?</w:t>
      </w:r>
    </w:p>
    <w:p w:rsidR="003B2A4F" w:rsidRDefault="007B40B5" w:rsidP="00012910">
      <w:pPr>
        <w:pStyle w:val="ListParagraph"/>
        <w:numPr>
          <w:ilvl w:val="0"/>
          <w:numId w:val="10"/>
        </w:numPr>
      </w:pPr>
      <w:r>
        <w:t>MEDC expects the bidding vendor specify all software modules and options required for the proposed solution. The bidding vendor may act as a re-seller for the CRM software, or MEDC is willing to contract separately with the CRM software provider based upon the bidder’s specifications. Please see RFP Attachment E, Section B.</w:t>
      </w:r>
    </w:p>
    <w:p w:rsidR="003B2A4F" w:rsidRPr="003B2A4F" w:rsidRDefault="003B2A4F" w:rsidP="003B2A4F"/>
    <w:p w:rsidR="00012910" w:rsidRDefault="007B40B5" w:rsidP="00012910">
      <w:pPr>
        <w:pStyle w:val="ListParagraph"/>
        <w:numPr>
          <w:ilvl w:val="0"/>
          <w:numId w:val="8"/>
        </w:numPr>
      </w:pPr>
      <w:r>
        <w:t>Would the MEDC present an overview</w:t>
      </w:r>
      <w:r w:rsidR="00171283" w:rsidRPr="003B2A4F">
        <w:t xml:space="preserve"> of the current Siebel implementation – </w:t>
      </w:r>
      <w:r w:rsidR="008B467D">
        <w:t xml:space="preserve">key </w:t>
      </w:r>
      <w:r w:rsidR="00171283" w:rsidRPr="003B2A4F">
        <w:t>functions enabled, licensing, etc</w:t>
      </w:r>
      <w:r w:rsidRPr="003B2A4F">
        <w:t>.</w:t>
      </w:r>
      <w:r>
        <w:t>?</w:t>
      </w:r>
      <w:r w:rsidRPr="003B2A4F">
        <w:t xml:space="preserve"> </w:t>
      </w:r>
    </w:p>
    <w:p w:rsidR="00EE3886" w:rsidRDefault="007B40B5">
      <w:pPr>
        <w:pStyle w:val="ListParagraph"/>
        <w:numPr>
          <w:ilvl w:val="0"/>
          <w:numId w:val="10"/>
        </w:numPr>
      </w:pPr>
      <w:r>
        <w:t xml:space="preserve">The MEDC declined to present additional information regarding the current Siebel </w:t>
      </w:r>
      <w:r w:rsidR="008B467D">
        <w:t>implementation</w:t>
      </w:r>
      <w:r>
        <w:t xml:space="preserve">, but would be glad to answer any specific questions regarding the current system. Please refer to the system information provided in RFP Section I.B, Background Statement and Objectives, and in the various exhibits referenced therein. </w:t>
      </w:r>
    </w:p>
    <w:p w:rsidR="00EE3886" w:rsidRDefault="007B40B5">
      <w:pPr>
        <w:pStyle w:val="ListParagraph"/>
      </w:pPr>
      <w:r>
        <w:t xml:space="preserve"> </w:t>
      </w:r>
    </w:p>
    <w:p w:rsidR="003B2A4F" w:rsidRDefault="008B467D" w:rsidP="00012910">
      <w:pPr>
        <w:pStyle w:val="ListParagraph"/>
        <w:numPr>
          <w:ilvl w:val="0"/>
          <w:numId w:val="8"/>
        </w:numPr>
      </w:pPr>
      <w:r>
        <w:t xml:space="preserve">How is the </w:t>
      </w:r>
      <w:r w:rsidR="00171283" w:rsidRPr="003B2A4F">
        <w:t xml:space="preserve">Oracle CRM </w:t>
      </w:r>
      <w:r w:rsidR="005B077D">
        <w:t>O</w:t>
      </w:r>
      <w:r w:rsidR="00171283" w:rsidRPr="003B2A4F">
        <w:t xml:space="preserve">nDemand </w:t>
      </w:r>
      <w:r>
        <w:t xml:space="preserve">system </w:t>
      </w:r>
      <w:r w:rsidR="00171283" w:rsidRPr="003B2A4F">
        <w:t>used at MEDC today?</w:t>
      </w:r>
    </w:p>
    <w:p w:rsidR="00EE3886" w:rsidRDefault="00CB7DC6">
      <w:pPr>
        <w:pStyle w:val="ListParagraph"/>
        <w:numPr>
          <w:ilvl w:val="0"/>
          <w:numId w:val="10"/>
        </w:numPr>
      </w:pPr>
      <w:r>
        <w:t xml:space="preserve">MEDC </w:t>
      </w:r>
      <w:r w:rsidR="008B467D">
        <w:t>manages the</w:t>
      </w:r>
      <w:r>
        <w:t xml:space="preserve"> </w:t>
      </w:r>
      <w:r w:rsidR="008B467D" w:rsidRPr="003B2A4F">
        <w:t>Business One</w:t>
      </w:r>
      <w:r w:rsidR="008B467D">
        <w:t>-</w:t>
      </w:r>
      <w:r w:rsidR="008B467D" w:rsidRPr="003B2A4F">
        <w:t>Stop</w:t>
      </w:r>
      <w:r w:rsidR="008B467D">
        <w:t xml:space="preserve"> </w:t>
      </w:r>
      <w:r>
        <w:t xml:space="preserve">consolidated </w:t>
      </w:r>
      <w:r w:rsidR="008B467D">
        <w:t>c</w:t>
      </w:r>
      <w:r w:rsidR="008B467D" w:rsidRPr="003B2A4F">
        <w:t xml:space="preserve">all </w:t>
      </w:r>
      <w:r w:rsidR="008B467D">
        <w:t>c</w:t>
      </w:r>
      <w:r w:rsidR="008B467D" w:rsidRPr="003B2A4F">
        <w:t xml:space="preserve">enter </w:t>
      </w:r>
      <w:r w:rsidR="00171283" w:rsidRPr="003B2A4F">
        <w:t>operation</w:t>
      </w:r>
      <w:r w:rsidR="00662CA6">
        <w:t xml:space="preserve"> that routes calls to many State agencies</w:t>
      </w:r>
      <w:r w:rsidR="00171283" w:rsidRPr="003B2A4F">
        <w:t xml:space="preserve">.  </w:t>
      </w:r>
      <w:r w:rsidR="008B467D">
        <w:t xml:space="preserve">The call center uses an </w:t>
      </w:r>
      <w:r w:rsidR="005B077D">
        <w:t xml:space="preserve">Oracle CRM OnDemand </w:t>
      </w:r>
      <w:r w:rsidR="008B467D">
        <w:t>system that was implemented by the Michigan Department of Technology, Management and Budget</w:t>
      </w:r>
      <w:r w:rsidR="00171283" w:rsidRPr="003B2A4F">
        <w:t xml:space="preserve">.  </w:t>
      </w:r>
      <w:r w:rsidR="005B077D">
        <w:t>It</w:t>
      </w:r>
      <w:r w:rsidR="00171283" w:rsidRPr="003B2A4F">
        <w:t xml:space="preserve"> is </w:t>
      </w:r>
      <w:r w:rsidR="008B467D">
        <w:t>not integrated with the MEDC CRM system and is not in the scope of this RFP.</w:t>
      </w:r>
      <w:r w:rsidR="00171283" w:rsidRPr="003B2A4F">
        <w:t xml:space="preserve">  </w:t>
      </w:r>
    </w:p>
    <w:p w:rsidR="00EE3886" w:rsidRDefault="00EE3886">
      <w:pPr>
        <w:pStyle w:val="ListParagraph"/>
      </w:pPr>
    </w:p>
    <w:p w:rsidR="00EE3886" w:rsidRDefault="008B467D">
      <w:pPr>
        <w:pStyle w:val="ListParagraph"/>
        <w:numPr>
          <w:ilvl w:val="0"/>
          <w:numId w:val="8"/>
        </w:numPr>
      </w:pPr>
      <w:r>
        <w:t>For b</w:t>
      </w:r>
      <w:r w:rsidR="00171283" w:rsidRPr="003B2A4F">
        <w:t>enefit and benefit request</w:t>
      </w:r>
      <w:r>
        <w:t xml:space="preserve"> processes, </w:t>
      </w:r>
      <w:r w:rsidR="00171283" w:rsidRPr="003B2A4F">
        <w:t>are checks cut out of our system?</w:t>
      </w:r>
    </w:p>
    <w:p w:rsidR="00171283" w:rsidRPr="003B2A4F" w:rsidRDefault="00171283" w:rsidP="00012910">
      <w:pPr>
        <w:pStyle w:val="ListParagraph"/>
        <w:numPr>
          <w:ilvl w:val="0"/>
          <w:numId w:val="10"/>
        </w:numPr>
      </w:pPr>
      <w:r w:rsidRPr="003B2A4F">
        <w:t>No</w:t>
      </w:r>
      <w:r w:rsidR="008B467D">
        <w:t xml:space="preserve">, the current CRM and program administration systems do not issue checks. Checks are issued by several different accounting systems. Due to the low volume, no system integration is in place or planned with these systems. We plan to continue to enter check requests into the accounting systems manually. </w:t>
      </w:r>
      <w:r w:rsidRPr="003B2A4F">
        <w:t xml:space="preserve"> </w:t>
      </w:r>
    </w:p>
    <w:p w:rsidR="00171283" w:rsidRPr="003B2A4F" w:rsidRDefault="00171283" w:rsidP="003B2A4F"/>
    <w:p w:rsidR="00EE3886" w:rsidRDefault="008B467D">
      <w:pPr>
        <w:pStyle w:val="ListParagraph"/>
        <w:numPr>
          <w:ilvl w:val="0"/>
          <w:numId w:val="8"/>
        </w:numPr>
      </w:pPr>
      <w:r>
        <w:t xml:space="preserve">Please </w:t>
      </w:r>
      <w:r w:rsidR="00BA09B4">
        <w:t xml:space="preserve">confirm </w:t>
      </w:r>
      <w:r>
        <w:t>that MEDC is requesting fixed-price bids for BIR Phase 2.</w:t>
      </w:r>
    </w:p>
    <w:p w:rsidR="00171283" w:rsidRPr="003B2A4F" w:rsidRDefault="00171283" w:rsidP="00012910">
      <w:pPr>
        <w:pStyle w:val="ListParagraph"/>
        <w:numPr>
          <w:ilvl w:val="0"/>
          <w:numId w:val="10"/>
        </w:numPr>
      </w:pPr>
      <w:r w:rsidRPr="003B2A4F">
        <w:t>Yes</w:t>
      </w:r>
      <w:r w:rsidR="008B467D">
        <w:t>.</w:t>
      </w:r>
      <w:r w:rsidR="00CB7DC6">
        <w:t xml:space="preserve"> BIR</w:t>
      </w:r>
      <w:r w:rsidRPr="003B2A4F">
        <w:t xml:space="preserve"> Phase II </w:t>
      </w:r>
      <w:r w:rsidR="008B467D">
        <w:t>is</w:t>
      </w:r>
      <w:r w:rsidR="00AB6C78">
        <w:t xml:space="preserve"> intended to be</w:t>
      </w:r>
      <w:r w:rsidR="008B467D">
        <w:t xml:space="preserve"> covered by the </w:t>
      </w:r>
      <w:r w:rsidRPr="003B2A4F">
        <w:t>fixed bid</w:t>
      </w:r>
      <w:r w:rsidR="00AB6C78">
        <w:t xml:space="preserve"> portion of the contract, and Phase III will be done on a time and materials basis under the same contract.</w:t>
      </w:r>
    </w:p>
    <w:p w:rsidR="00EF41FB" w:rsidRPr="003B2A4F" w:rsidRDefault="00EF41FB" w:rsidP="003B2A4F"/>
    <w:sectPr w:rsidR="00EF41FB" w:rsidRPr="003B2A4F" w:rsidSect="00EF41FB">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244" w:rsidRDefault="00DB3244" w:rsidP="00662CA6">
      <w:r>
        <w:separator/>
      </w:r>
    </w:p>
  </w:endnote>
  <w:endnote w:type="continuationSeparator" w:id="0">
    <w:p w:rsidR="00DB3244" w:rsidRDefault="00DB3244" w:rsidP="00662C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244" w:rsidRDefault="00DB3244" w:rsidP="00662CA6">
      <w:r>
        <w:separator/>
      </w:r>
    </w:p>
  </w:footnote>
  <w:footnote w:type="continuationSeparator" w:id="0">
    <w:p w:rsidR="00DB3244" w:rsidRDefault="00DB3244" w:rsidP="00662C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67D" w:rsidRDefault="008B467D">
    <w:pPr>
      <w:pStyle w:val="Header"/>
    </w:pPr>
    <w:r>
      <w:t xml:space="preserve">MEDC CRM RFP Pre-Bid Meeting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ED5"/>
    <w:multiLevelType w:val="hybridMultilevel"/>
    <w:tmpl w:val="955C5B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822E99"/>
    <w:multiLevelType w:val="hybridMultilevel"/>
    <w:tmpl w:val="D218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F1637"/>
    <w:multiLevelType w:val="hybridMultilevel"/>
    <w:tmpl w:val="6E7E5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126C1"/>
    <w:multiLevelType w:val="hybridMultilevel"/>
    <w:tmpl w:val="D012B8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2EC4DD2"/>
    <w:multiLevelType w:val="hybridMultilevel"/>
    <w:tmpl w:val="850CA0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AC1498"/>
    <w:multiLevelType w:val="hybridMultilevel"/>
    <w:tmpl w:val="1E1C5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6A113D"/>
    <w:multiLevelType w:val="hybridMultilevel"/>
    <w:tmpl w:val="DF6E26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0220"/>
    <w:multiLevelType w:val="hybridMultilevel"/>
    <w:tmpl w:val="A3766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8B7C3A"/>
    <w:multiLevelType w:val="hybridMultilevel"/>
    <w:tmpl w:val="98F4744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EC2252"/>
    <w:multiLevelType w:val="hybridMultilevel"/>
    <w:tmpl w:val="4FBA1E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1"/>
  </w:num>
  <w:num w:numId="4">
    <w:abstractNumId w:val="8"/>
  </w:num>
  <w:num w:numId="5">
    <w:abstractNumId w:val="3"/>
  </w:num>
  <w:num w:numId="6">
    <w:abstractNumId w:val="9"/>
  </w:num>
  <w:num w:numId="7">
    <w:abstractNumId w:val="0"/>
  </w:num>
  <w:num w:numId="8">
    <w:abstractNumId w:val="2"/>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characterSpacingControl w:val="doNotCompress"/>
  <w:footnotePr>
    <w:footnote w:id="-1"/>
    <w:footnote w:id="0"/>
  </w:footnotePr>
  <w:endnotePr>
    <w:endnote w:id="-1"/>
    <w:endnote w:id="0"/>
  </w:endnotePr>
  <w:compat/>
  <w:rsids>
    <w:rsidRoot w:val="00171283"/>
    <w:rsid w:val="00012910"/>
    <w:rsid w:val="000904F8"/>
    <w:rsid w:val="001511DE"/>
    <w:rsid w:val="00160F33"/>
    <w:rsid w:val="00171283"/>
    <w:rsid w:val="00347954"/>
    <w:rsid w:val="003B2A4F"/>
    <w:rsid w:val="003F3049"/>
    <w:rsid w:val="00471E9D"/>
    <w:rsid w:val="004D2702"/>
    <w:rsid w:val="0053078D"/>
    <w:rsid w:val="005B077D"/>
    <w:rsid w:val="005F383F"/>
    <w:rsid w:val="00662CA6"/>
    <w:rsid w:val="006B4B15"/>
    <w:rsid w:val="007B40B5"/>
    <w:rsid w:val="007C02EC"/>
    <w:rsid w:val="00847F13"/>
    <w:rsid w:val="008B467D"/>
    <w:rsid w:val="00971A19"/>
    <w:rsid w:val="00971FB2"/>
    <w:rsid w:val="0097759D"/>
    <w:rsid w:val="00A421D1"/>
    <w:rsid w:val="00AB6C78"/>
    <w:rsid w:val="00AF4E00"/>
    <w:rsid w:val="00BA09B4"/>
    <w:rsid w:val="00BF5C0D"/>
    <w:rsid w:val="00CB7DC6"/>
    <w:rsid w:val="00D67B9D"/>
    <w:rsid w:val="00DB0708"/>
    <w:rsid w:val="00DB3244"/>
    <w:rsid w:val="00E405EE"/>
    <w:rsid w:val="00EE3886"/>
    <w:rsid w:val="00EF41FB"/>
    <w:rsid w:val="00F25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283"/>
    <w:pPr>
      <w:spacing w:after="0" w:line="240" w:lineRule="auto"/>
    </w:pPr>
  </w:style>
  <w:style w:type="paragraph" w:styleId="Heading1">
    <w:name w:val="heading 1"/>
    <w:basedOn w:val="Normal"/>
    <w:next w:val="Normal"/>
    <w:link w:val="Heading1Char"/>
    <w:uiPriority w:val="9"/>
    <w:qFormat/>
    <w:rsid w:val="00160F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283"/>
    <w:pPr>
      <w:ind w:left="720"/>
      <w:contextualSpacing/>
    </w:pPr>
  </w:style>
  <w:style w:type="paragraph" w:styleId="BalloonText">
    <w:name w:val="Balloon Text"/>
    <w:basedOn w:val="Normal"/>
    <w:link w:val="BalloonTextChar"/>
    <w:uiPriority w:val="99"/>
    <w:semiHidden/>
    <w:unhideWhenUsed/>
    <w:rsid w:val="00E405EE"/>
    <w:rPr>
      <w:rFonts w:ascii="Tahoma" w:hAnsi="Tahoma" w:cs="Tahoma"/>
      <w:sz w:val="16"/>
      <w:szCs w:val="16"/>
    </w:rPr>
  </w:style>
  <w:style w:type="character" w:customStyle="1" w:styleId="BalloonTextChar">
    <w:name w:val="Balloon Text Char"/>
    <w:basedOn w:val="DefaultParagraphFont"/>
    <w:link w:val="BalloonText"/>
    <w:uiPriority w:val="99"/>
    <w:semiHidden/>
    <w:rsid w:val="00E405EE"/>
    <w:rPr>
      <w:rFonts w:ascii="Tahoma" w:hAnsi="Tahoma" w:cs="Tahoma"/>
      <w:sz w:val="16"/>
      <w:szCs w:val="16"/>
    </w:rPr>
  </w:style>
  <w:style w:type="paragraph" w:styleId="Header">
    <w:name w:val="header"/>
    <w:basedOn w:val="Normal"/>
    <w:link w:val="HeaderChar"/>
    <w:uiPriority w:val="99"/>
    <w:semiHidden/>
    <w:unhideWhenUsed/>
    <w:rsid w:val="00662CA6"/>
    <w:pPr>
      <w:tabs>
        <w:tab w:val="center" w:pos="4680"/>
        <w:tab w:val="right" w:pos="9360"/>
      </w:tabs>
    </w:pPr>
  </w:style>
  <w:style w:type="character" w:customStyle="1" w:styleId="HeaderChar">
    <w:name w:val="Header Char"/>
    <w:basedOn w:val="DefaultParagraphFont"/>
    <w:link w:val="Header"/>
    <w:uiPriority w:val="99"/>
    <w:semiHidden/>
    <w:rsid w:val="00662CA6"/>
  </w:style>
  <w:style w:type="paragraph" w:styleId="Footer">
    <w:name w:val="footer"/>
    <w:basedOn w:val="Normal"/>
    <w:link w:val="FooterChar"/>
    <w:uiPriority w:val="99"/>
    <w:semiHidden/>
    <w:unhideWhenUsed/>
    <w:rsid w:val="00662CA6"/>
    <w:pPr>
      <w:tabs>
        <w:tab w:val="center" w:pos="4680"/>
        <w:tab w:val="right" w:pos="9360"/>
      </w:tabs>
    </w:pPr>
  </w:style>
  <w:style w:type="character" w:customStyle="1" w:styleId="FooterChar">
    <w:name w:val="Footer Char"/>
    <w:basedOn w:val="DefaultParagraphFont"/>
    <w:link w:val="Footer"/>
    <w:uiPriority w:val="99"/>
    <w:semiHidden/>
    <w:rsid w:val="00662CA6"/>
  </w:style>
  <w:style w:type="character" w:customStyle="1" w:styleId="Heading1Char">
    <w:name w:val="Heading 1 Char"/>
    <w:basedOn w:val="DefaultParagraphFont"/>
    <w:link w:val="Heading1"/>
    <w:uiPriority w:val="9"/>
    <w:rsid w:val="00160F3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60F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160F3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B070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565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PowerPoint_97-2003_Presentation1.ppt"/><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State of Michigan - MEDC</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Gary Platte</cp:lastModifiedBy>
  <cp:revision>2</cp:revision>
  <dcterms:created xsi:type="dcterms:W3CDTF">2010-06-24T19:21:00Z</dcterms:created>
  <dcterms:modified xsi:type="dcterms:W3CDTF">2010-06-24T19:21:00Z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Status">
    <vt:lpwstr>Draft</vt:lpwstr>
  </property>
</Properties>
</file>