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878" w:rsidRPr="00F1171B" w:rsidRDefault="00DE4878" w:rsidP="00DE4878">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01 80 00 – Performance Requirements</w:t>
      </w:r>
      <w:bookmarkStart w:id="0" w:name="_GoBack"/>
      <w:bookmarkEnd w:id="0"/>
    </w:p>
    <w:p w:rsidR="00DE4878" w:rsidRPr="00F1171B" w:rsidRDefault="00DE4878" w:rsidP="00DE4878">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Third Party Verified Certification - LEED Certification</w:t>
      </w:r>
    </w:p>
    <w:p w:rsidR="00DE4878" w:rsidRPr="00F1171B" w:rsidRDefault="00DE4878" w:rsidP="00DE4878">
      <w:pPr>
        <w:spacing w:after="80"/>
        <w:rPr>
          <w:rFonts w:asciiTheme="minorHAnsi" w:hAnsiTheme="minorHAnsi" w:cstheme="minorHAnsi"/>
          <w:sz w:val="22"/>
        </w:rPr>
      </w:pPr>
      <w:r w:rsidRPr="00F1171B">
        <w:rPr>
          <w:rFonts w:asciiTheme="minorHAnsi" w:hAnsiTheme="minorHAnsi" w:cstheme="minorHAnsi"/>
          <w:sz w:val="22"/>
        </w:rPr>
        <w:t>New construction shall be designed and implemented to achieve LEED for New Construction Gold Certification.  Design and construction teams are to provide all necessary services to complete the full certification process.  All costs to achieve certification shall be the responsibility of the project team.</w:t>
      </w:r>
    </w:p>
    <w:p w:rsidR="00DE4878" w:rsidRPr="00F1171B" w:rsidRDefault="00DE4878" w:rsidP="00DE4878">
      <w:pPr>
        <w:spacing w:after="80"/>
        <w:rPr>
          <w:rFonts w:asciiTheme="minorHAnsi" w:hAnsiTheme="minorHAnsi" w:cstheme="minorHAnsi"/>
          <w:b/>
          <w:sz w:val="22"/>
        </w:rPr>
      </w:pPr>
    </w:p>
    <w:p w:rsidR="00DE4878" w:rsidRPr="00F1171B" w:rsidRDefault="00DE4878" w:rsidP="00DE4878">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Performative Modeling</w:t>
      </w:r>
    </w:p>
    <w:p w:rsidR="00DE4878" w:rsidRPr="00F1171B" w:rsidRDefault="00DE4878" w:rsidP="00DE4878">
      <w:pPr>
        <w:spacing w:after="80"/>
        <w:rPr>
          <w:rFonts w:asciiTheme="minorHAnsi" w:hAnsiTheme="minorHAnsi" w:cstheme="minorHAnsi"/>
          <w:sz w:val="22"/>
        </w:rPr>
      </w:pPr>
      <w:r w:rsidRPr="00F1171B">
        <w:rPr>
          <w:rFonts w:asciiTheme="minorHAnsi" w:hAnsiTheme="minorHAnsi" w:cstheme="minorHAnsi"/>
          <w:sz w:val="22"/>
        </w:rPr>
        <w:t xml:space="preserve">With each new construction or major renovation design submittal, the design / construction team shall complete the following iterative modeling at a minimum: </w:t>
      </w:r>
    </w:p>
    <w:p w:rsidR="00DE4878" w:rsidRPr="00F1171B" w:rsidRDefault="00DE4878" w:rsidP="00DE4878">
      <w:pPr>
        <w:numPr>
          <w:ilvl w:val="0"/>
          <w:numId w:val="1"/>
        </w:numPr>
        <w:spacing w:after="80"/>
        <w:rPr>
          <w:rFonts w:asciiTheme="minorHAnsi" w:hAnsiTheme="minorHAnsi" w:cstheme="minorHAnsi"/>
          <w:sz w:val="22"/>
        </w:rPr>
      </w:pPr>
      <w:r w:rsidRPr="00F1171B">
        <w:rPr>
          <w:rFonts w:asciiTheme="minorHAnsi" w:hAnsiTheme="minorHAnsi" w:cstheme="minorHAnsi"/>
          <w:sz w:val="22"/>
        </w:rPr>
        <w:t xml:space="preserve">Predictive Energy Modeling: Site EUI benchmarked against other projects of similar type and size.  </w:t>
      </w:r>
    </w:p>
    <w:p w:rsidR="00DE4878" w:rsidRPr="00F1171B" w:rsidRDefault="00DE4878" w:rsidP="00DE4878">
      <w:pPr>
        <w:numPr>
          <w:ilvl w:val="0"/>
          <w:numId w:val="1"/>
        </w:numPr>
        <w:spacing w:after="80"/>
        <w:rPr>
          <w:rFonts w:asciiTheme="minorHAnsi" w:hAnsiTheme="minorHAnsi" w:cstheme="minorHAnsi"/>
          <w:sz w:val="22"/>
        </w:rPr>
      </w:pPr>
      <w:r w:rsidRPr="00F1171B">
        <w:rPr>
          <w:rFonts w:asciiTheme="minorHAnsi" w:hAnsiTheme="minorHAnsi" w:cstheme="minorHAnsi"/>
          <w:sz w:val="22"/>
        </w:rPr>
        <w:t>Predictive Daylight Modeling: The University prioritizes the use of daylighting in all regularly occupied spaces (unless indicated otherwise programmatically).  While avoiding glare/contrast is necessary, spaces should meet the most current IESNA standards for daylight autonomy (300 – 3000 lux) at the work plane.  Design Teams should demonstrate spatial daylight autonomy through the use of annual computer simulations.</w:t>
      </w:r>
    </w:p>
    <w:p w:rsidR="00DE4878" w:rsidRPr="00F1171B" w:rsidRDefault="00DE4878" w:rsidP="00DE4878">
      <w:pPr>
        <w:numPr>
          <w:ilvl w:val="0"/>
          <w:numId w:val="1"/>
        </w:numPr>
        <w:spacing w:after="80"/>
        <w:rPr>
          <w:rFonts w:asciiTheme="minorHAnsi" w:hAnsiTheme="minorHAnsi" w:cstheme="minorHAnsi"/>
          <w:sz w:val="22"/>
        </w:rPr>
      </w:pPr>
      <w:r w:rsidRPr="00F1171B">
        <w:rPr>
          <w:rFonts w:asciiTheme="minorHAnsi" w:hAnsiTheme="minorHAnsi" w:cstheme="minorHAnsi"/>
          <w:sz w:val="22"/>
        </w:rPr>
        <w:t>Predictive Water Use: For both indoor and outdoor water, the project should be benchmarked against other projects of similar size and type using a theoretical baseline.</w:t>
      </w:r>
    </w:p>
    <w:p w:rsidR="00683E70" w:rsidRDefault="00DE4878"/>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08365C"/>
    <w:multiLevelType w:val="hybridMultilevel"/>
    <w:tmpl w:val="0FD856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878"/>
    <w:rsid w:val="00C0725F"/>
    <w:rsid w:val="00DE4878"/>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B7EC4D-7282-49DD-B501-ABDDA716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878"/>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DE4878"/>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E4878"/>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4878"/>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DE4878"/>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2019-11-04T20:16:00Z</dcterms:created>
  <dcterms:modified xsi:type="dcterms:W3CDTF">2019-11-04T20:17:00Z</dcterms:modified>
</cp:coreProperties>
</file>