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E06" w:rsidRPr="00F1171B" w:rsidRDefault="002E5E06" w:rsidP="002E5E06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23 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05 13 - Meters and Gages for HVAC Piping</w:t>
      </w:r>
    </w:p>
    <w:p w:rsidR="002E5E06" w:rsidRPr="00F1171B" w:rsidRDefault="002E5E06" w:rsidP="002E5E06">
      <w:pPr>
        <w:tabs>
          <w:tab w:val="left" w:pos="720"/>
          <w:tab w:val="left" w:leader="underscore" w:pos="8640"/>
        </w:tabs>
        <w:rPr>
          <w:rFonts w:asciiTheme="minorHAnsi" w:hAnsiTheme="minorHAnsi" w:cstheme="minorHAnsi"/>
          <w:bCs/>
          <w:color w:val="0000FF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Requirements:  Refer to CSU Building Metering Guide.  Website:</w:t>
      </w:r>
      <w:r w:rsidRPr="00F1171B">
        <w:rPr>
          <w:rFonts w:asciiTheme="minorHAnsi" w:hAnsiTheme="minorHAnsi" w:cstheme="minorHAnsi"/>
          <w:bCs/>
          <w:color w:val="0000FF"/>
          <w:sz w:val="22"/>
        </w:rPr>
        <w:t xml:space="preserve">  </w:t>
      </w:r>
      <w:hyperlink r:id="rId5" w:history="1">
        <w:r w:rsidRPr="00F1171B">
          <w:rPr>
            <w:rStyle w:val="Hyperlink"/>
            <w:rFonts w:asciiTheme="minorHAnsi" w:hAnsiTheme="minorHAnsi" w:cstheme="minorHAnsi"/>
            <w:bCs/>
            <w:sz w:val="22"/>
          </w:rPr>
          <w:t>http://www.calstate.edu/cpdc/ae/gsf/documents/CSU_Metering_Guide.pdf</w:t>
        </w:r>
      </w:hyperlink>
      <w:r w:rsidRPr="00F1171B">
        <w:rPr>
          <w:rFonts w:asciiTheme="minorHAnsi" w:hAnsiTheme="minorHAnsi" w:cstheme="minorHAnsi"/>
          <w:bCs/>
          <w:color w:val="0000FF"/>
          <w:sz w:val="22"/>
        </w:rPr>
        <w:t xml:space="preserve"> </w:t>
      </w:r>
    </w:p>
    <w:p w:rsidR="002E5E06" w:rsidRPr="00F1171B" w:rsidRDefault="002E5E06" w:rsidP="002E5E06">
      <w:pPr>
        <w:tabs>
          <w:tab w:val="left" w:pos="720"/>
          <w:tab w:val="left" w:leader="underscore" w:pos="8640"/>
        </w:tabs>
        <w:jc w:val="both"/>
        <w:rPr>
          <w:rFonts w:asciiTheme="minorHAnsi" w:hAnsiTheme="minorHAnsi" w:cstheme="minorHAnsi"/>
          <w:bCs/>
          <w:sz w:val="22"/>
        </w:rPr>
      </w:pPr>
    </w:p>
    <w:p w:rsidR="002E5E06" w:rsidRPr="00F1171B" w:rsidRDefault="002E5E06" w:rsidP="002E5E06">
      <w:pPr>
        <w:tabs>
          <w:tab w:val="left" w:pos="720"/>
          <w:tab w:val="left" w:leader="underscore" w:pos="8640"/>
        </w:tabs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Intent:  Metering to meet the performance-based LEED NC/EB Energy &amp; Atmosphere Credit – </w:t>
      </w:r>
      <w:r w:rsidRPr="00F1171B">
        <w:rPr>
          <w:rFonts w:asciiTheme="minorHAnsi" w:hAnsiTheme="minorHAnsi" w:cstheme="minorHAnsi"/>
          <w:iCs/>
          <w:sz w:val="22"/>
        </w:rPr>
        <w:t xml:space="preserve">Building-level energy metering </w:t>
      </w:r>
      <w:r w:rsidRPr="00F1171B">
        <w:rPr>
          <w:rFonts w:asciiTheme="minorHAnsi" w:hAnsiTheme="minorHAnsi" w:cstheme="minorHAnsi"/>
          <w:sz w:val="22"/>
        </w:rPr>
        <w:t xml:space="preserve">standards for ongoing accountability and optimization of building energy and water consumption performance over time.  </w:t>
      </w:r>
    </w:p>
    <w:p w:rsidR="002E5E06" w:rsidRPr="00F1171B" w:rsidRDefault="002E5E06" w:rsidP="002E5E06">
      <w:pPr>
        <w:tabs>
          <w:tab w:val="left" w:leader="underscore" w:pos="8640"/>
        </w:tabs>
        <w:jc w:val="both"/>
        <w:rPr>
          <w:rFonts w:asciiTheme="minorHAnsi" w:hAnsiTheme="minorHAnsi" w:cstheme="minorHAnsi"/>
          <w:color w:val="000000"/>
          <w:sz w:val="22"/>
        </w:rPr>
      </w:pPr>
    </w:p>
    <w:p w:rsidR="002E5E06" w:rsidRPr="00F1171B" w:rsidRDefault="002E5E06" w:rsidP="002E5E06">
      <w:pPr>
        <w:tabs>
          <w:tab w:val="left" w:leader="underscore" w:pos="8640"/>
        </w:tabs>
        <w:jc w:val="both"/>
        <w:rPr>
          <w:rFonts w:asciiTheme="minorHAnsi" w:hAnsiTheme="minorHAnsi" w:cstheme="minorHAnsi"/>
          <w:color w:val="000000"/>
          <w:sz w:val="22"/>
        </w:rPr>
      </w:pPr>
      <w:r w:rsidRPr="00F1171B">
        <w:rPr>
          <w:rFonts w:asciiTheme="minorHAnsi" w:hAnsiTheme="minorHAnsi" w:cstheme="minorHAnsi"/>
          <w:color w:val="000000"/>
          <w:sz w:val="22"/>
        </w:rPr>
        <w:t>Refer to and coordinate with Section 25 00 00 – Integrated Automation.</w:t>
      </w:r>
    </w:p>
    <w:p w:rsidR="002E5E06" w:rsidRPr="00F1171B" w:rsidRDefault="002E5E06" w:rsidP="002E5E06">
      <w:pPr>
        <w:tabs>
          <w:tab w:val="left" w:pos="1440"/>
          <w:tab w:val="left" w:leader="underscore" w:pos="8640"/>
        </w:tabs>
        <w:jc w:val="both"/>
        <w:rPr>
          <w:rFonts w:asciiTheme="minorHAnsi" w:hAnsiTheme="minorHAnsi" w:cstheme="minorHAnsi"/>
          <w:sz w:val="22"/>
        </w:rPr>
      </w:pPr>
    </w:p>
    <w:p w:rsidR="002E5E06" w:rsidRPr="00F1171B" w:rsidRDefault="002E5E06" w:rsidP="002E5E06">
      <w:pPr>
        <w:tabs>
          <w:tab w:val="left" w:pos="1440"/>
          <w:tab w:val="left" w:leader="underscore" w:pos="8640"/>
        </w:tabs>
        <w:jc w:val="both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sz w:val="22"/>
        </w:rPr>
        <w:t>Metering Equipment:  Allow Campus the ability to identify problems and achieve improved system performance.  Select meters for future connection to a remote-read automated metering network.</w:t>
      </w:r>
    </w:p>
    <w:p w:rsidR="002E5E06" w:rsidRPr="00F1171B" w:rsidRDefault="002E5E06" w:rsidP="002E5E06">
      <w:pPr>
        <w:tabs>
          <w:tab w:val="left" w:pos="1440"/>
          <w:tab w:val="left" w:leader="underscore" w:pos="8640"/>
        </w:tabs>
        <w:rPr>
          <w:rFonts w:asciiTheme="minorHAnsi" w:hAnsiTheme="minorHAnsi" w:cstheme="minorHAnsi"/>
          <w:sz w:val="22"/>
        </w:rPr>
      </w:pPr>
    </w:p>
    <w:p w:rsidR="002E5E06" w:rsidRPr="00F1171B" w:rsidRDefault="002E5E06" w:rsidP="002E5E06">
      <w:pPr>
        <w:tabs>
          <w:tab w:val="left" w:pos="1440"/>
          <w:tab w:val="left" w:leader="underscore" w:pos="8640"/>
        </w:tabs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BTU meter shall be installed at each building and for each system (DHW and HHW).  </w:t>
      </w:r>
      <w:proofErr w:type="spellStart"/>
      <w:r w:rsidRPr="00F1171B">
        <w:rPr>
          <w:rFonts w:asciiTheme="minorHAnsi" w:hAnsiTheme="minorHAnsi" w:cstheme="minorHAnsi"/>
          <w:sz w:val="22"/>
        </w:rPr>
        <w:t>Controlotron</w:t>
      </w:r>
      <w:proofErr w:type="spellEnd"/>
      <w:r w:rsidRPr="00F1171B">
        <w:rPr>
          <w:rFonts w:asciiTheme="minorHAnsi" w:hAnsiTheme="minorHAnsi" w:cstheme="minorHAnsi"/>
          <w:sz w:val="22"/>
        </w:rPr>
        <w:t>, EMCO ST30 Ultrasonic, or approved equal.</w:t>
      </w:r>
    </w:p>
    <w:p w:rsidR="002E5E06" w:rsidRPr="00F1171B" w:rsidRDefault="002E5E06" w:rsidP="002E5E06">
      <w:pPr>
        <w:tabs>
          <w:tab w:val="left" w:pos="1440"/>
          <w:tab w:val="left" w:leader="underscore" w:pos="8640"/>
        </w:tabs>
        <w:jc w:val="both"/>
        <w:rPr>
          <w:rFonts w:asciiTheme="minorHAnsi" w:hAnsiTheme="minorHAnsi" w:cstheme="minorHAnsi"/>
          <w:sz w:val="22"/>
        </w:rPr>
      </w:pPr>
    </w:p>
    <w:p w:rsidR="002E5E06" w:rsidRPr="00F1171B" w:rsidRDefault="002E5E06" w:rsidP="002E5E06">
      <w:pPr>
        <w:tabs>
          <w:tab w:val="left" w:pos="1440"/>
          <w:tab w:val="left" w:leader="underscore" w:pos="8640"/>
        </w:tabs>
        <w:jc w:val="both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sz w:val="22"/>
        </w:rPr>
        <w:t>Flow Meters:</w:t>
      </w:r>
    </w:p>
    <w:p w:rsidR="002E5E06" w:rsidRPr="00F1171B" w:rsidRDefault="002E5E06" w:rsidP="002E5E06">
      <w:pPr>
        <w:pStyle w:val="ListParagraph"/>
        <w:numPr>
          <w:ilvl w:val="0"/>
          <w:numId w:val="1"/>
        </w:numPr>
        <w:ind w:left="36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Function:  Non-invasive flow measurement with a transmitter with 2-line backlit display with 4-button keypad.  Connect to Campus Energy Management System (EMS) by Siemens.</w:t>
      </w:r>
    </w:p>
    <w:p w:rsidR="002E5E06" w:rsidRPr="00F1171B" w:rsidRDefault="002E5E06" w:rsidP="002E5E06">
      <w:pPr>
        <w:pStyle w:val="ListParagraph"/>
        <w:numPr>
          <w:ilvl w:val="0"/>
          <w:numId w:val="1"/>
        </w:numPr>
        <w:ind w:left="36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sz w:val="22"/>
        </w:rPr>
        <w:t>Execution</w:t>
      </w:r>
      <w:r w:rsidRPr="00F1171B">
        <w:rPr>
          <w:rFonts w:asciiTheme="minorHAnsi" w:hAnsiTheme="minorHAnsi" w:cstheme="minorHAnsi"/>
          <w:i/>
          <w:iCs/>
          <w:sz w:val="22"/>
        </w:rPr>
        <w:t xml:space="preserve">:  </w:t>
      </w:r>
      <w:r w:rsidRPr="00F1171B">
        <w:rPr>
          <w:rFonts w:asciiTheme="minorHAnsi" w:hAnsiTheme="minorHAnsi" w:cstheme="minorHAnsi"/>
          <w:sz w:val="22"/>
        </w:rPr>
        <w:t>Locate on straight run of pipe with no flow interruptions such as valves or direction change.  Installed location shall typically have straight uninterrupted pipe for 10 diameters upstream and 5 diameters downstream.  Consult manufacturer’s installation instructions for specific installation requirements and other piping configurations.</w:t>
      </w:r>
    </w:p>
    <w:p w:rsidR="002E5E06" w:rsidRPr="00F1171B" w:rsidRDefault="002E5E06" w:rsidP="002E5E06">
      <w:pPr>
        <w:pStyle w:val="ListParagraph"/>
        <w:numPr>
          <w:ilvl w:val="0"/>
          <w:numId w:val="1"/>
        </w:numPr>
        <w:ind w:left="36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sz w:val="22"/>
        </w:rPr>
        <w:t>Website</w:t>
      </w:r>
      <w:r w:rsidRPr="00F1171B">
        <w:rPr>
          <w:rFonts w:asciiTheme="minorHAnsi" w:hAnsiTheme="minorHAnsi" w:cstheme="minorHAnsi"/>
          <w:color w:val="0000FF"/>
          <w:sz w:val="22"/>
        </w:rPr>
        <w:t xml:space="preserve">:  </w:t>
      </w:r>
      <w:hyperlink r:id="rId6" w:history="1">
        <w:r w:rsidRPr="00F1171B">
          <w:rPr>
            <w:rStyle w:val="Hyperlink"/>
            <w:rFonts w:asciiTheme="minorHAnsi" w:hAnsiTheme="minorHAnsi" w:cstheme="minorHAnsi"/>
            <w:sz w:val="22"/>
          </w:rPr>
          <w:t>http://www.emcoflow.com/em_prods/sono_trak.aspx</w:t>
        </w:r>
      </w:hyperlink>
    </w:p>
    <w:p w:rsidR="002E5E06" w:rsidRPr="00F1171B" w:rsidRDefault="002E5E06" w:rsidP="002E5E06">
      <w:pPr>
        <w:tabs>
          <w:tab w:val="left" w:leader="underscore" w:pos="8640"/>
        </w:tabs>
        <w:jc w:val="both"/>
        <w:rPr>
          <w:rFonts w:asciiTheme="minorHAnsi" w:hAnsiTheme="minorHAnsi" w:cstheme="minorHAnsi"/>
          <w:bCs/>
          <w:sz w:val="22"/>
        </w:rPr>
      </w:pPr>
    </w:p>
    <w:p w:rsidR="002E5E06" w:rsidRPr="00F1171B" w:rsidRDefault="002E5E06" w:rsidP="002E5E06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Keys for Cabinets and Padlocks:  </w:t>
      </w:r>
    </w:p>
    <w:p w:rsidR="002E5E06" w:rsidRPr="00F1171B" w:rsidRDefault="002E5E06" w:rsidP="002E5E06">
      <w:pPr>
        <w:pStyle w:val="ListParagraph"/>
        <w:keepNext/>
        <w:numPr>
          <w:ilvl w:val="0"/>
          <w:numId w:val="2"/>
        </w:numPr>
        <w:tabs>
          <w:tab w:val="left" w:leader="underscore" w:pos="8640"/>
        </w:tabs>
        <w:jc w:val="both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Cabinets and Equipment:  Provide 2 keys per panel.  Coordinate with Section 08 06 05 – Key Schedule.</w:t>
      </w:r>
    </w:p>
    <w:p w:rsidR="002E5E06" w:rsidRPr="00F1171B" w:rsidRDefault="002E5E06" w:rsidP="002E5E06">
      <w:pPr>
        <w:pStyle w:val="ListParagraph"/>
        <w:keepNext/>
        <w:numPr>
          <w:ilvl w:val="0"/>
          <w:numId w:val="2"/>
        </w:numPr>
        <w:tabs>
          <w:tab w:val="left" w:leader="underscore" w:pos="8640"/>
        </w:tabs>
        <w:jc w:val="both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Padlocks:  Coordinate with Section 08 06 05 – Key Schedule.</w:t>
      </w:r>
    </w:p>
    <w:p w:rsidR="002E5E06" w:rsidRPr="00F1171B" w:rsidRDefault="002E5E06" w:rsidP="002E5E06">
      <w:pPr>
        <w:pStyle w:val="ListParagraph"/>
        <w:numPr>
          <w:ilvl w:val="0"/>
          <w:numId w:val="2"/>
        </w:numPr>
        <w:tabs>
          <w:tab w:val="left" w:pos="1440"/>
          <w:tab w:val="left" w:leader="underscore" w:pos="8640"/>
        </w:tabs>
        <w:jc w:val="both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Closeout Submittal: Provide panel keys separated and labeled.  Provide location, room number, quantity, manufacturer name and model numbers of keys, and coordinate closeout submittal with Section 08 06 05 – Key Schedule.</w:t>
      </w:r>
    </w:p>
    <w:p w:rsidR="002E5E06" w:rsidRPr="00F1171B" w:rsidRDefault="002E5E06" w:rsidP="002E5E06">
      <w:pPr>
        <w:rPr>
          <w:rFonts w:asciiTheme="minorHAnsi" w:hAnsiTheme="minorHAnsi" w:cstheme="minorHAnsi"/>
          <w:b/>
          <w:bCs/>
          <w:sz w:val="22"/>
        </w:rPr>
      </w:pPr>
    </w:p>
    <w:p w:rsidR="00683E70" w:rsidRDefault="002E5E06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2CE3FF3"/>
    <w:multiLevelType w:val="hybridMultilevel"/>
    <w:tmpl w:val="FD1A8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E06"/>
    <w:rsid w:val="002E5E06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37B7C9-8D3B-427D-8DD2-87655D23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E06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E06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E06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5E06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5E06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2E5E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5E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mcoflow.com/em_prods/sono_trak.aspx" TargetMode="External"/><Relationship Id="rId5" Type="http://schemas.openxmlformats.org/officeDocument/2006/relationships/hyperlink" Target="http://www.calstate.edu/cpdc/ae/gsf/documents/CSU_Metering_Guid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2019-11-04T20:53:00Z</dcterms:created>
  <dcterms:modified xsi:type="dcterms:W3CDTF">2019-11-04T20:54:00Z</dcterms:modified>
</cp:coreProperties>
</file>