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0F6C" w:rsidRPr="00F1171B" w:rsidRDefault="005A0F6C" w:rsidP="005A0F6C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bookmarkStart w:id="0" w:name="_GoBack"/>
      <w:r w:rsidRPr="00F1171B">
        <w:rPr>
          <w:rFonts w:asciiTheme="minorHAnsi" w:hAnsiTheme="minorHAnsi" w:cstheme="minorHAnsi"/>
          <w:sz w:val="22"/>
          <w:szCs w:val="22"/>
        </w:rPr>
        <w:t>23 73 00 - Indoor Central-Station Air-Handling Units</w:t>
      </w:r>
    </w:p>
    <w:bookmarkEnd w:id="0"/>
    <w:p w:rsidR="005A0F6C" w:rsidRPr="00F1171B" w:rsidRDefault="005A0F6C" w:rsidP="005A0F6C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Campus Preferred Manufacturers:  Trane, or Pace.</w:t>
      </w:r>
    </w:p>
    <w:p w:rsidR="005A0F6C" w:rsidRPr="00F1171B" w:rsidRDefault="005A0F6C" w:rsidP="005A0F6C">
      <w:pPr>
        <w:rPr>
          <w:rFonts w:asciiTheme="minorHAnsi" w:hAnsiTheme="minorHAnsi" w:cstheme="minorHAnsi"/>
          <w:sz w:val="22"/>
        </w:rPr>
      </w:pPr>
    </w:p>
    <w:p w:rsidR="005A0F6C" w:rsidRPr="00F1171B" w:rsidRDefault="005A0F6C" w:rsidP="005A0F6C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Heating and Cooling Coils: 4-Pipe verses 2-Pipe Interfaces:  </w:t>
      </w:r>
    </w:p>
    <w:p w:rsidR="005A0F6C" w:rsidRPr="00F1171B" w:rsidRDefault="005A0F6C" w:rsidP="005A0F6C">
      <w:pPr>
        <w:rPr>
          <w:rFonts w:asciiTheme="minorHAnsi" w:hAnsiTheme="minorHAnsi" w:cstheme="minorHAnsi"/>
          <w:sz w:val="22"/>
        </w:rPr>
      </w:pPr>
    </w:p>
    <w:p w:rsidR="005A0F6C" w:rsidRPr="00F1171B" w:rsidRDefault="005A0F6C" w:rsidP="005A0F6C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Campus strongly prefers to have separate heating and cooling coils.  However, if coils serve both heating and cooling in a 2-pipe configuration, control and isolation valves shall prevent water flow from one closed loop system to the other using positive isolation switchover valves (such as motorized ball valves).</w:t>
      </w:r>
    </w:p>
    <w:p w:rsidR="005A0F6C" w:rsidRPr="00F1171B" w:rsidRDefault="005A0F6C" w:rsidP="005A0F6C">
      <w:pPr>
        <w:rPr>
          <w:rFonts w:asciiTheme="minorHAnsi" w:hAnsiTheme="minorHAnsi" w:cstheme="minorHAnsi"/>
          <w:sz w:val="22"/>
        </w:rPr>
      </w:pPr>
    </w:p>
    <w:p w:rsidR="005A0F6C" w:rsidRPr="00F1171B" w:rsidRDefault="005A0F6C" w:rsidP="005A0F6C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Summary:  Related Sections:  Section 23 05 53.13 – Identification for Plumbing and HVAC Equipment.</w:t>
      </w:r>
    </w:p>
    <w:p w:rsidR="005A0F6C" w:rsidRPr="00F1171B" w:rsidRDefault="005A0F6C" w:rsidP="005A0F6C">
      <w:pPr>
        <w:spacing w:after="80"/>
        <w:rPr>
          <w:rFonts w:asciiTheme="minorHAnsi" w:hAnsiTheme="minorHAnsi" w:cstheme="minorHAnsi"/>
          <w:b/>
          <w:bCs/>
          <w:sz w:val="22"/>
        </w:rPr>
      </w:pPr>
    </w:p>
    <w:p w:rsidR="00683E70" w:rsidRDefault="005A0F6C"/>
    <w:sectPr w:rsidR="0068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F6C"/>
    <w:rsid w:val="005A0F6C"/>
    <w:rsid w:val="00C0725F"/>
    <w:rsid w:val="00E0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0D6AA5-FB81-4ABC-9853-383D4F971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0F6C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0F6C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A0F6C"/>
    <w:rPr>
      <w:rFonts w:ascii="Arial" w:eastAsiaTheme="majorEastAsia" w:hAnsi="Arial" w:cstheme="majorBidi"/>
      <w:b/>
      <w:sz w:val="20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AFD</cp:lastModifiedBy>
  <cp:revision>1</cp:revision>
  <dcterms:created xsi:type="dcterms:W3CDTF">2019-11-04T20:58:00Z</dcterms:created>
  <dcterms:modified xsi:type="dcterms:W3CDTF">2019-11-04T20:58:00Z</dcterms:modified>
</cp:coreProperties>
</file>