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2EC8" w:rsidRPr="00F1171B" w:rsidRDefault="009B2EC8" w:rsidP="009B2EC8">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23 09 23 - Direct-Digital Control System for HVAC:</w:t>
      </w:r>
    </w:p>
    <w:p w:rsidR="009B2EC8" w:rsidRPr="00F1171B" w:rsidRDefault="009B2EC8" w:rsidP="009B2EC8">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Room Numbering Standard:  </w:t>
      </w:r>
    </w:p>
    <w:p w:rsidR="009B2EC8" w:rsidRDefault="009B2EC8" w:rsidP="009B2EC8">
      <w:pPr>
        <w:rPr>
          <w:rFonts w:asciiTheme="minorHAnsi" w:hAnsiTheme="minorHAnsi" w:cstheme="minorHAnsi"/>
          <w:sz w:val="22"/>
        </w:rPr>
      </w:pPr>
      <w:r w:rsidRPr="00F1171B">
        <w:rPr>
          <w:rFonts w:asciiTheme="minorHAnsi" w:hAnsiTheme="minorHAnsi" w:cstheme="minorHAnsi"/>
          <w:sz w:val="22"/>
        </w:rPr>
        <w:t>Siemens shall confirm room numbering with Project Manager prior to initiating work.  Room Numbering Standard are established that must be used on all documents developed for a project.  The Architect shall submit the floor plans showing the proposed room numbers to the Project Manager for review and approval.  It is critical that the room numbering scheme be established and finalized before Siemens begins creating the point database, as room numbers are integrated into the point names in the Energy Management System.  Renumbering of rooms late in the design process can create s</w:t>
      </w:r>
      <w:r w:rsidR="00334BE4">
        <w:rPr>
          <w:rFonts w:asciiTheme="minorHAnsi" w:hAnsiTheme="minorHAnsi" w:cstheme="minorHAnsi"/>
          <w:sz w:val="22"/>
        </w:rPr>
        <w:t>ignificant rework by Siemens.</w:t>
      </w:r>
    </w:p>
    <w:p w:rsidR="00334BE4" w:rsidRDefault="00334BE4" w:rsidP="009B2EC8">
      <w:pPr>
        <w:rPr>
          <w:rFonts w:asciiTheme="minorHAnsi" w:hAnsiTheme="minorHAnsi" w:cstheme="minorHAnsi"/>
          <w:sz w:val="22"/>
        </w:rPr>
      </w:pPr>
    </w:p>
    <w:p w:rsidR="00334BE4" w:rsidRDefault="00334BE4" w:rsidP="00334BE4">
      <w:pPr>
        <w:pStyle w:val="Heading3"/>
        <w:spacing w:before="0"/>
        <w:rPr>
          <w:rFonts w:asciiTheme="minorHAnsi" w:hAnsiTheme="minorHAnsi" w:cstheme="minorHAnsi"/>
          <w:sz w:val="22"/>
          <w:szCs w:val="22"/>
        </w:rPr>
      </w:pPr>
      <w:r w:rsidRPr="00334BE4">
        <w:rPr>
          <w:rFonts w:asciiTheme="minorHAnsi" w:hAnsiTheme="minorHAnsi" w:cstheme="minorHAnsi"/>
          <w:sz w:val="22"/>
          <w:szCs w:val="22"/>
        </w:rPr>
        <w:t>Siemens Control Point</w:t>
      </w:r>
      <w:r w:rsidRPr="00F1171B">
        <w:rPr>
          <w:rFonts w:asciiTheme="minorHAnsi" w:hAnsiTheme="minorHAnsi" w:cstheme="minorHAnsi"/>
          <w:sz w:val="22"/>
          <w:szCs w:val="22"/>
        </w:rPr>
        <w:t xml:space="preserve"> Numbering Standard:</w:t>
      </w:r>
    </w:p>
    <w:p w:rsidR="00334BE4" w:rsidRPr="00334BE4" w:rsidRDefault="00334BE4" w:rsidP="00334BE4">
      <w:r>
        <w:t xml:space="preserve">Siemens, when programming controls, shall name all points in accordance with the naming convention specified in the document titled </w:t>
      </w:r>
      <w:hyperlink r:id="rId4" w:history="1">
        <w:r w:rsidRPr="00334BE4">
          <w:rPr>
            <w:rStyle w:val="Hyperlink"/>
          </w:rPr>
          <w:t>HVAC CONTROLS - POINT NAMING 2r3.xls.</w:t>
        </w:r>
      </w:hyperlink>
      <w:r>
        <w:t xml:space="preserve">  </w:t>
      </w:r>
    </w:p>
    <w:p w:rsidR="009B2EC8" w:rsidRPr="00F1171B" w:rsidRDefault="009B2EC8" w:rsidP="009B2EC8">
      <w:pPr>
        <w:rPr>
          <w:rFonts w:asciiTheme="minorHAnsi" w:hAnsiTheme="minorHAnsi" w:cstheme="minorHAnsi"/>
          <w:sz w:val="22"/>
        </w:rPr>
      </w:pPr>
    </w:p>
    <w:p w:rsidR="009B2EC8" w:rsidRPr="00F1171B" w:rsidRDefault="009B2EC8" w:rsidP="009B2EC8">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Acceptable Control Contractor: </w:t>
      </w:r>
    </w:p>
    <w:p w:rsidR="009B2EC8" w:rsidRPr="00F1171B" w:rsidRDefault="009B2EC8" w:rsidP="009B2EC8">
      <w:pPr>
        <w:rPr>
          <w:rFonts w:asciiTheme="minorHAnsi" w:hAnsiTheme="minorHAnsi" w:cstheme="minorHAnsi"/>
          <w:sz w:val="22"/>
        </w:rPr>
      </w:pPr>
      <w:r w:rsidRPr="00F1171B">
        <w:rPr>
          <w:rFonts w:asciiTheme="minorHAnsi" w:hAnsiTheme="minorHAnsi" w:cstheme="minorHAnsi"/>
          <w:sz w:val="22"/>
        </w:rPr>
        <w:t>Campus Standard:  Siemens Apogee (no substitutions).</w:t>
      </w:r>
    </w:p>
    <w:p w:rsidR="009B2EC8" w:rsidRPr="00F1171B" w:rsidRDefault="009B2EC8" w:rsidP="009B2EC8">
      <w:pPr>
        <w:rPr>
          <w:rFonts w:asciiTheme="minorHAnsi" w:hAnsiTheme="minorHAnsi" w:cstheme="minorHAnsi"/>
          <w:sz w:val="22"/>
        </w:rPr>
      </w:pPr>
    </w:p>
    <w:p w:rsidR="009B2EC8" w:rsidRPr="00F1171B" w:rsidRDefault="009B2EC8" w:rsidP="009B2EC8">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System Description:</w:t>
      </w:r>
    </w:p>
    <w:p w:rsidR="009B2EC8" w:rsidRPr="00F1171B" w:rsidRDefault="009B2EC8" w:rsidP="009B2EC8">
      <w:pPr>
        <w:rPr>
          <w:rFonts w:asciiTheme="minorHAnsi" w:hAnsiTheme="minorHAnsi" w:cstheme="minorHAnsi"/>
          <w:sz w:val="22"/>
        </w:rPr>
      </w:pPr>
      <w:r w:rsidRPr="00F1171B">
        <w:rPr>
          <w:rFonts w:asciiTheme="minorHAnsi" w:hAnsiTheme="minorHAnsi" w:cstheme="minorHAnsi"/>
          <w:sz w:val="22"/>
        </w:rPr>
        <w:t>Connect to:  Existing Energy Management System by Siemens.</w:t>
      </w:r>
    </w:p>
    <w:p w:rsidR="009B2EC8" w:rsidRPr="00F1171B" w:rsidRDefault="009B2EC8" w:rsidP="009B2EC8">
      <w:pPr>
        <w:rPr>
          <w:rFonts w:asciiTheme="minorHAnsi" w:hAnsiTheme="minorHAnsi" w:cstheme="minorHAnsi"/>
          <w:sz w:val="22"/>
        </w:rPr>
      </w:pPr>
    </w:p>
    <w:p w:rsidR="009B2EC8" w:rsidRPr="00F1171B" w:rsidRDefault="009B2EC8" w:rsidP="009B2EC8">
      <w:pPr>
        <w:rPr>
          <w:rFonts w:asciiTheme="minorHAnsi" w:hAnsiTheme="minorHAnsi" w:cstheme="minorHAnsi"/>
          <w:sz w:val="22"/>
        </w:rPr>
      </w:pPr>
      <w:r w:rsidRPr="00F1171B">
        <w:rPr>
          <w:rFonts w:asciiTheme="minorHAnsi" w:hAnsiTheme="minorHAnsi" w:cstheme="minorHAnsi"/>
          <w:sz w:val="22"/>
        </w:rPr>
        <w:t xml:space="preserve">Function:  Control system 100 % DDC (Direct Digital Control).  Modular Stand-along DDCP (Direct Digital Control Panel) capable of future BAS (Building Automation System) architecture with low/medium speed communication networks.  BAS architecture to consist of communication network, user workstations, modular design DDCP with addressable and modifiable points from user workstations, or from master DDCP user interface panels; and be expandable for addition of hardware and software without removal of existing DDCP, sensors, actuators, and communication networks.  Support and be capable of additional workstations, to systems maximum node capacity.  System intelligence to allow user workstation(s) to program controls, perform analysis on field data, and generate maintenance and operational reports; and provide permanent program and data storage.  </w:t>
      </w:r>
    </w:p>
    <w:p w:rsidR="009B2EC8" w:rsidRPr="00F1171B" w:rsidRDefault="009B2EC8" w:rsidP="009B2EC8">
      <w:pPr>
        <w:rPr>
          <w:rFonts w:asciiTheme="minorHAnsi" w:hAnsiTheme="minorHAnsi" w:cstheme="minorHAnsi"/>
          <w:sz w:val="22"/>
        </w:rPr>
      </w:pPr>
    </w:p>
    <w:p w:rsidR="009B2EC8" w:rsidRPr="00F1171B" w:rsidRDefault="009B2EC8" w:rsidP="009B2EC8">
      <w:pPr>
        <w:rPr>
          <w:rFonts w:asciiTheme="minorHAnsi" w:hAnsiTheme="minorHAnsi" w:cstheme="minorHAnsi"/>
          <w:sz w:val="22"/>
        </w:rPr>
      </w:pPr>
      <w:r w:rsidRPr="00F1171B">
        <w:rPr>
          <w:rFonts w:asciiTheme="minorHAnsi" w:hAnsiTheme="minorHAnsi" w:cstheme="minorHAnsi"/>
          <w:sz w:val="22"/>
        </w:rPr>
        <w:t>Communication:  Connect control panels to Campus EMS network via Ethernet.  Provide each panel with an adjacent 2-port Ethernet face plate.  Coordinate with Campus IT for available ports and IP addressing.</w:t>
      </w:r>
    </w:p>
    <w:p w:rsidR="009B2EC8" w:rsidRPr="00F1171B" w:rsidRDefault="009B2EC8" w:rsidP="009B2EC8">
      <w:pPr>
        <w:rPr>
          <w:rFonts w:asciiTheme="minorHAnsi" w:hAnsiTheme="minorHAnsi" w:cstheme="minorHAnsi"/>
          <w:sz w:val="22"/>
        </w:rPr>
      </w:pPr>
    </w:p>
    <w:p w:rsidR="009B2EC8" w:rsidRPr="00F1171B" w:rsidRDefault="009B2EC8" w:rsidP="009B2EC8">
      <w:pPr>
        <w:rPr>
          <w:rFonts w:asciiTheme="minorHAnsi" w:hAnsiTheme="minorHAnsi" w:cstheme="minorHAnsi"/>
          <w:sz w:val="22"/>
        </w:rPr>
      </w:pPr>
      <w:r w:rsidRPr="00F1171B">
        <w:rPr>
          <w:rFonts w:asciiTheme="minorHAnsi" w:hAnsiTheme="minorHAnsi" w:cstheme="minorHAnsi"/>
          <w:sz w:val="22"/>
        </w:rPr>
        <w:t>Ethernet cable length (from Ethernet switch in IT closet) shall be 328 feet (100 meters), maximum.</w:t>
      </w:r>
    </w:p>
    <w:p w:rsidR="009B2EC8" w:rsidRPr="00F1171B" w:rsidRDefault="009B2EC8" w:rsidP="009B2EC8">
      <w:pPr>
        <w:rPr>
          <w:rFonts w:asciiTheme="minorHAnsi" w:hAnsiTheme="minorHAnsi" w:cstheme="minorHAnsi"/>
          <w:sz w:val="22"/>
        </w:rPr>
      </w:pPr>
    </w:p>
    <w:p w:rsidR="009B2EC8" w:rsidRPr="00F1171B" w:rsidRDefault="009B2EC8" w:rsidP="009B2EC8">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Field Panels:  </w:t>
      </w:r>
    </w:p>
    <w:p w:rsidR="009B2EC8" w:rsidRPr="00F1171B" w:rsidRDefault="009B2EC8" w:rsidP="009B2EC8">
      <w:pPr>
        <w:rPr>
          <w:rFonts w:asciiTheme="minorHAnsi" w:hAnsiTheme="minorHAnsi" w:cstheme="minorHAnsi"/>
          <w:sz w:val="22"/>
        </w:rPr>
      </w:pPr>
      <w:r w:rsidRPr="00F1171B">
        <w:rPr>
          <w:rFonts w:asciiTheme="minorHAnsi" w:hAnsiTheme="minorHAnsi" w:cstheme="minorHAnsi"/>
          <w:sz w:val="22"/>
        </w:rPr>
        <w:t xml:space="preserve">Campus Standard:  Siemens Apogee PXC Modular, </w:t>
      </w:r>
      <w:proofErr w:type="spellStart"/>
      <w:r w:rsidRPr="00F1171B">
        <w:rPr>
          <w:rFonts w:asciiTheme="minorHAnsi" w:hAnsiTheme="minorHAnsi" w:cstheme="minorHAnsi"/>
          <w:sz w:val="22"/>
        </w:rPr>
        <w:t>flemible</w:t>
      </w:r>
      <w:proofErr w:type="spellEnd"/>
      <w:r w:rsidRPr="00F1171B">
        <w:rPr>
          <w:rFonts w:asciiTheme="minorHAnsi" w:hAnsiTheme="minorHAnsi" w:cstheme="minorHAnsi"/>
          <w:sz w:val="22"/>
        </w:rPr>
        <w:t xml:space="preserve"> Direct Digital Control (DDC) supervisory field panel, and Siemens Apogee IX-I/O power an</w:t>
      </w:r>
      <w:bookmarkStart w:id="0" w:name="_GoBack"/>
      <w:bookmarkEnd w:id="0"/>
      <w:r w:rsidRPr="00F1171B">
        <w:rPr>
          <w:rFonts w:asciiTheme="minorHAnsi" w:hAnsiTheme="minorHAnsi" w:cstheme="minorHAnsi"/>
          <w:sz w:val="22"/>
        </w:rPr>
        <w:t>d communication modules.  No substitutions allowed.</w:t>
      </w:r>
    </w:p>
    <w:p w:rsidR="009B2EC8" w:rsidRPr="00F1171B" w:rsidRDefault="009B2EC8" w:rsidP="009B2EC8">
      <w:pPr>
        <w:rPr>
          <w:rFonts w:asciiTheme="minorHAnsi" w:hAnsiTheme="minorHAnsi" w:cstheme="minorHAnsi"/>
          <w:sz w:val="22"/>
        </w:rPr>
      </w:pPr>
    </w:p>
    <w:p w:rsidR="009B2EC8" w:rsidRPr="00F1171B" w:rsidRDefault="009B2EC8" w:rsidP="009B2EC8">
      <w:pPr>
        <w:rPr>
          <w:rFonts w:asciiTheme="minorHAnsi" w:hAnsiTheme="minorHAnsi" w:cstheme="minorHAnsi"/>
          <w:sz w:val="22"/>
        </w:rPr>
      </w:pPr>
      <w:r w:rsidRPr="00F1171B">
        <w:rPr>
          <w:rFonts w:asciiTheme="minorHAnsi" w:hAnsiTheme="minorHAnsi" w:cstheme="minorHAnsi"/>
          <w:sz w:val="22"/>
        </w:rPr>
        <w:t>Application Specific Controllers:  Field level network devices (VAV boxes, fume hoods, unit ventilators, air conditioning units, heat pumps, etc.) shall be controlled by a TEC (Terminal Equipment Controller) using the appropriate application.</w:t>
      </w:r>
    </w:p>
    <w:p w:rsidR="009B2EC8" w:rsidRPr="00F1171B" w:rsidRDefault="009B2EC8" w:rsidP="009B2EC8">
      <w:pPr>
        <w:rPr>
          <w:rFonts w:asciiTheme="minorHAnsi" w:hAnsiTheme="minorHAnsi" w:cstheme="minorHAnsi"/>
          <w:sz w:val="22"/>
        </w:rPr>
      </w:pPr>
    </w:p>
    <w:p w:rsidR="009B2EC8" w:rsidRPr="00F1171B" w:rsidRDefault="009B2EC8" w:rsidP="009B2EC8">
      <w:pPr>
        <w:rPr>
          <w:rFonts w:asciiTheme="minorHAnsi" w:hAnsiTheme="minorHAnsi" w:cstheme="minorHAnsi"/>
          <w:sz w:val="22"/>
        </w:rPr>
      </w:pPr>
      <w:r w:rsidRPr="00F1171B">
        <w:rPr>
          <w:rFonts w:asciiTheme="minorHAnsi" w:hAnsiTheme="minorHAnsi" w:cstheme="minorHAnsi"/>
          <w:sz w:val="22"/>
        </w:rPr>
        <w:t xml:space="preserve">Control Valve and Damper Actuators:  Actuators shall be electronic.  </w:t>
      </w:r>
    </w:p>
    <w:p w:rsidR="009B2EC8" w:rsidRPr="00F1171B" w:rsidRDefault="009B2EC8" w:rsidP="009B2EC8">
      <w:pPr>
        <w:rPr>
          <w:rFonts w:asciiTheme="minorHAnsi" w:hAnsiTheme="minorHAnsi" w:cstheme="minorHAnsi"/>
          <w:sz w:val="22"/>
        </w:rPr>
      </w:pPr>
    </w:p>
    <w:p w:rsidR="00683E70" w:rsidRPr="009B2EC8" w:rsidRDefault="009B2EC8">
      <w:pPr>
        <w:rPr>
          <w:rFonts w:asciiTheme="minorHAnsi" w:hAnsiTheme="minorHAnsi" w:cstheme="minorHAnsi"/>
          <w:sz w:val="22"/>
        </w:rPr>
      </w:pPr>
      <w:r w:rsidRPr="00F1171B">
        <w:rPr>
          <w:rFonts w:asciiTheme="minorHAnsi" w:hAnsiTheme="minorHAnsi" w:cstheme="minorHAnsi"/>
          <w:sz w:val="22"/>
        </w:rPr>
        <w:t>Note:  Pneumatic Actuators are Not Permitted.</w:t>
      </w:r>
    </w:p>
    <w:sectPr w:rsidR="00683E70" w:rsidRPr="009B2E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EC8"/>
    <w:rsid w:val="00334BE4"/>
    <w:rsid w:val="009B2EC8"/>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3AEBE"/>
  <w15:chartTrackingRefBased/>
  <w15:docId w15:val="{54FCD0F6-A451-4CCD-A86E-FA1900E9B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2EC8"/>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9B2EC8"/>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B2EC8"/>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2EC8"/>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9B2EC8"/>
    <w:rPr>
      <w:rFonts w:ascii="Arial" w:eastAsiaTheme="majorEastAsia" w:hAnsi="Arial" w:cstheme="majorBidi"/>
      <w:b/>
      <w:i/>
      <w:sz w:val="20"/>
      <w:szCs w:val="24"/>
    </w:rPr>
  </w:style>
  <w:style w:type="character" w:styleId="Hyperlink">
    <w:name w:val="Hyperlink"/>
    <w:basedOn w:val="DefaultParagraphFont"/>
    <w:uiPriority w:val="99"/>
    <w:unhideWhenUsed/>
    <w:rsid w:val="00334BE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VAC%20CONTROLS%20-%20POINT%20NAMING%202r3.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E2CD3099</Template>
  <TotalTime>8</TotalTime>
  <Pages>2</Pages>
  <Words>429</Words>
  <Characters>2450</Characters>
  <Application>Microsoft Office Word</Application>
  <DocSecurity>0</DocSecurity>
  <Lines>20</Lines>
  <Paragraphs>5</Paragraphs>
  <ScaleCrop>false</ScaleCrop>
  <Company>Cal Poly - San Luis Obispo</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Curtis J. McNally</cp:lastModifiedBy>
  <cp:revision>2</cp:revision>
  <dcterms:created xsi:type="dcterms:W3CDTF">2019-11-04T20:55:00Z</dcterms:created>
  <dcterms:modified xsi:type="dcterms:W3CDTF">2019-11-19T16:28:00Z</dcterms:modified>
</cp:coreProperties>
</file>