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02060"/>
            <w:tcMar>
              <w:top w:w="220" w:type="dxa"/>
              <w:bottom w:w="220" w:type="dxa"/>
              <w:left w:w="220" w:type="dxa"/>
              <w:right w:w="220" w:type="dxa"/>
            </w:tcMar>
          </w:tcPr>
          <w:p>
            <w:pPr>
              <w:jc w:val="center"/>
            </w:pPr>
            <w:r>
              <w:rPr>
                <w:rFonts w:ascii="Calibri" w:hAnsi="Calibri"/>
                <w:b/>
                <w:color w:val="BAE6FD"/>
                <w:sz w:val="22"/>
              </w:rPr>
              <w:t>INVESTISSEMENT QUÉBEC — GUICHET DE PRISE EN CHARGE DES INITIATIVES IA</w:t>
              <w:br/>
            </w:r>
            <w:r>
              <w:rPr>
                <w:rFonts w:ascii="Calibri" w:hAnsi="Calibri"/>
                <w:b/>
                <w:color w:val="FFFFFF"/>
                <w:sz w:val="30"/>
              </w:rPr>
              <w:t>CAHIER D'EXPRESSION DES BESOINS D'AFFAIRES</w:t>
              <w:br/>
              <w:t>PROJET SYNTH-IQ (PRÉQUALIFICATION &amp; ANALYSE DE CRÉDIT)</w:t>
            </w:r>
          </w:p>
        </w:tc>
      </w:tr>
    </w:tbl>
    <w:p>
      <w:pPr>
        <w:spacing w:after="160"/>
      </w:pPr>
    </w:p>
    <w:tbl>
      <w:tblPr>
        <w:tblW w:type="auto" w:w="0"/>
        <w:jc w:val="center"/>
        <w:tblLook w:firstColumn="1" w:firstRow="1" w:lastColumn="0" w:lastRow="0" w:noHBand="0" w:noVBand="1" w:val="04A0"/>
      </w:tblPr>
      <w:tblGrid>
        <w:gridCol w:w="10080"/>
      </w:tblGrid>
      <w:tr>
        <w:tc>
          <w:tcPr>
            <w:tcW w:type="dxa" w:w="10080"/>
            <w:shd w:fill="002060"/>
            <w:tcMar>
              <w:top w:w="140" w:type="dxa"/>
              <w:bottom w:w="140" w:type="dxa"/>
              <w:left w:w="180" w:type="dxa"/>
              <w:right w:w="180" w:type="dxa"/>
            </w:tcMar>
          </w:tcPr>
          <w:p>
            <w:pPr>
              <w:spacing w:before="0" w:after="0"/>
            </w:pPr>
            <w:r>
              <w:rPr>
                <w:rFonts w:ascii="Calibri" w:hAnsi="Calibri"/>
                <w:b/>
                <w:color w:val="FFFFFF"/>
                <w:sz w:val="23"/>
              </w:rPr>
              <w:t>1. FICHE D'IDENTIFICATION DE L'INITIATIVE IA</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5040"/>
        <w:gridCol w:w="5040"/>
      </w:tblGrid>
      <w:tr>
        <w:tc>
          <w:tcPr>
            <w:tcW w:type="dxa" w:w="5040"/>
            <w:shd w:fill="F8FAFC"/>
            <w:tcMar>
              <w:top w:w="70" w:type="dxa"/>
              <w:bottom w:w="70" w:type="dxa"/>
              <w:left w:w="100" w:type="dxa"/>
              <w:right w:w="100" w:type="dxa"/>
            </w:tcMar>
          </w:tcPr>
          <w:p>
            <w:r>
              <w:rPr>
                <w:b/>
                <w:color w:val="002060"/>
                <w:sz w:val="19"/>
              </w:rPr>
              <w:t>Titre officiel du cas d'usage</w:t>
            </w:r>
          </w:p>
        </w:tc>
        <w:tc>
          <w:tcPr>
            <w:tcW w:type="dxa" w:w="5040"/>
            <w:tcMar>
              <w:top w:w="70" w:type="dxa"/>
              <w:bottom w:w="70" w:type="dxa"/>
              <w:left w:w="100" w:type="dxa"/>
              <w:right w:w="100" w:type="dxa"/>
            </w:tcMar>
          </w:tcPr>
          <w:p>
            <w:r>
              <w:rPr>
                <w:sz w:val="19"/>
              </w:rPr>
              <w:t>Préqualification et Synthèse Intelligente des Dossiers de Financement aux Entreprises (Projet SYNTH-IQ)</w:t>
            </w:r>
          </w:p>
        </w:tc>
      </w:tr>
      <w:tr>
        <w:tc>
          <w:tcPr>
            <w:tcW w:type="dxa" w:w="5040"/>
            <w:shd w:fill="F8FAFC"/>
            <w:tcMar>
              <w:top w:w="70" w:type="dxa"/>
              <w:bottom w:w="70" w:type="dxa"/>
              <w:left w:w="100" w:type="dxa"/>
              <w:right w:w="100" w:type="dxa"/>
            </w:tcMar>
          </w:tcPr>
          <w:p>
            <w:r>
              <w:rPr>
                <w:b/>
                <w:color w:val="002060"/>
                <w:sz w:val="19"/>
              </w:rPr>
              <w:t>Direction métier requérante</w:t>
            </w:r>
          </w:p>
        </w:tc>
        <w:tc>
          <w:tcPr>
            <w:tcW w:type="dxa" w:w="5040"/>
            <w:tcMar>
              <w:top w:w="70" w:type="dxa"/>
              <w:bottom w:w="70" w:type="dxa"/>
              <w:left w:w="100" w:type="dxa"/>
              <w:right w:w="100" w:type="dxa"/>
            </w:tcMar>
          </w:tcPr>
          <w:p>
            <w:r>
              <w:rPr>
                <w:sz w:val="19"/>
              </w:rPr>
              <w:t>Direction principale du Financement corporatif et Capital de risque</w:t>
            </w:r>
          </w:p>
        </w:tc>
      </w:tr>
      <w:tr>
        <w:tc>
          <w:tcPr>
            <w:tcW w:type="dxa" w:w="5040"/>
            <w:shd w:fill="F8FAFC"/>
            <w:tcMar>
              <w:top w:w="70" w:type="dxa"/>
              <w:bottom w:w="70" w:type="dxa"/>
              <w:left w:w="100" w:type="dxa"/>
              <w:right w:w="100" w:type="dxa"/>
            </w:tcMar>
          </w:tcPr>
          <w:p>
            <w:r>
              <w:rPr>
                <w:b/>
                <w:color w:val="002060"/>
                <w:sz w:val="19"/>
              </w:rPr>
              <w:t>Parrain d'affaires (Sponsor)</w:t>
            </w:r>
          </w:p>
        </w:tc>
        <w:tc>
          <w:tcPr>
            <w:tcW w:type="dxa" w:w="5040"/>
            <w:tcMar>
              <w:top w:w="70" w:type="dxa"/>
              <w:bottom w:w="70" w:type="dxa"/>
              <w:left w:w="100" w:type="dxa"/>
              <w:right w:w="100" w:type="dxa"/>
            </w:tcMar>
          </w:tcPr>
          <w:p>
            <w:r>
              <w:rPr>
                <w:sz w:val="19"/>
              </w:rPr>
              <w:t>Direction principale du Financement corporatif (Porteur Métier Délégué)</w:t>
            </w:r>
          </w:p>
        </w:tc>
      </w:tr>
      <w:tr>
        <w:tc>
          <w:tcPr>
            <w:tcW w:type="dxa" w:w="5040"/>
            <w:shd w:fill="F8FAFC"/>
            <w:tcMar>
              <w:top w:w="70" w:type="dxa"/>
              <w:bottom w:w="70" w:type="dxa"/>
              <w:left w:w="100" w:type="dxa"/>
              <w:right w:w="100" w:type="dxa"/>
            </w:tcMar>
          </w:tcPr>
          <w:p>
            <w:r>
              <w:rPr>
                <w:b/>
                <w:color w:val="002060"/>
                <w:sz w:val="19"/>
              </w:rPr>
              <w:t>Chargé de projet &amp; Contact</w:t>
            </w:r>
          </w:p>
        </w:tc>
        <w:tc>
          <w:tcPr>
            <w:tcW w:type="dxa" w:w="5040"/>
            <w:tcMar>
              <w:top w:w="70" w:type="dxa"/>
              <w:bottom w:w="70" w:type="dxa"/>
              <w:left w:w="100" w:type="dxa"/>
              <w:right w:w="100" w:type="dxa"/>
            </w:tcMar>
          </w:tcPr>
          <w:p>
            <w:r>
              <w:rPr>
                <w:sz w:val="19"/>
              </w:rPr>
              <w:t>Équipe d'optimisation des processus de crédit — Direction du Financement</w:t>
            </w:r>
          </w:p>
        </w:tc>
      </w:tr>
      <w:tr>
        <w:tc>
          <w:tcPr>
            <w:tcW w:type="dxa" w:w="5040"/>
            <w:shd w:fill="F8FAFC"/>
            <w:tcMar>
              <w:top w:w="70" w:type="dxa"/>
              <w:bottom w:w="70" w:type="dxa"/>
              <w:left w:w="100" w:type="dxa"/>
              <w:right w:w="100" w:type="dxa"/>
            </w:tcMar>
          </w:tcPr>
          <w:p>
            <w:r>
              <w:rPr>
                <w:b/>
                <w:color w:val="002060"/>
                <w:sz w:val="19"/>
              </w:rPr>
              <w:t>Parcours officiel ciblé</w:t>
            </w:r>
          </w:p>
        </w:tc>
        <w:tc>
          <w:tcPr>
            <w:tcW w:type="dxa" w:w="5040"/>
            <w:tcMar>
              <w:top w:w="70" w:type="dxa"/>
              <w:bottom w:w="70" w:type="dxa"/>
              <w:left w:w="100" w:type="dxa"/>
              <w:right w:w="100" w:type="dxa"/>
            </w:tcMar>
          </w:tcPr>
          <w:p>
            <w:r>
              <w:rPr>
                <w:sz w:val="19"/>
              </w:rPr>
              <w:t>Parcours 3 : Cas d'usage IA &amp; Accompagnement Stratégique Métier (Bureau de l'IA &amp; Escouade IA)</w:t>
            </w:r>
          </w:p>
        </w:tc>
      </w:tr>
      <w:tr>
        <w:tc>
          <w:tcPr>
            <w:tcW w:type="dxa" w:w="5040"/>
            <w:shd w:fill="F8FAFC"/>
            <w:tcMar>
              <w:top w:w="70" w:type="dxa"/>
              <w:bottom w:w="70" w:type="dxa"/>
              <w:left w:w="100" w:type="dxa"/>
              <w:right w:w="100" w:type="dxa"/>
            </w:tcMar>
          </w:tcPr>
          <w:p>
            <w:r>
              <w:rPr>
                <w:b/>
                <w:color w:val="002060"/>
                <w:sz w:val="19"/>
              </w:rPr>
              <w:t>Type de technologie envisagée</w:t>
            </w:r>
          </w:p>
        </w:tc>
        <w:tc>
          <w:tcPr>
            <w:tcW w:type="dxa" w:w="5040"/>
            <w:tcMar>
              <w:top w:w="70" w:type="dxa"/>
              <w:bottom w:w="70" w:type="dxa"/>
              <w:left w:w="100" w:type="dxa"/>
              <w:right w:w="100" w:type="dxa"/>
            </w:tcMar>
          </w:tcPr>
          <w:p>
            <w:r>
              <w:rPr>
                <w:sz w:val="19"/>
              </w:rPr>
              <w:t>Système IA sur environnement fermé — Azure Cloud IQ (Architecture RAG hybride, OCR et LLM d'entreprise)</w:t>
            </w:r>
          </w:p>
        </w:tc>
      </w:tr>
    </w:tbl>
    <w:p>
      <w:pPr>
        <w:spacing w:after="200"/>
      </w:pPr>
    </w:p>
    <w:tbl>
      <w:tblPr>
        <w:tblW w:type="auto" w:w="0"/>
        <w:jc w:val="center"/>
        <w:tblLook w:firstColumn="1" w:firstRow="1" w:lastColumn="0" w:lastRow="0" w:noHBand="0" w:noVBand="1" w:val="04A0"/>
      </w:tblPr>
      <w:tblGrid>
        <w:gridCol w:w="10080"/>
      </w:tblGrid>
      <w:tr>
        <w:tc>
          <w:tcPr>
            <w:tcW w:type="dxa" w:w="10080"/>
            <w:shd w:fill="002060"/>
            <w:tcMar>
              <w:top w:w="140" w:type="dxa"/>
              <w:bottom w:w="140" w:type="dxa"/>
              <w:left w:w="180" w:type="dxa"/>
              <w:right w:w="180" w:type="dxa"/>
            </w:tcMar>
          </w:tcPr>
          <w:p>
            <w:pPr>
              <w:spacing w:before="0" w:after="0"/>
            </w:pPr>
            <w:r>
              <w:rPr>
                <w:rFonts w:ascii="Calibri" w:hAnsi="Calibri"/>
                <w:b/>
                <w:color w:val="FFFFFF"/>
                <w:sz w:val="23"/>
              </w:rPr>
              <w:t>2. CONTEXTE D'AFFAIRES ET OBJECTIFS OPÉRATIONNELS</w:t>
            </w:r>
          </w:p>
        </w:tc>
      </w:tr>
    </w:tbl>
    <w:p>
      <w:pPr>
        <w:spacing w:after="80"/>
      </w:pPr>
    </w:p>
    <w:p>
      <w:r>
        <w:rPr>
          <w:b/>
        </w:rPr>
        <w:t>2.1 Description du Problème et Friction Métier Actuelle :</w:t>
        <w:br/>
      </w:r>
      <w:r>
        <w:t>Chaque année, la Direction du Financement corporatif reçoit plus de 850 dossiers de demande de financement provenant de PME québécoises. Actuellement, un analyste financier consacre en moyenne entre 14 et 20 heures par dossier à extraire manuellement des données éparses : bilans financiers sur 3 exercices, états des résultats, organigrammes d'actionnariat, notes d'audit comptable et prévisions de trésorerie. Cette saisie manuelle engendre des goulots d'étranglement majeurs lors des périodes de fort volume (dépôts de bilans d'automne et de printemps), allonge les délais de réponse aux entrepreneurs et crée un risque d'erreur matérielle lors de la ressaisie dans nos modèles de ratio financier.</w:t>
      </w:r>
    </w:p>
    <w:p>
      <w:r>
        <w:rPr>
          <w:b/>
        </w:rPr>
        <w:t>2.2 Solution IA Proposée (Projet SYNTH-IQ) :</w:t>
        <w:br/>
      </w:r>
      <w:r>
        <w:t>Déployer un assistant d'analyse documentaire sécurisé sur Azure Cloud IQ. Le système devra ingérer les documents d'affaires fournis par l'entreprise (fichiers PDF et tableurs), extraire les principaux postes comptables (chiffre d'affaires, BAIIA, dette nette, fonds de roulement), identifier les variations atypiques d'une année sur l'autre, et générer un premier brouillon de synthèse financière préqualifié destiné à l'analyste de crédit.</w:t>
      </w:r>
    </w:p>
    <w:p>
      <w:r>
        <w:rPr>
          <w:b/>
        </w:rPr>
        <w:t>2.3 Objectifs de Gains et Retour sur Investissement (ROI) :</w:t>
        <w:br/>
      </w:r>
      <w:r>
        <w:t>• Gain de productivité : Réduction estimée de 4 à 6 heures de traitement par dossier de financement, soit plus de 4 000 heures réinvesties annuellement dans la relation d'affaires directe avec les entrepreneurs québécois.</w:t>
        <w:br/>
        <w:t>• Vélocité : Accélération de 30 % du délai d'émission du premier avis de préqualification financière.</w:t>
        <w:br/>
        <w:t>• Précision : Réduction de 85 % des erreurs de transcription comptable grâce à la traçabilité intégrale vers les documents sources originaux.</w:t>
      </w:r>
    </w:p>
    <w:p>
      <w:pPr>
        <w:spacing w:after="160"/>
      </w:pPr>
    </w:p>
    <w:tbl>
      <w:tblPr>
        <w:tblW w:type="auto" w:w="0"/>
        <w:jc w:val="center"/>
        <w:tblLook w:firstColumn="1" w:firstRow="1" w:lastColumn="0" w:lastRow="0" w:noHBand="0" w:noVBand="1" w:val="04A0"/>
      </w:tblPr>
      <w:tblGrid>
        <w:gridCol w:w="10080"/>
      </w:tblGrid>
      <w:tr>
        <w:tc>
          <w:tcPr>
            <w:tcW w:type="dxa" w:w="10080"/>
            <w:shd w:fill="002060"/>
            <w:tcMar>
              <w:top w:w="140" w:type="dxa"/>
              <w:bottom w:w="140" w:type="dxa"/>
              <w:left w:w="180" w:type="dxa"/>
              <w:right w:w="180" w:type="dxa"/>
            </w:tcMar>
          </w:tcPr>
          <w:p>
            <w:pPr>
              <w:spacing w:before="0" w:after="0"/>
            </w:pPr>
            <w:r>
              <w:rPr>
                <w:rFonts w:ascii="Calibri" w:hAnsi="Calibri"/>
                <w:b/>
                <w:color w:val="FFFFFF"/>
                <w:sz w:val="23"/>
              </w:rPr>
              <w:t>3. CORPUS DE DONNÉES ET DÉFIS DE QUALITÉ (AXE 2)</w:t>
            </w:r>
          </w:p>
        </w:tc>
      </w:tr>
    </w:tbl>
    <w:p>
      <w:pPr>
        <w:spacing w:after="80"/>
      </w:pPr>
    </w:p>
    <w:p>
      <w:r>
        <w:rPr>
          <w:b/>
        </w:rPr>
        <w:t>3.1 Typologie des Documents Requis :</w:t>
        <w:br/>
      </w:r>
      <w:r>
        <w:t>Le modèle analysera : (1) États financiers vérifiés ou avis au lecteur (PDF scannés ou natifs) ; (2) Déclarations fiscales provinciales et fédérales (CO-17, T2) ; (3) Plans d'affaires et prévisions de flux de trésorerie (Word, Excel) ; (4) Historique des transactions et encours dans les systèmes internes d'IQ (SharePoint, CRM de prêts).</w:t>
      </w:r>
    </w:p>
    <w:p>
      <w:r>
        <w:rPr>
          <w:b/>
        </w:rPr>
        <w:t>⚠️ 3.2 Défis et Limites Réelles de Données (Facteur de Risque Moyen) :</w:t>
        <w:br/>
      </w:r>
      <w:r>
        <w:t>• Hétérogénéité des formats : Plus de 35 % des documents reçus des PME sont des numérisations de qualité médiocre ou des documents manuscrits partiels, ce qui exigera une brique de reconnaissance optique de caractères (OCR) avancée.</w:t>
        <w:br/>
        <w:t>• Absence de standardisation comptable stricte : Les plans comptables varient d'une PME à l'autre; les métadonnées et libellés comptables ne sont pas homogènes.</w:t>
        <w:br/>
        <w:t>• Nécessité de nettoyage : Une phase de normalisation des données et de validation préalable des schémas comptables sera indispensable avant toute indexation vectorielle.</w:t>
      </w:r>
    </w:p>
    <w:p>
      <w:pPr>
        <w:spacing w:after="160"/>
      </w:pPr>
    </w:p>
    <w:tbl>
      <w:tblPr>
        <w:tblW w:type="auto" w:w="0"/>
        <w:jc w:val="center"/>
        <w:tblLook w:firstColumn="1" w:firstRow="1" w:lastColumn="0" w:lastRow="0" w:noHBand="0" w:noVBand="1" w:val="04A0"/>
      </w:tblPr>
      <w:tblGrid>
        <w:gridCol w:w="10080"/>
      </w:tblGrid>
      <w:tr>
        <w:tc>
          <w:tcPr>
            <w:tcW w:type="dxa" w:w="10080"/>
            <w:shd w:fill="002060"/>
            <w:tcMar>
              <w:top w:w="140" w:type="dxa"/>
              <w:bottom w:w="140" w:type="dxa"/>
              <w:left w:w="180" w:type="dxa"/>
              <w:right w:w="180" w:type="dxa"/>
            </w:tcMar>
          </w:tcPr>
          <w:p>
            <w:pPr>
              <w:spacing w:before="0" w:after="0"/>
            </w:pPr>
            <w:r>
              <w:rPr>
                <w:rFonts w:ascii="Calibri" w:hAnsi="Calibri"/>
                <w:b/>
                <w:color w:val="FFFFFF"/>
                <w:sz w:val="23"/>
              </w:rPr>
              <w:t>4. PROTECTION DES RENSEIGNEMENTS PERSONNELS ET LOI 25 (AXE 5)</w:t>
            </w:r>
          </w:p>
        </w:tc>
      </w:tr>
    </w:tbl>
    <w:p>
      <w:pPr>
        <w:spacing w:after="80"/>
      </w:pPr>
    </w:p>
    <w:p>
      <w:r>
        <w:rPr>
          <w:b/>
        </w:rPr>
        <w:t>⚠️ 4.1 Présence de Données Nominatives et Sensibles (Point d'Attention Majeur) :</w:t>
        <w:br/>
      </w:r>
      <w:r>
        <w:t>Bien que l'objet principal soit l'analyse d'entreprises (personnes morales), les dossiers de financement contiennent inévitablement des renseignements personnels sur des personnes physiques : noms, adresses résidentielles, participations au capital, déclarations de revenus des actionnaires garants et cotes de crédit personnelles des dirigeants.</w:t>
      </w:r>
    </w:p>
    <w:p>
      <w:r>
        <w:rPr>
          <w:b/>
        </w:rPr>
        <w:t>4.2 Exigences Légales et Engagements de Conformité d'IQ :</w:t>
        <w:br/>
      </w:r>
      <w:r>
        <w:t>1. Déclenchement formel d'une Évaluation des Facteurs relatifs à la Vie Privée (ÉFVP) conformément à la Loi 25 du Québec, sous la supervision du Bureau de l'IA et du responsable de la protection des renseignements personnels (PRP).</w:t>
        <w:br/>
        <w:t>2. Environnement fermé avec Rétention Zéro Externe (Zero Data Retention) : Hébergement souverain sur tenant Azure Canada Central dédié d'IQ. Aucun apprentissage ni réentraînement du modèle externe sur les données clients.</w:t>
        <w:br/>
        <w:t>3. Anonymisation et masquage automatique des numéros d'assurance sociale (NAS) et données bancaires personnelles avant toute vectorisation.</w:t>
      </w:r>
    </w:p>
    <w:p>
      <w:pPr>
        <w:spacing w:after="160"/>
      </w:pPr>
    </w:p>
    <w:tbl>
      <w:tblPr>
        <w:tblW w:type="auto" w:w="0"/>
        <w:jc w:val="center"/>
        <w:tblLook w:firstColumn="1" w:firstRow="1" w:lastColumn="0" w:lastRow="0" w:noHBand="0" w:noVBand="1" w:val="04A0"/>
      </w:tblPr>
      <w:tblGrid>
        <w:gridCol w:w="10080"/>
      </w:tblGrid>
      <w:tr>
        <w:tc>
          <w:tcPr>
            <w:tcW w:type="dxa" w:w="10080"/>
            <w:shd w:fill="002060"/>
            <w:tcMar>
              <w:top w:w="140" w:type="dxa"/>
              <w:bottom w:w="140" w:type="dxa"/>
              <w:left w:w="180" w:type="dxa"/>
              <w:right w:w="180" w:type="dxa"/>
            </w:tcMar>
          </w:tcPr>
          <w:p>
            <w:pPr>
              <w:spacing w:before="0" w:after="0"/>
            </w:pPr>
            <w:r>
              <w:rPr>
                <w:rFonts w:ascii="Calibri" w:hAnsi="Calibri"/>
                <w:b/>
                <w:color w:val="FFFFFF"/>
                <w:sz w:val="23"/>
              </w:rPr>
              <w:t>5. SUPERVISION HUMAINE OBLIGATOIRE ET NIVEAU DE RISQUE</w:t>
            </w:r>
          </w:p>
        </w:tc>
      </w:tr>
    </w:tbl>
    <w:p>
      <w:pPr>
        <w:spacing w:after="80"/>
      </w:pPr>
    </w:p>
    <w:p>
      <w:r>
        <w:rPr>
          <w:b/>
        </w:rPr>
        <w:t>5.1 Règle Inviolable d'Assistance sans Décision Autonome (Human-in-the-Loop) :</w:t>
        <w:br/>
      </w:r>
      <w:r>
        <w:t>Il est formellement interdit que le système SYNTH-IQ prenne une décision automatisée d'octroi, de rejet ou de tarification de financement. L'IA opère strictement en mode « Brouillon d'aide à la décision » : elle génère une synthèse annotée avec liens vers les sources factuelles. L'analyste de crédit titulaire conserve la responsabilité exclusive de la vérification, de la notation et de la recommandation transmise aux comités d'investissement.</w:t>
      </w:r>
    </w:p>
    <w:p>
      <w:r>
        <w:rPr>
          <w:b/>
        </w:rPr>
        <w:t>5.2 Gestion du Risque d'Hallucination et d'Exactitude Factuelle :</w:t>
        <w:br/>
      </w:r>
      <w:r>
        <w:t>• Tout chiffre extrait ou calculé doit comporter une infobulle indiquant la page et la ligne exacte du document source d'origine.</w:t>
        <w:br/>
        <w:t>• Un score de confiance algorithmique (indicateur vert/jaune/rouge) avertira l'analyste dès qu'un document présente une incertitude de lecture supérieure à 10 %.</w:t>
      </w:r>
    </w:p>
    <w:p>
      <w:pPr>
        <w:spacing w:after="160"/>
      </w:pPr>
    </w:p>
    <w:tbl>
      <w:tblPr>
        <w:tblW w:type="auto" w:w="0"/>
        <w:jc w:val="center"/>
        <w:tblLook w:firstColumn="1" w:firstRow="1" w:lastColumn="0" w:lastRow="0" w:noHBand="0" w:noVBand="1" w:val="04A0"/>
      </w:tblPr>
      <w:tblGrid>
        <w:gridCol w:w="10080"/>
      </w:tblGrid>
      <w:tr>
        <w:tc>
          <w:tcPr>
            <w:tcW w:type="dxa" w:w="10080"/>
            <w:shd w:fill="002060"/>
            <w:tcMar>
              <w:top w:w="140" w:type="dxa"/>
              <w:bottom w:w="140" w:type="dxa"/>
              <w:left w:w="180" w:type="dxa"/>
              <w:right w:w="180" w:type="dxa"/>
            </w:tcMar>
          </w:tcPr>
          <w:p>
            <w:pPr>
              <w:spacing w:before="0" w:after="0"/>
            </w:pPr>
            <w:r>
              <w:rPr>
                <w:rFonts w:ascii="Calibri" w:hAnsi="Calibri"/>
                <w:b/>
                <w:color w:val="FFFFFF"/>
                <w:sz w:val="23"/>
              </w:rPr>
              <w:t>6. ARCHITECTURE TECHNIQUE, SÉCURITÉ CSI ET RTO (AXE 3 &amp; 4)</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5040"/>
        <w:gridCol w:w="5040"/>
      </w:tblGrid>
      <w:tr>
        <w:tc>
          <w:tcPr>
            <w:tcW w:type="dxa" w:w="5040"/>
            <w:shd w:fill="F8FAFC"/>
            <w:tcMar>
              <w:top w:w="60" w:type="dxa"/>
              <w:bottom w:w="60" w:type="dxa"/>
              <w:left w:w="90" w:type="dxa"/>
              <w:right w:w="90" w:type="dxa"/>
            </w:tcMar>
          </w:tcPr>
          <w:p>
            <w:r>
              <w:rPr>
                <w:b/>
                <w:color w:val="002060"/>
                <w:sz w:val="19"/>
              </w:rPr>
              <w:t>Architecture cible</w:t>
            </w:r>
          </w:p>
        </w:tc>
        <w:tc>
          <w:tcPr>
            <w:tcW w:type="dxa" w:w="5040"/>
            <w:tcMar>
              <w:top w:w="60" w:type="dxa"/>
              <w:bottom w:w="60" w:type="dxa"/>
              <w:left w:w="90" w:type="dxa"/>
              <w:right w:w="90" w:type="dxa"/>
            </w:tcMar>
          </w:tcPr>
          <w:p>
            <w:r>
              <w:rPr>
                <w:sz w:val="19"/>
              </w:rPr>
              <w:t>Cloud Azure IQ : Azure OpenAI Service (modèle privé dédié), Azure AI Search et Stockage Blob sécurisé.</w:t>
            </w:r>
          </w:p>
        </w:tc>
      </w:tr>
      <w:tr>
        <w:tc>
          <w:tcPr>
            <w:tcW w:type="dxa" w:w="5040"/>
            <w:shd w:fill="F8FAFC"/>
            <w:tcMar>
              <w:top w:w="60" w:type="dxa"/>
              <w:bottom w:w="60" w:type="dxa"/>
              <w:left w:w="90" w:type="dxa"/>
              <w:right w:w="90" w:type="dxa"/>
            </w:tcMar>
          </w:tcPr>
          <w:p>
            <w:r>
              <w:rPr>
                <w:b/>
                <w:color w:val="002060"/>
                <w:sz w:val="19"/>
              </w:rPr>
              <w:t>Intégration écosystème</w:t>
            </w:r>
          </w:p>
        </w:tc>
        <w:tc>
          <w:tcPr>
            <w:tcW w:type="dxa" w:w="5040"/>
            <w:tcMar>
              <w:top w:w="60" w:type="dxa"/>
              <w:bottom w:w="60" w:type="dxa"/>
              <w:left w:w="90" w:type="dxa"/>
              <w:right w:w="90" w:type="dxa"/>
            </w:tcMar>
          </w:tcPr>
          <w:p>
            <w:r>
              <w:rPr>
                <w:sz w:val="19"/>
              </w:rPr>
              <w:t>Compatible SharePoint d'IQ, Teams, et connecteur vers le système d'octroi de prêts de la Société.</w:t>
            </w:r>
          </w:p>
        </w:tc>
      </w:tr>
      <w:tr>
        <w:tc>
          <w:tcPr>
            <w:tcW w:type="dxa" w:w="5040"/>
            <w:shd w:fill="F8FAFC"/>
            <w:tcMar>
              <w:top w:w="60" w:type="dxa"/>
              <w:bottom w:w="60" w:type="dxa"/>
              <w:left w:w="90" w:type="dxa"/>
              <w:right w:w="90" w:type="dxa"/>
            </w:tcMar>
          </w:tcPr>
          <w:p>
            <w:r>
              <w:rPr>
                <w:b/>
                <w:color w:val="002060"/>
                <w:sz w:val="19"/>
              </w:rPr>
              <w:t>Délai de Reprise d'Activité (RTO)</w:t>
            </w:r>
          </w:p>
        </w:tc>
        <w:tc>
          <w:tcPr>
            <w:tcW w:type="dxa" w:w="5040"/>
            <w:tcMar>
              <w:top w:w="60" w:type="dxa"/>
              <w:bottom w:w="60" w:type="dxa"/>
              <w:left w:w="90" w:type="dxa"/>
              <w:right w:w="90" w:type="dxa"/>
            </w:tcMar>
          </w:tcPr>
          <w:p>
            <w:r>
              <w:rPr>
                <w:sz w:val="19"/>
              </w:rPr>
              <w:t>RTO ciblé à 48 heures. Le processus n'étant pas une infrastructure de paiement en temps réel, une interruption temporaire n'entraîne pas de paralysie critique.</w:t>
            </w:r>
          </w:p>
        </w:tc>
      </w:tr>
      <w:tr>
        <w:tc>
          <w:tcPr>
            <w:tcW w:type="dxa" w:w="5040"/>
            <w:shd w:fill="F8FAFC"/>
            <w:tcMar>
              <w:top w:w="60" w:type="dxa"/>
              <w:bottom w:w="60" w:type="dxa"/>
              <w:left w:w="90" w:type="dxa"/>
              <w:right w:w="90" w:type="dxa"/>
            </w:tcMar>
          </w:tcPr>
          <w:p>
            <w:r>
              <w:rPr>
                <w:b/>
                <w:color w:val="002060"/>
                <w:sz w:val="19"/>
              </w:rPr>
              <w:t>Contrôle d'accès &amp; CSI</w:t>
            </w:r>
          </w:p>
        </w:tc>
        <w:tc>
          <w:tcPr>
            <w:tcW w:type="dxa" w:w="5040"/>
            <w:tcMar>
              <w:top w:w="60" w:type="dxa"/>
              <w:bottom w:w="60" w:type="dxa"/>
              <w:left w:w="90" w:type="dxa"/>
              <w:right w:w="90" w:type="dxa"/>
            </w:tcMar>
          </w:tcPr>
          <w:p>
            <w:r>
              <w:rPr>
                <w:sz w:val="19"/>
              </w:rPr>
              <w:t>Gestion des accès basée sur les rôles (RBAC) héritée de l'annuaire corporatif Azure AD d'IQ avec journalisation d'audit complète.</w:t>
            </w:r>
          </w:p>
        </w:tc>
      </w:tr>
      <w:tr>
        <w:tc>
          <w:tcPr>
            <w:tcW w:type="dxa" w:w="5040"/>
            <w:shd w:fill="F8FAFC"/>
            <w:tcMar>
              <w:top w:w="60" w:type="dxa"/>
              <w:bottom w:w="60" w:type="dxa"/>
              <w:left w:w="90" w:type="dxa"/>
              <w:right w:w="90" w:type="dxa"/>
            </w:tcMar>
          </w:tcPr>
          <w:p>
            <w:r>
              <w:rPr>
                <w:b/>
                <w:color w:val="002060"/>
                <w:sz w:val="19"/>
              </w:rPr>
              <w:t>Horizon de réalisation</w:t>
            </w:r>
          </w:p>
        </w:tc>
        <w:tc>
          <w:tcPr>
            <w:tcW w:type="dxa" w:w="5040"/>
            <w:tcMar>
              <w:top w:w="60" w:type="dxa"/>
              <w:bottom w:w="60" w:type="dxa"/>
              <w:left w:w="90" w:type="dxa"/>
              <w:right w:w="90" w:type="dxa"/>
            </w:tcMar>
          </w:tcPr>
          <w:p>
            <w:r>
              <w:rPr>
                <w:sz w:val="19"/>
              </w:rPr>
              <w:t>Preuve de concept (POC) en 8 semaines avec l'Escouade IA; déploiement pilote estimé à 6-8 mois.</w:t>
            </w:r>
          </w:p>
        </w:tc>
      </w:tr>
    </w:tbl>
    <w:p>
      <w:pPr>
        <w:spacing w:after="200"/>
      </w:pPr>
    </w:p>
    <w:tbl>
      <w:tblPr>
        <w:tblW w:type="auto" w:w="0"/>
        <w:jc w:val="center"/>
        <w:tblLook w:firstColumn="1" w:firstRow="1" w:lastColumn="0" w:lastRow="0" w:noHBand="0" w:noVBand="1" w:val="04A0"/>
      </w:tblPr>
      <w:tblGrid>
        <w:gridCol w:w="10080"/>
      </w:tblGrid>
      <w:tr>
        <w:tc>
          <w:tcPr>
            <w:tcW w:type="dxa" w:w="10080"/>
            <w:shd w:fill="002060"/>
            <w:tcMar>
              <w:top w:w="140" w:type="dxa"/>
              <w:bottom w:w="140" w:type="dxa"/>
              <w:left w:w="180" w:type="dxa"/>
              <w:right w:w="180" w:type="dxa"/>
            </w:tcMar>
          </w:tcPr>
          <w:p>
            <w:pPr>
              <w:spacing w:before="0" w:after="0"/>
            </w:pPr>
            <w:r>
              <w:rPr>
                <w:rFonts w:ascii="Calibri" w:hAnsi="Calibri"/>
                <w:b/>
                <w:color w:val="FFFFFF"/>
                <w:sz w:val="23"/>
              </w:rPr>
              <w:t>7. DEMANDE D'ACCOMPAGNEMENT ET ATTENTES MÉTIER</w:t>
            </w:r>
          </w:p>
        </w:tc>
      </w:tr>
    </w:tbl>
    <w:p>
      <w:pPr>
        <w:spacing w:after="80"/>
      </w:pPr>
    </w:p>
    <w:p>
      <w:r>
        <w:t>La Direction du Financement corporatif sollicite l'accompagnement officiel du Bureau de l'IA et de l'Escouade IA pour :</w:t>
        <w:br/>
        <w:t>1. Piloter l'atelier de cadrage méthodologique (Design Thinking IA) avec nos analystes et l'équipe Architecture TI.</w:t>
        <w:br/>
        <w:t>2. Coordonner l'Évaluation des Facteurs relatifs à la Vie Privée (ÉFVP) avec le délégué à la protection des données.</w:t>
        <w:br/>
        <w:t>3. Établir le cahier de tests et le jeu de données d'étalonnage (50 dossiers réels anonymisés) pour valider le taux d'exactitude comptable.</w:t>
        <w:br/>
        <w:t>4. Concevoir le plan de conduite du changement et former 35 analystes financiers à l'usage responsable de l'outil.</w:t>
      </w:r>
    </w:p>
    <w:p>
      <w:pPr>
        <w:spacing w:after="240"/>
      </w:pPr>
    </w:p>
    <w:tbl>
      <w:tblPr>
        <w:tblW w:type="auto" w:w="0"/>
        <w:jc w:val="center"/>
        <w:tblLook w:firstColumn="1" w:firstRow="1" w:lastColumn="0" w:lastRow="0" w:noHBand="0" w:noVBand="1" w:val="04A0"/>
      </w:tblPr>
      <w:tblGrid>
        <w:gridCol w:w="10080"/>
      </w:tblGrid>
      <w:tr>
        <w:tc>
          <w:tcPr>
            <w:tcW w:type="dxa" w:w="10080"/>
            <w:shd w:fill="002060"/>
            <w:tcMar>
              <w:top w:w="140" w:type="dxa"/>
              <w:bottom w:w="140" w:type="dxa"/>
              <w:left w:w="180" w:type="dxa"/>
              <w:right w:w="180" w:type="dxa"/>
            </w:tcMar>
          </w:tcPr>
          <w:p>
            <w:pPr>
              <w:spacing w:before="0" w:after="0"/>
            </w:pPr>
            <w:r>
              <w:rPr>
                <w:rFonts w:ascii="Calibri" w:hAnsi="Calibri"/>
                <w:b/>
                <w:color w:val="FFFFFF"/>
                <w:sz w:val="23"/>
              </w:rPr>
              <w:t>8. ENGAGEMENT DU PARRAIN D'AFFAIRES</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60"/>
        <w:gridCol w:w="3360"/>
        <w:gridCol w:w="3360"/>
      </w:tblGrid>
      <w:tr>
        <w:tc>
          <w:tcPr>
            <w:tcW w:type="dxa" w:w="3360"/>
            <w:shd w:fill="002060"/>
            <w:tcMar>
              <w:top w:w="60" w:type="dxa"/>
              <w:bottom w:w="60" w:type="dxa"/>
              <w:left w:w="80" w:type="dxa"/>
              <w:right w:w="80" w:type="dxa"/>
            </w:tcMar>
          </w:tcPr>
          <w:p>
            <w:r>
              <w:rPr>
                <w:b/>
                <w:color w:val="FFFFFF"/>
                <w:sz w:val="19"/>
              </w:rPr>
              <w:t>Instance Porteuse</w:t>
            </w:r>
          </w:p>
        </w:tc>
        <w:tc>
          <w:tcPr>
            <w:tcW w:type="dxa" w:w="3360"/>
            <w:shd w:fill="002060"/>
            <w:tcMar>
              <w:top w:w="60" w:type="dxa"/>
              <w:bottom w:w="60" w:type="dxa"/>
              <w:left w:w="80" w:type="dxa"/>
              <w:right w:w="80" w:type="dxa"/>
            </w:tcMar>
          </w:tcPr>
          <w:p>
            <w:r>
              <w:rPr>
                <w:b/>
                <w:color w:val="FFFFFF"/>
                <w:sz w:val="19"/>
              </w:rPr>
              <w:t>Représentant Désigné</w:t>
            </w:r>
          </w:p>
        </w:tc>
        <w:tc>
          <w:tcPr>
            <w:tcW w:type="dxa" w:w="3360"/>
            <w:shd w:fill="002060"/>
            <w:tcMar>
              <w:top w:w="60" w:type="dxa"/>
              <w:bottom w:w="60" w:type="dxa"/>
              <w:left w:w="80" w:type="dxa"/>
              <w:right w:w="80" w:type="dxa"/>
            </w:tcMar>
          </w:tcPr>
          <w:p>
            <w:r>
              <w:rPr>
                <w:b/>
                <w:color w:val="FFFFFF"/>
                <w:sz w:val="19"/>
              </w:rPr>
              <w:t>Date et Signature</w:t>
            </w:r>
          </w:p>
        </w:tc>
      </w:tr>
      <w:tr>
        <w:tc>
          <w:tcPr>
            <w:tcW w:type="dxa" w:w="3360"/>
            <w:tcMar>
              <w:top w:w="60" w:type="dxa"/>
              <w:bottom w:w="60" w:type="dxa"/>
              <w:left w:w="80" w:type="dxa"/>
              <w:right w:w="80" w:type="dxa"/>
            </w:tcMar>
          </w:tcPr>
          <w:p>
            <w:r>
              <w:rPr>
                <w:b/>
                <w:color w:val="002060"/>
                <w:sz w:val="18"/>
              </w:rPr>
              <w:t>Direction principale du Financement corporatif</w:t>
            </w:r>
          </w:p>
        </w:tc>
        <w:tc>
          <w:tcPr>
            <w:tcW w:type="dxa" w:w="3360"/>
            <w:tcMar>
              <w:top w:w="60" w:type="dxa"/>
              <w:bottom w:w="60" w:type="dxa"/>
              <w:left w:w="80" w:type="dxa"/>
              <w:right w:w="80" w:type="dxa"/>
            </w:tcMar>
          </w:tcPr>
          <w:p>
            <w:r>
              <w:rPr>
                <w:sz w:val="18"/>
              </w:rPr>
              <w:t>Direction principale du Financement (Porteur Métier)</w:t>
            </w:r>
          </w:p>
        </w:tc>
        <w:tc>
          <w:tcPr>
            <w:tcW w:type="dxa" w:w="3360"/>
            <w:tcMar>
              <w:top w:w="60" w:type="dxa"/>
              <w:bottom w:w="60" w:type="dxa"/>
              <w:left w:w="80" w:type="dxa"/>
              <w:right w:w="80" w:type="dxa"/>
            </w:tcMar>
          </w:tcPr>
          <w:p>
            <w:r>
              <w:rPr>
                <w:color w:val="166534"/>
                <w:sz w:val="18"/>
              </w:rPr>
              <w:t>☑ Soumis le 2026-09-23</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i/>
        <w:color w:val="94A3B8"/>
        <w:sz w:val="17"/>
      </w:rPr>
      <w:t>Document d'expression des besoins d'affaires — Soumission officielle au Bureau de l'IA (Parcours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INVESTISSEMENT QUÉBEC • DIRECTION DU FINANCEMENT CORPORATIF • PROJET SYNTH-IQ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