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rsidRPr="00044B88">
        <w:t>This study specifically aims to:</w:t>
      </w:r>
    </w:p>
    <w:p w14:paraId="47652C15" w14:textId="224B42E8" w:rsidR="00F31A09" w:rsidRDefault="00F31A09">
      <w:pPr>
        <w:spacing w:line="360" w:lineRule="auto"/>
        <w:jc w:val="both"/>
      </w:pPr>
      <w:r>
        <w:t xml:space="preserve">1. </w:t>
      </w:r>
      <w:r w:rsidRPr="00044B88">
        <w:t xml:space="preserve">Survey existing storage resource allocation approaches and their deficiencies in cost and SLA </w:t>
      </w:r>
      <w:r>
        <w:t>-</w:t>
      </w:r>
      <w:r w:rsidRPr="00044B88">
        <w:t>awareness.</w:t>
      </w:r>
    </w:p>
    <w:p w14:paraId="452D3FE9" w14:textId="6DE5C1DE" w:rsidR="00F31A09" w:rsidRDefault="00F31A09">
      <w:pPr>
        <w:spacing w:line="360" w:lineRule="auto"/>
        <w:jc w:val="both"/>
      </w:pPr>
      <w:r>
        <w:t>2. Develop</w:t>
      </w:r>
      <w:r w:rsidRPr="00044B88">
        <w:t xml:space="preserve"> a heuristic-based heuristic model for storage resource allocation with cost and SLA as two-fold objectives.</w:t>
      </w:r>
    </w:p>
    <w:p w14:paraId="0000002D" w14:textId="18AC4316" w:rsidR="00856CC6" w:rsidRPr="00044B88" w:rsidRDefault="00F31A09">
      <w:pPr>
        <w:spacing w:line="360" w:lineRule="auto"/>
        <w:jc w:val="both"/>
      </w:pPr>
      <w:r>
        <w:t xml:space="preserve">3. </w:t>
      </w:r>
      <w:r w:rsidRPr="00044B88">
        <w:t>Simulate the proposed heuristic approach using cloud storage workload traces.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chapter explains how the research and system development were done. It describes the research methodology requirements analysis, tools and technologies system design, algorithm description, dataset properties, testing strategy and ethical considerations for the SLA-Aware Storage Resource Allocation Optimizer.</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0" w:after="0" w:line="360" w:lineRule="auto"/>
        <w:jc w:val="both"/>
        <w:rPr>
          <w:b/>
          <w:bCs/>
          <w:color w:val="000000"/>
        </w:rPr>
      </w:pPr>
      <w:bookmarkStart w:id="87" w:name="j8jh9xweoecv" w:colFirst="0" w:colLast="0"/>
      <w:bookmarkStart w:id="88" w:name="_Toc235802057"/>
      <w:bookmarkEnd w:id="87"/>
      <w:r>
        <w:rPr>
          <w:b/>
          <w:bCs/>
          <w:color w:val="000000"/>
        </w:rPr>
        <w:t>3.5 Algorithm / Model Description</w:t>
      </w:r>
      <w:bookmarkEnd w:id="88"/>
    </w:p>
    <w:p w14:paraId="0339419F" w14:textId="77777777" w:rsidR="00B65A93" w:rsidRDefault="00B65A93" w:rsidP="00B65A93">
      <w:pPr>
        <w:pStyle w:val="Heading3"/>
        <w:spacing w:before="0" w:after="0" w:line="360" w:lineRule="auto"/>
        <w:jc w:val="both"/>
        <w:rPr>
          <w:b/>
          <w:bCs/>
          <w:color w:val="000000"/>
        </w:rPr>
      </w:pPr>
      <w:bookmarkStart w:id="89" w:name="4tqlrzotjnsw" w:colFirst="0" w:colLast="0"/>
      <w:bookmarkStart w:id="90" w:name="_Toc235802058"/>
      <w:bookmarkEnd w:id="89"/>
      <w:r>
        <w:rPr>
          <w:b/>
          <w:bCs/>
          <w:color w:val="000000"/>
        </w:rPr>
        <w:t>3.5.1 Algorithm</w:t>
      </w:r>
      <w:bookmarkEnd w:id="90"/>
    </w:p>
    <w:p w14:paraId="469711E1"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proposed system uses a </w:t>
      </w:r>
      <w:r>
        <w:rPr>
          <w:b/>
          <w:bCs/>
          <w:color w:val="000000"/>
        </w:rPr>
        <w:t>multi-objective greedy scoring heuristic</w:t>
      </w:r>
      <w:r>
        <w:rPr>
          <w:color w:val="000000"/>
        </w:rPr>
        <w:t>. Cost and unavailability are normalized via Min-Max scaling to ensure that difference in units ($ vs %) does not distort the score:</w:t>
      </w:r>
    </w:p>
    <w:p w14:paraId="2C95C985" w14:textId="77777777" w:rsidR="00B65A93" w:rsidRDefault="00B65A93" w:rsidP="00B65A93">
      <w:pPr>
        <w:pBdr>
          <w:top w:val="nil"/>
          <w:left w:val="nil"/>
          <w:bottom w:val="nil"/>
          <w:right w:val="nil"/>
          <w:between w:val="nil"/>
        </w:pBdr>
        <w:spacing w:line="360" w:lineRule="auto"/>
        <w:ind w:left="720"/>
        <w:jc w:val="both"/>
        <w:rPr>
          <w:color w:val="000000"/>
        </w:rPr>
      </w:pPr>
    </w:p>
    <w:p w14:paraId="0960C990" w14:textId="77777777" w:rsidR="00B65A93" w:rsidRDefault="00B65A93" w:rsidP="00B65A93">
      <w:pPr>
        <w:pBdr>
          <w:top w:val="nil"/>
          <w:left w:val="nil"/>
          <w:bottom w:val="nil"/>
          <w:right w:val="nil"/>
          <w:between w:val="nil"/>
        </w:pBdr>
        <w:spacing w:line="360" w:lineRule="auto"/>
        <w:ind w:left="720"/>
        <w:jc w:val="both"/>
        <w:rPr>
          <w:color w:val="000000"/>
        </w:rPr>
      </w:pPr>
    </w:p>
    <w:p w14:paraId="61214F69" w14:textId="77777777" w:rsidR="00B65A93" w:rsidRDefault="00B65A93" w:rsidP="00B65A93">
      <w:pPr>
        <w:pBdr>
          <w:top w:val="nil"/>
          <w:left w:val="nil"/>
          <w:bottom w:val="nil"/>
          <w:right w:val="nil"/>
          <w:between w:val="nil"/>
        </w:pBdr>
        <w:spacing w:line="360" w:lineRule="auto"/>
        <w:jc w:val="both"/>
        <w:rPr>
          <w:color w:val="000000"/>
        </w:rPr>
      </w:pPr>
      <w:r>
        <w:rPr>
          <w:color w:val="000000"/>
        </w:rPr>
        <w:t>Where:</w:t>
      </w:r>
    </w:p>
    <w:p w14:paraId="55F04E87"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final score for storage tier </w:t>
      </w:r>
      <m:oMath>
        <m:r>
          <w:rPr>
            <w:rFonts w:ascii="Aptos" w:eastAsia="Aptos" w:hAnsi="Aptos" w:cs="Aptos"/>
            <w:color w:val="000000"/>
          </w:rPr>
          <m:t>i</m:t>
        </m:r>
      </m:oMath>
      <w:r>
        <w:rPr>
          <w:color w:val="000000"/>
        </w:rPr>
        <w:t xml:space="preserve"> is:</w:t>
      </w:r>
    </w:p>
    <w:p w14:paraId="7F0173A5" w14:textId="77777777" w:rsidR="00B65A93" w:rsidRDefault="00B65A93" w:rsidP="00B65A93">
      <w:pPr>
        <w:pBdr>
          <w:top w:val="nil"/>
          <w:left w:val="nil"/>
          <w:bottom w:val="nil"/>
          <w:right w:val="nil"/>
          <w:between w:val="nil"/>
        </w:pBdr>
        <w:spacing w:line="360" w:lineRule="auto"/>
        <w:ind w:left="720"/>
        <w:jc w:val="both"/>
        <w:rPr>
          <w:color w:val="000000"/>
        </w:rPr>
      </w:pPr>
    </w:p>
    <w:p w14:paraId="75BE82A4" w14:textId="77777777" w:rsidR="00B65A93" w:rsidRDefault="00B65A93" w:rsidP="00B65A93">
      <w:pPr>
        <w:pBdr>
          <w:top w:val="nil"/>
          <w:left w:val="nil"/>
          <w:bottom w:val="nil"/>
          <w:right w:val="nil"/>
          <w:between w:val="nil"/>
        </w:pBdr>
        <w:spacing w:line="360" w:lineRule="auto"/>
        <w:jc w:val="both"/>
        <w:rPr>
          <w:color w:val="000000"/>
        </w:rPr>
      </w:pPr>
      <w:r>
        <w:rPr>
          <w:color w:val="000000"/>
        </w:rPr>
        <w:t>Subject to:</w:t>
      </w:r>
    </w:p>
    <w:p w14:paraId="28A6B79A" w14:textId="77777777" w:rsidR="00B65A93" w:rsidRDefault="00B65A93" w:rsidP="00B65A93">
      <w:pPr>
        <w:pBdr>
          <w:top w:val="nil"/>
          <w:left w:val="nil"/>
          <w:bottom w:val="nil"/>
          <w:right w:val="nil"/>
          <w:between w:val="nil"/>
        </w:pBdr>
        <w:spacing w:line="360" w:lineRule="auto"/>
        <w:ind w:left="720"/>
        <w:jc w:val="both"/>
        <w:rPr>
          <w:color w:val="000000"/>
        </w:rPr>
      </w:pPr>
    </w:p>
    <w:p w14:paraId="1EDE69B0" w14:textId="77777777" w:rsidR="00B65A93" w:rsidRDefault="00B65A93" w:rsidP="00B65A93">
      <w:pPr>
        <w:pBdr>
          <w:top w:val="nil"/>
          <w:left w:val="nil"/>
          <w:bottom w:val="nil"/>
          <w:right w:val="nil"/>
          <w:between w:val="nil"/>
        </w:pBdr>
        <w:spacing w:line="360" w:lineRule="auto"/>
        <w:ind w:left="720"/>
        <w:jc w:val="both"/>
        <w:rPr>
          <w:color w:val="000000"/>
        </w:rPr>
      </w:pPr>
    </w:p>
    <w:p w14:paraId="55893723" w14:textId="77777777" w:rsidR="00B65A93" w:rsidRDefault="00B65A93" w:rsidP="00B65A93">
      <w:pPr>
        <w:pBdr>
          <w:top w:val="nil"/>
          <w:left w:val="nil"/>
          <w:bottom w:val="nil"/>
          <w:right w:val="nil"/>
          <w:between w:val="nil"/>
        </w:pBdr>
        <w:spacing w:line="360" w:lineRule="auto"/>
        <w:ind w:left="720"/>
        <w:jc w:val="both"/>
        <w:rPr>
          <w:color w:val="000000"/>
        </w:rPr>
      </w:pPr>
    </w:p>
    <w:p w14:paraId="0C152E62" w14:textId="77777777" w:rsidR="00B65A93" w:rsidRDefault="00B65A93" w:rsidP="00B65A93">
      <w:pPr>
        <w:pBdr>
          <w:top w:val="nil"/>
          <w:left w:val="nil"/>
          <w:bottom w:val="nil"/>
          <w:right w:val="nil"/>
          <w:between w:val="nil"/>
        </w:pBdr>
        <w:spacing w:line="360" w:lineRule="auto"/>
        <w:ind w:left="720"/>
        <w:jc w:val="both"/>
        <w:rPr>
          <w:color w:val="000000"/>
        </w:rPr>
      </w:pPr>
    </w:p>
    <w:p w14:paraId="23A111F6" w14:textId="77777777" w:rsidR="00B65A93" w:rsidRDefault="00B65A93" w:rsidP="00B65A93">
      <w:pPr>
        <w:pBdr>
          <w:top w:val="nil"/>
          <w:left w:val="nil"/>
          <w:bottom w:val="nil"/>
          <w:right w:val="nil"/>
          <w:between w:val="nil"/>
        </w:pBdr>
        <w:spacing w:line="360" w:lineRule="auto"/>
        <w:jc w:val="both"/>
        <w:rPr>
          <w:color w:val="000000"/>
        </w:rPr>
      </w:pPr>
      <w:r>
        <w:rPr>
          <w:color w:val="000000"/>
        </w:rPr>
        <w:t>The exact pseudocode logic of the core algorithm is described below:</w:t>
      </w:r>
    </w:p>
    <w:p w14:paraId="753AD238" w14:textId="77777777" w:rsidR="00B65A93" w:rsidRDefault="00B65A93" w:rsidP="00B65A93">
      <w:pPr>
        <w:pBdr>
          <w:top w:val="nil"/>
          <w:left w:val="nil"/>
          <w:bottom w:val="nil"/>
          <w:right w:val="nil"/>
          <w:between w:val="nil"/>
        </w:pBdr>
        <w:spacing w:before="180" w:after="180" w:line="360" w:lineRule="auto"/>
        <w:jc w:val="both"/>
        <w:rPr>
          <w:color w:val="000000"/>
        </w:rPr>
      </w:pPr>
      <w:r>
        <w:rPr>
          <w:noProof/>
          <w:color w:val="000000"/>
        </w:rPr>
        <w:drawing>
          <wp:inline distT="0" distB="0" distL="114300" distR="114300" wp14:anchorId="7803FC94" wp14:editId="4BFDBFBD">
            <wp:extent cx="5943600" cy="432435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4324350"/>
                    </a:xfrm>
                    <a:prstGeom prst="rect">
                      <a:avLst/>
                    </a:prstGeom>
                    <a:ln/>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p>
      <w:r>
        <w:br w:type="page"/>
      </w:r>
    </w:p>
    <w:p>
      <w:pPr>
        <w:keepNext/>
        <w:spacing w:before="360" w:after="160"/>
      </w:pPr>
      <w:r>
        <w:rPr>
          <w:rFonts w:ascii="Times New Roman" w:hAnsi="Times New Roman"/>
          <w:b/>
          <w:color w:val="000000"/>
          <w:sz w:val="32"/>
        </w:rPr>
        <w:t>CHAPTER FOUR: SYSTEM IMPLEMENTATION, TESTING AND RESULTS</w:t>
      </w:r>
    </w:p>
    <w:p>
      <w:pPr>
        <w:keepNext/>
        <w:spacing w:before="280" w:after="120"/>
      </w:pPr>
      <w:r>
        <w:rPr>
          <w:rFonts w:ascii="Times New Roman" w:hAnsi="Times New Roman"/>
          <w:b/>
          <w:color w:val="000000"/>
          <w:sz w:val="28"/>
        </w:rPr>
        <w:t>4.0 Introduction</w:t>
      </w:r>
    </w:p>
    <w:p>
      <w:pPr>
        <w:spacing w:before="0" w:after="120" w:line="360" w:lineRule="auto"/>
      </w:pPr>
      <w:r>
        <w:rPr>
          <w:rFonts w:ascii="Times New Roman" w:hAnsi="Times New Roman"/>
          <w:color w:val="000000"/>
          <w:sz w:val="24"/>
        </w:rPr>
        <w:t xml:space="preserve">This chapter presents the comprehensive system development, software engineering implementation, interface design, empirical test procedures, performance evaluation, and system verification for the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Grounded in the Design Science Research methodology and dual-objective mathematical formulation established in Chapter Three, this implementation operationalizes multi-objective greedy scoring, Min-Max normalization, automated workload storage estimation models, and relational SQLite database persistence into an enterprise-grade cloud storage optimization platform.</w:t>
      </w:r>
    </w:p>
    <w:p>
      <w:pPr>
        <w:spacing w:before="0" w:after="120" w:line="360" w:lineRule="auto"/>
      </w:pPr>
      <w:r>
        <w:rPr>
          <w:rFonts w:ascii="Times New Roman" w:hAnsi="Times New Roman"/>
          <w:color w:val="000000"/>
          <w:sz w:val="24"/>
        </w:rPr>
        <w:t xml:space="preserve">The system provides a real-time web-based platform that enables cloud infrastructure administrators to optimize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color w:val="000000"/>
          <w:sz w:val="24"/>
        </w:rPr>
        <w:t>Automatic Storage Size Suggestion Engine</w:t>
      </w:r>
      <w:r>
        <w:rPr>
          <w:rFonts w:ascii="Times New Roman" w:hAnsi="Times New Roman"/>
          <w:color w:val="000000"/>
          <w:sz w:val="24"/>
        </w:rPr>
        <w:t xml:space="preserve"> that dynamically calculates storage capacity requirements based on operational parameters across five enterprise application workload profiles.</w:t>
      </w:r>
    </w:p>
    <w:p>
      <w:pPr>
        <w:spacing w:before="160" w:after="160"/>
      </w:pPr>
    </w:p>
    <w:p>
      <w:pPr>
        <w:keepNext/>
        <w:spacing w:before="280" w:after="120"/>
      </w:pPr>
      <w:r>
        <w:rPr>
          <w:rFonts w:ascii="Times New Roman" w:hAnsi="Times New Roman"/>
          <w:b/>
          <w:color w:val="000000"/>
          <w:sz w:val="28"/>
        </w:rPr>
        <w:t>4.1 Development Environment</w:t>
      </w:r>
    </w:p>
    <w:p>
      <w:pPr>
        <w:spacing w:before="0" w:after="120" w:line="360" w:lineRule="auto"/>
      </w:pPr>
      <w:r>
        <w:rPr>
          <w:rFonts w:ascii="Times New Roman" w:hAnsi="Times New Roman"/>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pPr>
      <w:r>
        <w:rPr>
          <w:rFonts w:ascii="Times New Roman" w:hAnsi="Times New Roman"/>
          <w:color w:val="000000"/>
          <w:sz w:val="24"/>
        </w:rPr>
        <w:t>Table 4.1 summarizes the complete hardware and system software development specifications.</w:t>
      </w:r>
    </w:p>
    <w:p>
      <w:pPr>
        <w:keepNext/>
        <w:spacing w:before="240" w:after="80"/>
      </w:pPr>
      <w:r>
        <w:rPr>
          <w:rFonts w:ascii="Times New Roman" w:hAnsi="Times New Roman"/>
          <w:b/>
          <w:color w:val="000000"/>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Environment Component</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Specification / Parameter</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Usage and Purpose</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Operating System**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Linux (Ubuntu 22.04 LTS, 64-bit)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Workstation operating system for development and benchmarking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**Processor (CPU)**</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Intel Core i7 / AMD Ryzen 7 (8 Cores, 3.80 GHz)</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Host execution unit for concurrent workload simulation tests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**Random Access Memory (RAM)**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16 GB DDR4 (3200 MHz)</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memory environment for vector computations and dataframe processing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**Storage Infrastructure**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512 GB NVMe M.2 Solid State Drive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High-speed local drive storage for SQLite database reads/writes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Engine**</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3.8+ (64-bit runtime environment)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Core interpreter executing system scripts and mathematical modules</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**Development Environment (IDE)**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Visual Studio Code v1.85+</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Source code editor, debugging interface, and version control terminal</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**Version Control &amp; Branching**</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Git v2.34+ &amp; GitHub Repository</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Distributed code version control and codebase tracking</w:t>
            </w:r>
          </w:p>
        </w:tc>
      </w:tr>
    </w:tbl>
    <w:p>
      <w:pPr>
        <w:spacing w:after="120"/>
      </w:pPr>
    </w:p>
    <w:p>
      <w:pPr>
        <w:spacing w:before="160" w:after="160"/>
      </w:pPr>
    </w:p>
    <w:p>
      <w:pPr>
        <w:keepNext/>
        <w:spacing w:before="280" w:after="120"/>
      </w:pPr>
      <w:r>
        <w:rPr>
          <w:rFonts w:ascii="Times New Roman" w:hAnsi="Times New Roman"/>
          <w:b/>
          <w:color w:val="000000"/>
          <w:sz w:val="28"/>
        </w:rPr>
        <w:t>4.2 Programming Language(s) Used</w:t>
      </w:r>
    </w:p>
    <w:p>
      <w:pPr>
        <w:spacing w:before="0" w:after="120" w:line="360" w:lineRule="auto"/>
      </w:pPr>
      <w:r>
        <w:rPr>
          <w:rFonts w:ascii="Times New Roman" w:hAnsi="Times New Roman"/>
          <w:color w:val="000000"/>
          <w:sz w:val="24"/>
        </w:rPr>
        <w:t xml:space="preserve">The entire system backend, mathematical optimization engine, data access layer, and user interface were constructed using </w:t>
      </w:r>
      <w:r>
        <w:rPr>
          <w:rFonts w:ascii="Times New Roman" w:hAnsi="Times New Roman"/>
          <w:b/>
          <w:color w:val="000000"/>
          <w:sz w:val="24"/>
        </w:rPr>
        <w:t>Python 3.8+</w:t>
      </w:r>
      <w:r>
        <w:rPr>
          <w:rFonts w:ascii="Times New Roman" w:hAnsi="Times New Roman"/>
          <w:color w:val="000000"/>
          <w:sz w:val="24"/>
        </w:rPr>
        <w:t>. Python was selected as the primary programming language based on several critical software engineering criteria:</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Rich Scientific Computing Ecosystem</w:t>
      </w:r>
      <w:r>
        <w:rPr>
          <w:rFonts w:ascii="Times New Roman" w:hAnsi="Times New Roman"/>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Rapid Prototyping &amp; Dynamic Typing</w:t>
      </w:r>
      <w:r>
        <w:rPr>
          <w:rFonts w:ascii="Times New Roman" w:hAnsi="Times New Roman"/>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Seamless Web Framework Integration</w:t>
      </w:r>
      <w:r>
        <w:rPr>
          <w:rFonts w:ascii="Times New Roman" w:hAnsi="Times New Roman"/>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Embedded Relational Database Support</w:t>
      </w:r>
      <w:r>
        <w:rPr>
          <w:rFonts w:ascii="Times New Roman" w:hAnsi="Times New Roman"/>
          <w:color w:val="000000"/>
          <w:sz w:val="24"/>
        </w:rPr>
        <w:t>: Python includes built-in bindings for SQLite (`sqlite3`), enabling embedded, zero-configuration relational database management with complete ACID transaction guarantees.</w:t>
      </w:r>
    </w:p>
    <w:p>
      <w:pPr>
        <w:spacing w:before="160" w:after="160"/>
      </w:pPr>
    </w:p>
    <w:p>
      <w:pPr>
        <w:keepNext/>
        <w:spacing w:before="280" w:after="120"/>
      </w:pPr>
      <w:r>
        <w:rPr>
          <w:rFonts w:ascii="Times New Roman" w:hAnsi="Times New Roman"/>
          <w:b/>
          <w:color w:val="000000"/>
          <w:sz w:val="28"/>
        </w:rPr>
        <w:t>4.3 Tools and Frameworks</w:t>
      </w:r>
    </w:p>
    <w:p>
      <w:pPr>
        <w:spacing w:before="0" w:after="120" w:line="360" w:lineRule="auto"/>
      </w:pPr>
      <w:r>
        <w:rPr>
          <w:rFonts w:ascii="Times New Roman" w:hAnsi="Times New Roman"/>
          <w:color w:val="000000"/>
          <w:sz w:val="24"/>
        </w:rPr>
        <w:t>The system architecture leverages a curated suite of open-source libraries, UI frameworks, visualization engines, and automated testing tools: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Streamlit (v1.30+)</w:t>
      </w:r>
      <w:r>
        <w:rPr>
          <w:rFonts w:ascii="Times New Roman" w:hAnsi="Times New Roman"/>
          <w:color w:val="000000"/>
          <w:sz w:val="24"/>
        </w:rPr>
        <w:t>: A reactive Python web application framework used to build the single-page user interface. Streamlit manages component rendering, session state, user input controls, and dynamic widget updates upon parameter modification.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Plotly Express (v5.18+)</w:t>
      </w:r>
      <w:r>
        <w:rPr>
          <w:rFonts w:ascii="Times New Roman" w:hAnsi="Times New Roman"/>
          <w:color w:val="000000"/>
          <w:sz w:val="24"/>
        </w:rPr>
        <w:t>: An interactive data visualization library used to render real-time pie charts, bar charts, line graphs, area charts, and multi-dimensional scatter plots for storage growth, cost allocation, and tier distribution analytics.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Pandas (v2.0+) &amp; NumPy (v1.24+)</w:t>
      </w:r>
      <w:r>
        <w:rPr>
          <w:rFonts w:ascii="Times New Roman" w:hAnsi="Times New Roman"/>
          <w:color w:val="000000"/>
          <w:sz w:val="24"/>
        </w:rPr>
        <w:t>: Fundamental data science libraries utilized for tabular data processing, candidate storage tier filtering, Min-Max vector normalization, baseline algorithm evaluation, and CSV export file generation.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SQLite3</w:t>
      </w:r>
      <w:r>
        <w:rPr>
          <w:rFonts w:ascii="Times New Roman" w:hAnsi="Times New Roman"/>
          <w:color w:val="000000"/>
          <w:sz w:val="24"/>
        </w:rPr>
        <w:t>: An embedded, file-based relational database management system used to store storage tier specifications, workload parameters, allocation recommendation outputs, and historical audit logs.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Playwright (v1.40+)</w:t>
      </w:r>
      <w:r>
        <w:rPr>
          <w:rFonts w:ascii="Times New Roman" w:hAnsi="Times New Roman"/>
          <w:color w:val="000000"/>
          <w:sz w:val="24"/>
        </w:rPr>
        <w:t>: A headless browser automation framework utilized for automated end-to-end interface verification, component layout testing, and high-resolution screen capture.</w:t>
      </w:r>
    </w:p>
    <w:p>
      <w:pPr>
        <w:spacing w:before="160" w:after="160"/>
      </w:pPr>
    </w:p>
    <w:p>
      <w:pPr>
        <w:keepNext/>
        <w:spacing w:before="280" w:after="120"/>
      </w:pPr>
      <w:r>
        <w:rPr>
          <w:rFonts w:ascii="Times New Roman" w:hAnsi="Times New Roman"/>
          <w:b/>
          <w:color w:val="000000"/>
          <w:sz w:val="28"/>
        </w:rPr>
        <w:t>4.4 Database Implementation</w:t>
      </w:r>
    </w:p>
    <w:p>
      <w:pPr>
        <w:spacing w:before="0" w:after="120" w:line="360" w:lineRule="auto"/>
      </w:pPr>
      <w:r>
        <w:rPr>
          <w:rFonts w:ascii="Times New Roman" w:hAnsi="Times New Roman"/>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pPr>
      <w:r>
        <w:rPr>
          <w:rFonts w:ascii="Times New Roman" w:hAnsi="Times New Roman"/>
          <w:b/>
          <w:color w:val="000000"/>
          <w:sz w:val="25"/>
        </w:rPr>
        <w:t>4.4.1 Relational Entity Schema &amp; DDL Implementation</w:t>
      </w:r>
    </w:p>
    <w:p>
      <w:pPr>
        <w:spacing w:before="0" w:after="120" w:line="360" w:lineRule="auto"/>
      </w:pPr>
      <w:r>
        <w:rPr>
          <w:rFonts w:ascii="Times New Roman" w:hAnsi="Times New Roman"/>
          <w:color w:val="000000"/>
          <w:sz w:val="24"/>
        </w:rPr>
        <w:t>Figure 4.1 outlines the relational structure. Table `storage_tiers` acts as a lookup entity referenced by table `allocations` through the foreign key `recommended_tier_id`.</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Storage Tiers Table Schema</w:t>
              <w:br/>
              <w:t>CREATE TABLE IF NOT EXISTS storage_tiers (</w:t>
              <w:br/>
              <w:t xml:space="preserve">    id INTEGER PRIMARY KEY AUTOINCREMENT,</w:t>
              <w:br/>
              <w:t xml:space="preserve">    name TEXT NOT NULL,</w:t>
              <w:br/>
              <w:t xml:space="preserve">    cost_per_gb REAL NOT NULL,</w:t>
              <w:br/>
              <w:t xml:space="preserve">    sla_availability REAL NOT NULL,</w:t>
              <w:br/>
              <w:t xml:space="preserve">    access_latency REAL NOT NULL</w:t>
              <w:br/>
              <w:t>);</w:t>
              <w:br/>
              <w:br/>
              <w:t>-- Historical Allocations Table Schema</w:t>
              <w:br/>
              <w:t>CREATE TABLE IF NOT EXISTS allocations (</w:t>
              <w:br/>
              <w:t xml:space="preserve">    id INTEGER PRIMARY KEY AUTOINCREMENT,</w:t>
              <w:br/>
              <w:t xml:space="preserve">    required_size REAL NOT NULL,</w:t>
              <w:br/>
              <w:t xml:space="preserve">    availability_req REAL NOT NULL,</w:t>
              <w:br/>
              <w:t xml:space="preserve">    latency_req REAL NOT NULL,</w:t>
              <w:br/>
              <w:t xml:space="preserve">    budget REAL,</w:t>
              <w:br/>
              <w:t xml:space="preserve">    alpha REAL DEFAULT 0.5,</w:t>
              <w:br/>
              <w:t xml:space="preserve">    beta REAL DEFAULT 0.5,</w:t>
              <w:br/>
              <w:t xml:space="preserve">    recommended_tier_id INTEGER,</w:t>
              <w:br/>
              <w:t xml:space="preserve">    cost_estimate REAL NOT NULL,</w:t>
              <w:br/>
              <w:t xml:space="preserve">    availability_prediction REAL NOT NULL,</w:t>
              <w:br/>
              <w:t xml:space="preserve">    latency_prediction REAL NOT NULL,</w:t>
              <w:br/>
              <w:t xml:space="preserve">    created_at TEXT NOT NULL,</w:t>
              <w:br/>
              <w:t xml:space="preserve">    FOREIGN KEY (recommended_tier_id) REFERENCES storage_tiers(id)</w:t>
              <w:br/>
              <w:t>);</w:t>
            </w:r>
          </w:p>
        </w:tc>
      </w:tr>
    </w:tbl>
    <w:p>
      <w:pPr>
        <w:spacing w:after="120"/>
      </w:pPr>
    </w:p>
    <w:p>
      <w:pPr>
        <w:keepNext/>
        <w:spacing w:before="240" w:after="80"/>
      </w:pPr>
      <w:r>
        <w:rPr>
          <w:rFonts w:ascii="Times New Roman" w:hAnsi="Times New Roman"/>
          <w:b/>
          <w:color w:val="000000"/>
          <w:sz w:val="25"/>
        </w:rPr>
        <w:t>4.4.2 Default Storage Tier Seed Data</w:t>
      </w:r>
    </w:p>
    <w:p>
      <w:pPr>
        <w:spacing w:before="0" w:after="120" w:line="360" w:lineRule="auto"/>
      </w:pPr>
      <w:r>
        <w:rPr>
          <w:rFonts w:ascii="Times New Roman" w:hAnsi="Times New Roman"/>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Block Storage</w:t>
      </w:r>
      <w:r>
        <w:rPr>
          <w:rFonts w:ascii="Times New Roman" w:hAnsi="Times New Roman"/>
          <w:color w:val="000000"/>
          <w:sz w:val="24"/>
        </w:rPr>
        <w:t>: High-performance tier designed for transactional databases.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File Storage</w:t>
      </w:r>
      <w:r>
        <w:rPr>
          <w:rFonts w:ascii="Times New Roman" w:hAnsi="Times New Roman"/>
          <w:color w:val="000000"/>
          <w:sz w:val="24"/>
        </w:rPr>
        <w:t>: General-purpose shared storage tier for CMS and application files.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Object Storage</w:t>
      </w:r>
      <w:r>
        <w:rPr>
          <w:rFonts w:ascii="Times New Roman" w:hAnsi="Times New Roman"/>
          <w:color w:val="000000"/>
          <w:sz w:val="24"/>
        </w:rPr>
        <w:t>: High-capacity tier designed for media, IoT logs, and backups.</w:t>
      </w:r>
    </w:p>
    <w:p>
      <w:pPr>
        <w:spacing w:before="160" w:after="160"/>
      </w:pPr>
    </w:p>
    <w:p>
      <w:pPr>
        <w:keepNext/>
        <w:spacing w:before="280" w:after="120"/>
      </w:pPr>
      <w:r>
        <w:rPr>
          <w:rFonts w:ascii="Times New Roman" w:hAnsi="Times New Roman"/>
          <w:b/>
          <w:color w:val="000000"/>
          <w:sz w:val="28"/>
        </w:rPr>
        <w:t>4.5 System Modules and Architecture</w:t>
      </w:r>
    </w:p>
    <w:p>
      <w:pPr>
        <w:spacing w:before="0" w:after="120" w:line="360" w:lineRule="auto"/>
      </w:pPr>
      <w:r>
        <w:rPr>
          <w:rFonts w:ascii="Times New Roman" w:hAnsi="Times New Roman"/>
          <w:color w:val="000000"/>
          <w:sz w:val="24"/>
        </w:rPr>
        <w:t>The system architecture follows a clean modular separation of concerns. The codebase is organized into entry points, database logic, mathematical optimization scripts, data generation scripts, and modular Streamlit UI views:</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cloud-optimized/</w:t>
              <w:br/>
              <w:t>├── app.py                     # Main Routing Controller &amp; Sidebar Navigation</w:t>
              <w:br/>
              <w:t>├── database.py                # SQLite Data Access Layer &amp; Relational Schema</w:t>
              <w:br/>
              <w:t>├── heuristic.py               # Heuristic Engine, Baseline Algorithms &amp; Auto-Suggest</w:t>
              <w:br/>
              <w:t>├── mock_data.py               # Benchmark Allocation Generator Utility</w:t>
              <w:br/>
              <w:t>├── capture_screenshots.py     # Automated Interface Screenshot Capture Script</w:t>
              <w:br/>
              <w:t>├── capture_code_screenshots.py# Automated Code Module Screenshot Capture Script</w:t>
              <w:br/>
              <w:t>└── modules/                   # UI View Modules</w:t>
              <w:br/>
              <w:t xml:space="preserve">    ├── allocation.py          # Allocation Simulation &amp; Workload Auto-Suggest View</w:t>
              <w:br/>
              <w:t xml:space="preserve">    ├── dashboard.py           # Executive System KPI Dashboard View</w:t>
              <w:br/>
              <w:t xml:space="preserve">    ├── monitoring.py          # Performance Monitoring &amp; SLA Compliance View</w:t>
              <w:br/>
              <w:t xml:space="preserve">    └── reporting.py           # Historical Allocation Logger &amp; CSV Exporter View</w:t>
            </w:r>
          </w:p>
        </w:tc>
      </w:tr>
    </w:tbl>
    <w:p>
      <w:pPr>
        <w:spacing w:after="120"/>
      </w:pPr>
    </w:p>
    <w:p>
      <w:pPr>
        <w:spacing w:before="0" w:after="120" w:line="360" w:lineRule="auto"/>
      </w:pPr>
      <w:r>
        <w:rPr>
          <w:rFonts w:ascii="Times New Roman" w:hAnsi="Times New Roman"/>
          <w:color w:val="000000"/>
          <w:sz w:val="24"/>
        </w:rPr>
        <w:t>- `app.py`: Initializes the SQLite database on launch, configures web page metadata, builds sidebar navigation controls, and dynamically renders the selected module.</w:t>
      </w:r>
    </w:p>
    <w:p>
      <w:pPr>
        <w:spacing w:before="0" w:after="120" w:line="360" w:lineRule="auto"/>
      </w:pPr>
      <w:r>
        <w:rPr>
          <w:rFonts w:ascii="Times New Roman" w:hAnsi="Times New Roman"/>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pPr>
      <w:r>
        <w:rPr>
          <w:rFonts w:ascii="Times New Roman" w:hAnsi="Times New Roman"/>
          <w:color w:val="000000"/>
          <w:sz w:val="24"/>
        </w:rPr>
        <w:t>- `database.py`: Handles SQLite connection pooling, query execution, transaction management, default data seeding, and CSV data extraction.</w:t>
      </w:r>
    </w:p>
    <w:p>
      <w:pPr>
        <w:spacing w:before="160" w:after="160"/>
      </w:pPr>
    </w:p>
    <w:p>
      <w:pPr>
        <w:keepNext/>
        <w:spacing w:before="280" w:after="120"/>
      </w:pPr>
      <w:r>
        <w:rPr>
          <w:rFonts w:ascii="Times New Roman" w:hAnsi="Times New Roman"/>
          <w:b/>
          <w:color w:val="000000"/>
          <w:sz w:val="28"/>
        </w:rPr>
        <w:t>4.6 Interface Design</w:t>
      </w:r>
    </w:p>
    <w:p>
      <w:pPr>
        <w:spacing w:before="0" w:after="120" w:line="360" w:lineRule="auto"/>
      </w:pPr>
      <w:r>
        <w:rPr>
          <w:rFonts w:ascii="Times New Roman" w:hAnsi="Times New Roman"/>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pPr>
      <w:r>
        <w:rPr>
          <w:rFonts w:ascii="Times New Roman" w:hAnsi="Times New Roman"/>
          <w:b/>
          <w:color w:val="000000"/>
          <w:sz w:val="25"/>
        </w:rPr>
        <w:t>4.6.1 Executive Dashboard Interface</w:t>
      </w:r>
    </w:p>
    <w:p>
      <w:pPr>
        <w:spacing w:before="0" w:after="120" w:line="360" w:lineRule="auto"/>
      </w:pPr>
      <w:r>
        <w:rPr>
          <w:rFonts w:ascii="Times New Roman" w:hAnsi="Times New Roman"/>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jc w:val="center"/>
      </w:pPr>
      <w:r>
        <w:drawing>
          <wp:inline xmlns:a="http://schemas.openxmlformats.org/drawingml/2006/main" xmlns:pic="http://schemas.openxmlformats.org/drawingml/2006/picture">
            <wp:extent cx="5669280" cy="3847011"/>
            <wp:docPr id="7" name="Picture 7"/>
            <wp:cNvGraphicFramePr>
              <a:graphicFrameLocks noChangeAspect="1"/>
            </wp:cNvGraphicFramePr>
            <a:graphic>
              <a:graphicData uri="http://schemas.openxmlformats.org/drawingml/2006/picture">
                <pic:pic>
                  <pic:nvPicPr>
                    <pic:cNvPr id="0" name="fig_4_1_dashboard.png"/>
                    <pic:cNvPicPr/>
                  </pic:nvPicPr>
                  <pic:blipFill>
                    <a:blip r:embed="rId19"/>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4.1: </w:t>
      </w:r>
      <w:r>
        <w:rPr>
          <w:rFonts w:ascii="Times New Roman" w:hAnsi="Times New Roman"/>
          <w:i/>
          <w:color w:val="000000"/>
          <w:sz w:val="20"/>
        </w:rPr>
        <w:t>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000000"/>
          <w:sz w:val="25"/>
        </w:rPr>
        <w:t>4.6.2 Allocation Simulation &amp; Automatic Storage Sizing Interface</w:t>
      </w:r>
    </w:p>
    <w:p>
      <w:pPr>
        <w:spacing w:before="0" w:after="120" w:line="360" w:lineRule="auto"/>
      </w:pPr>
      <w:r>
        <w:rPr>
          <w:rFonts w:ascii="Times New Roman" w:hAnsi="Times New Roman"/>
          <w:color w:val="000000"/>
          <w:sz w:val="24"/>
        </w:rPr>
        <w:t xml:space="preserve">The Allocation Simulation interface features the </w:t>
      </w:r>
      <w:r>
        <w:rPr>
          <w:rFonts w:ascii="Times New Roman" w:hAnsi="Times New Roman"/>
          <w:b/>
          <w:color w:val="000000"/>
          <w:sz w:val="24"/>
        </w:rPr>
        <w:t>Automatic Storage Size Suggestion Engine</w:t>
      </w:r>
      <w:r>
        <w:rPr>
          <w:rFonts w:ascii="Times New Roman" w:hAnsi="Times New Roman"/>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jc w:val="center"/>
      </w:pPr>
      <w:r>
        <w:drawing>
          <wp:inline xmlns:a="http://schemas.openxmlformats.org/drawingml/2006/main" xmlns:pic="http://schemas.openxmlformats.org/drawingml/2006/picture">
            <wp:extent cx="5669280" cy="3847011"/>
            <wp:docPr id="8" name="Picture 8"/>
            <wp:cNvGraphicFramePr>
              <a:graphicFrameLocks noChangeAspect="1"/>
            </wp:cNvGraphicFramePr>
            <a:graphic>
              <a:graphicData uri="http://schemas.openxmlformats.org/drawingml/2006/picture">
                <pic:pic>
                  <pic:nvPicPr>
                    <pic:cNvPr id="0" name="fig_4_2_allocation.png"/>
                    <pic:cNvPicPr/>
                  </pic:nvPicPr>
                  <pic:blipFill>
                    <a:blip r:embed="rId20"/>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4.2: </w:t>
      </w:r>
      <w:r>
        <w:rPr>
          <w:rFonts w:ascii="Times New Roman" w:hAnsi="Times New Roman"/>
          <w:i/>
          <w:color w:val="000000"/>
          <w:sz w:val="20"/>
        </w:rPr>
        <w:t>Storage Resource Allocation Simulation View displaying the Automatic Storage Size Suggestion Engine and baseline comparative analysis</w:t>
      </w:r>
    </w:p>
    <w:p>
      <w:pPr>
        <w:spacing w:before="160" w:after="160"/>
      </w:pPr>
    </w:p>
    <w:p>
      <w:pPr>
        <w:keepNext/>
        <w:spacing w:before="240" w:after="80"/>
      </w:pPr>
      <w:r>
        <w:rPr>
          <w:rFonts w:ascii="Times New Roman" w:hAnsi="Times New Roman"/>
          <w:b/>
          <w:color w:val="000000"/>
          <w:sz w:val="25"/>
        </w:rPr>
        <w:t>4.6.3 Performance Monitoring Interface</w:t>
      </w:r>
    </w:p>
    <w:p>
      <w:pPr>
        <w:spacing w:before="0" w:after="120" w:line="360" w:lineRule="auto"/>
      </w:pPr>
      <w:r>
        <w:rPr>
          <w:rFonts w:ascii="Times New Roman" w:hAnsi="Times New Roman"/>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jc w:val="center"/>
      </w:pPr>
      <w:r>
        <w:drawing>
          <wp:inline xmlns:a="http://schemas.openxmlformats.org/drawingml/2006/main" xmlns:pic="http://schemas.openxmlformats.org/drawingml/2006/picture">
            <wp:extent cx="5669280" cy="3847011"/>
            <wp:docPr id="9" name="Picture 9"/>
            <wp:cNvGraphicFramePr>
              <a:graphicFrameLocks noChangeAspect="1"/>
            </wp:cNvGraphicFramePr>
            <a:graphic>
              <a:graphicData uri="http://schemas.openxmlformats.org/drawingml/2006/picture">
                <pic:pic>
                  <pic:nvPicPr>
                    <pic:cNvPr id="0" name="fig_4_3_monitoring.png"/>
                    <pic:cNvPicPr/>
                  </pic:nvPicPr>
                  <pic:blipFill>
                    <a:blip r:embed="rId21"/>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4.3: </w:t>
      </w:r>
      <w:r>
        <w:rPr>
          <w:rFonts w:ascii="Times New Roman" w:hAnsi="Times New Roman"/>
          <w:i/>
          <w:color w:val="000000"/>
          <w:sz w:val="20"/>
        </w:rPr>
        <w:t>Tier Performance Monitoring View showing cumulative storage growth, cost trends, and profile distribution</w:t>
      </w:r>
    </w:p>
    <w:p>
      <w:pPr>
        <w:spacing w:before="160" w:after="160"/>
      </w:pPr>
    </w:p>
    <w:p>
      <w:pPr>
        <w:keepNext/>
        <w:spacing w:before="240" w:after="80"/>
      </w:pPr>
      <w:r>
        <w:rPr>
          <w:rFonts w:ascii="Times New Roman" w:hAnsi="Times New Roman"/>
          <w:b/>
          <w:color w:val="000000"/>
          <w:sz w:val="25"/>
        </w:rPr>
        <w:t>4.6.4 Reporting &amp; Audit Log Interface</w:t>
      </w:r>
    </w:p>
    <w:p>
      <w:pPr>
        <w:spacing w:before="0" w:after="120" w:line="360" w:lineRule="auto"/>
      </w:pPr>
      <w:r>
        <w:rPr>
          <w:rFonts w:ascii="Times New Roman" w:hAnsi="Times New Roman"/>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jc w:val="center"/>
      </w:pPr>
      <w:r>
        <w:drawing>
          <wp:inline xmlns:a="http://schemas.openxmlformats.org/drawingml/2006/main" xmlns:pic="http://schemas.openxmlformats.org/drawingml/2006/picture">
            <wp:extent cx="5669280" cy="3847011"/>
            <wp:docPr id="10" name="Picture 10"/>
            <wp:cNvGraphicFramePr>
              <a:graphicFrameLocks noChangeAspect="1"/>
            </wp:cNvGraphicFramePr>
            <a:graphic>
              <a:graphicData uri="http://schemas.openxmlformats.org/drawingml/2006/picture">
                <pic:pic>
                  <pic:nvPicPr>
                    <pic:cNvPr id="0" name="fig_4_4_reporting.png"/>
                    <pic:cNvPicPr/>
                  </pic:nvPicPr>
                  <pic:blipFill>
                    <a:blip r:embed="rId22"/>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4.4: </w:t>
      </w:r>
      <w:r>
        <w:rPr>
          <w:rFonts w:ascii="Times New Roman" w:hAnsi="Times New Roman"/>
          <w:i/>
          <w:color w:val="000000"/>
          <w:sz w:val="20"/>
        </w:rPr>
        <w:t>Allocation Reporting &amp; Audit Log View showing detailed historical records and CSV export control</w:t>
      </w:r>
    </w:p>
    <w:p>
      <w:pPr>
        <w:spacing w:before="160" w:after="160"/>
      </w:pPr>
    </w:p>
    <w:p>
      <w:pPr>
        <w:keepNext/>
        <w:spacing w:before="280" w:after="120"/>
      </w:pPr>
      <w:r>
        <w:rPr>
          <w:rFonts w:ascii="Times New Roman" w:hAnsi="Times New Roman"/>
          <w:b/>
          <w:color w:val="000000"/>
          <w:sz w:val="28"/>
        </w:rPr>
        <w:t>4.7 Explanation of Key Code Modules</w:t>
      </w:r>
    </w:p>
    <w:p>
      <w:pPr>
        <w:spacing w:before="0" w:after="120" w:line="360" w:lineRule="auto"/>
      </w:pPr>
      <w:r>
        <w:rPr>
          <w:rFonts w:ascii="Times New Roman" w:hAnsi="Times New Roman"/>
          <w:color w:val="000000"/>
          <w:sz w:val="24"/>
        </w:rPr>
        <w:t>This section presents technical code walkthroughs detailing the primary software components of the system. High-resolution syntax-highlighted code figures accompany each walkthrough.</w:t>
      </w:r>
    </w:p>
    <w:p>
      <w:pPr>
        <w:keepNext/>
        <w:spacing w:before="240" w:after="80"/>
      </w:pPr>
      <w:r>
        <w:rPr>
          <w:rFonts w:ascii="Times New Roman" w:hAnsi="Times New Roman"/>
          <w:b/>
          <w:color w:val="000000"/>
          <w:sz w:val="25"/>
        </w:rPr>
        <w:t>4.7.1 Database Persistence Layer (`database.py`)</w:t>
      </w:r>
    </w:p>
    <w:p>
      <w:pPr>
        <w:spacing w:before="0" w:after="120" w:line="360" w:lineRule="auto"/>
      </w:pPr>
      <w:r>
        <w:rPr>
          <w:rFonts w:ascii="Times New Roman" w:hAnsi="Times New Roman"/>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jc w:val="center"/>
      </w:pPr>
      <w:r>
        <w:drawing>
          <wp:inline xmlns:a="http://schemas.openxmlformats.org/drawingml/2006/main" xmlns:pic="http://schemas.openxmlformats.org/drawingml/2006/picture">
            <wp:extent cx="5669280" cy="4662864"/>
            <wp:docPr id="11" name="Picture 11"/>
            <wp:cNvGraphicFramePr>
              <a:graphicFrameLocks noChangeAspect="1"/>
            </wp:cNvGraphicFramePr>
            <a:graphic>
              <a:graphicData uri="http://schemas.openxmlformats.org/drawingml/2006/picture">
                <pic:pic>
                  <pic:nvPicPr>
                    <pic:cNvPr id="0" name="fig_4_5_code_db.png"/>
                    <pic:cNvPicPr/>
                  </pic:nvPicPr>
                  <pic:blipFill>
                    <a:blip r:embed="rId23"/>
                    <a:stretch>
                      <a:fillRect/>
                    </a:stretch>
                  </pic:blipFill>
                  <pic:spPr>
                    <a:xfrm>
                      <a:off x="0" y="0"/>
                      <a:ext cx="5669280" cy="4662864"/>
                    </a:xfrm>
                    <a:prstGeom prst="rect"/>
                  </pic:spPr>
                </pic:pic>
              </a:graphicData>
            </a:graphic>
          </wp:inline>
        </w:drawing>
      </w:r>
    </w:p>
    <w:p>
      <w:pPr>
        <w:spacing w:before="40" w:after="280"/>
        <w:jc w:val="center"/>
      </w:pPr>
      <w:r>
        <w:rPr>
          <w:rFonts w:ascii="Times New Roman" w:hAnsi="Times New Roman"/>
          <w:b/>
          <w:color w:val="000000"/>
          <w:sz w:val="20"/>
        </w:rPr>
        <w:t xml:space="preserve">Figure 4.5: </w:t>
      </w:r>
      <w:r>
        <w:rPr>
          <w:rFonts w:ascii="Times New Roman" w:hAnsi="Times New Roman"/>
          <w:i/>
          <w:color w:val="000000"/>
          <w:sz w:val="20"/>
        </w:rPr>
        <w:t>Source Code Screenshot - Database Initialization and Relational Schema Definition (database.py)</w:t>
      </w:r>
    </w:p>
    <w:p>
      <w:pPr>
        <w:spacing w:before="160" w:after="160"/>
      </w:pPr>
    </w:p>
    <w:p>
      <w:pPr>
        <w:keepNext/>
        <w:spacing w:before="240" w:after="80"/>
      </w:pPr>
      <w:r>
        <w:rPr>
          <w:rFonts w:ascii="Times New Roman" w:hAnsi="Times New Roman"/>
          <w:b/>
          <w:color w:val="000000"/>
          <w:sz w:val="25"/>
        </w:rPr>
        <w:t>4.7.2 Automated Workload Storage Size Sizing Engine (`heuristic.py`)</w:t>
      </w:r>
    </w:p>
    <w:p>
      <w:pPr>
        <w:spacing w:before="0" w:after="120" w:line="360" w:lineRule="auto"/>
      </w:pPr>
      <w:r>
        <w:rPr>
          <w:rFonts w:ascii="Times New Roman" w:hAnsi="Times New Roman"/>
          <w:color w:val="000000"/>
          <w:sz w:val="24"/>
        </w:rPr>
        <w:t>Code Module 4.2 (`suggest_workload_size` in `heuristic.py`) computes recommended storage volume (S_req in GB) from operational metrics across five enterprise workload categories: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Enterprise Relational DB (OLTP)</w:t>
      </w:r>
      <w:r>
        <w:rPr>
          <w:rFonts w:ascii="Times New Roman" w:hAnsi="Times New Roman"/>
          <w:color w:val="000000"/>
          <w:sz w:val="24"/>
        </w:rPr>
        <w:t>: `S_req = 20.0 + (Users × 0.05) + (Transactions × 0.0001)`</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HD Video &amp; Media Streaming</w:t>
      </w:r>
      <w:r>
        <w:rPr>
          <w:rFonts w:ascii="Times New Roman" w:hAnsi="Times New Roman"/>
          <w:color w:val="000000"/>
          <w:sz w:val="24"/>
        </w:rPr>
        <w:t>: `S_req = Media_Count × Avg_File_GB`</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IoT Sensor &amp; Log Analytics</w:t>
      </w:r>
      <w:r>
        <w:rPr>
          <w:rFonts w:ascii="Times New Roman" w:hAnsi="Times New Roman"/>
          <w:color w:val="000000"/>
          <w:sz w:val="24"/>
        </w:rPr>
        <w:t>: `S_req = (Devices × Daily_Log_MB × Retention_Days) ÷ 1024`</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Document &amp; Content Management (CMS)</w:t>
      </w:r>
      <w:r>
        <w:rPr>
          <w:rFonts w:ascii="Times New Roman" w:hAnsi="Times New Roman"/>
          <w:color w:val="000000"/>
          <w:sz w:val="24"/>
        </w:rPr>
        <w:t>: `S_req = (Employees × Docs_Per_Emp × Avg_Doc_MB) ÷ 1024`</w:t>
      </w:r>
    </w:p>
    <w:p>
      <w:pPr>
        <w:spacing w:before="0" w:after="120" w:line="360" w:lineRule="auto"/>
      </w:pPr>
      <w:r>
        <w:rPr>
          <w:rFonts w:ascii="Times New Roman" w:hAnsi="Times New Roman"/>
          <w:color w:val="000000"/>
          <w:sz w:val="24"/>
        </w:rPr>
        <w:t xml:space="preserve">5. </w:t>
      </w:r>
      <w:r>
        <w:rPr>
          <w:rFonts w:ascii="Times New Roman" w:hAnsi="Times New Roman"/>
          <w:b/>
          <w:color w:val="000000"/>
          <w:sz w:val="24"/>
        </w:rPr>
        <w:t>Cold Backup &amp; System Archive</w:t>
      </w:r>
      <w:r>
        <w:rPr>
          <w:rFonts w:ascii="Times New Roman" w:hAnsi="Times New Roman"/>
          <w:color w:val="000000"/>
          <w:sz w:val="24"/>
        </w:rPr>
        <w:t>: `S_req = Snapshot_GB × Retention_Count`</w:t>
      </w:r>
    </w:p>
    <w:p>
      <w:pPr>
        <w:keepNext/>
        <w:spacing w:before="280" w:after="80"/>
        <w:jc w:val="center"/>
      </w:pPr>
      <w:r>
        <w:drawing>
          <wp:inline xmlns:a="http://schemas.openxmlformats.org/drawingml/2006/main" xmlns:pic="http://schemas.openxmlformats.org/drawingml/2006/picture">
            <wp:extent cx="5669280" cy="4430614"/>
            <wp:docPr id="12" name="Picture 12"/>
            <wp:cNvGraphicFramePr>
              <a:graphicFrameLocks noChangeAspect="1"/>
            </wp:cNvGraphicFramePr>
            <a:graphic>
              <a:graphicData uri="http://schemas.openxmlformats.org/drawingml/2006/picture">
                <pic:pic>
                  <pic:nvPicPr>
                    <pic:cNvPr id="0" name="fig_4_6_code_suggest.png"/>
                    <pic:cNvPicPr/>
                  </pic:nvPicPr>
                  <pic:blipFill>
                    <a:blip r:embed="rId24"/>
                    <a:stretch>
                      <a:fillRect/>
                    </a:stretch>
                  </pic:blipFill>
                  <pic:spPr>
                    <a:xfrm>
                      <a:off x="0" y="0"/>
                      <a:ext cx="5669280" cy="4430614"/>
                    </a:xfrm>
                    <a:prstGeom prst="rect"/>
                  </pic:spPr>
                </pic:pic>
              </a:graphicData>
            </a:graphic>
          </wp:inline>
        </w:drawing>
      </w:r>
    </w:p>
    <w:p>
      <w:pPr>
        <w:spacing w:before="40" w:after="280"/>
        <w:jc w:val="center"/>
      </w:pPr>
      <w:r>
        <w:rPr>
          <w:rFonts w:ascii="Times New Roman" w:hAnsi="Times New Roman"/>
          <w:b/>
          <w:color w:val="000000"/>
          <w:sz w:val="20"/>
        </w:rPr>
        <w:t xml:space="preserve">Figure 4.6: </w:t>
      </w:r>
      <w:r>
        <w:rPr>
          <w:rFonts w:ascii="Times New Roman" w:hAnsi="Times New Roman"/>
          <w:i/>
          <w:color w:val="000000"/>
          <w:sz w:val="20"/>
        </w:rPr>
        <w:t>Source Code Screenshot - Automated Workload Storage Sizing Engine (heuristic.py)</w:t>
      </w:r>
    </w:p>
    <w:p>
      <w:pPr>
        <w:spacing w:before="160" w:after="160"/>
      </w:pPr>
    </w:p>
    <w:p>
      <w:pPr>
        <w:keepNext/>
        <w:spacing w:before="240" w:after="80"/>
      </w:pPr>
      <w:r>
        <w:rPr>
          <w:rFonts w:ascii="Times New Roman" w:hAnsi="Times New Roman"/>
          <w:b/>
          <w:color w:val="000000"/>
          <w:sz w:val="25"/>
        </w:rPr>
        <w:t>4.7.3 Dual-Objective Multi-Tier Heuristic Engine (`heuristic.py`)</w:t>
      </w:r>
    </w:p>
    <w:p>
      <w:pPr>
        <w:spacing w:before="0" w:after="120" w:line="360" w:lineRule="auto"/>
      </w:pPr>
      <w:r>
        <w:rPr>
          <w:rFonts w:ascii="Times New Roman" w:hAnsi="Times New Roman"/>
          <w:color w:val="000000"/>
          <w:sz w:val="24"/>
        </w:rPr>
        <w:t>Code Module 4.3 (`allocate_storage` in `heuristic.py`) executes the core optimization process: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Constraint Pre-Filtering</w:t>
      </w:r>
      <w:r>
        <w:rPr>
          <w:rFonts w:ascii="Times New Roman" w:hAnsi="Times New Roman"/>
          <w:color w:val="000000"/>
          <w:sz w:val="24"/>
        </w:rPr>
        <w:t>: Filters out candidate tiers that fail SLA availability (`SLA &lt; SLA_req`), access latency (`Latency &gt; Latency_req`), or budget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Cost Calculation</w:t>
      </w:r>
      <w:r>
        <w:rPr>
          <w:rFonts w:ascii="Times New Roman" w:hAnsi="Times New Roman"/>
          <w:color w:val="000000"/>
          <w:sz w:val="24"/>
        </w:rPr>
        <w:t>: Computes total monthly cost `C_i = Cost_Per_GB_i × S_req`.</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Min-Max Normalization</w:t>
      </w:r>
      <w:r>
        <w:rPr>
          <w:rFonts w:ascii="Times New Roman" w:hAnsi="Times New Roman"/>
          <w:color w:val="000000"/>
          <w:sz w:val="24"/>
        </w:rPr>
        <w:t>: Scales cost (`C_norm`) and unavailability (`U_norm = 1.0 - SLA / 100`) into the normalized range `[0, 1]`.</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Weighted Score Evaluation</w:t>
      </w:r>
      <w:r>
        <w:rPr>
          <w:rFonts w:ascii="Times New Roman" w:hAnsi="Times New Roman"/>
          <w:color w:val="000000"/>
          <w:sz w:val="24"/>
        </w:rPr>
        <w:t>: Evaluates `Score_i = α × C_norm + β × U_norm` and selects the candidate storage tier with the minimum score.</w:t>
      </w:r>
    </w:p>
    <w:p>
      <w:pPr>
        <w:keepNext/>
        <w:spacing w:before="280" w:after="80"/>
        <w:jc w:val="center"/>
      </w:pPr>
      <w:r>
        <w:drawing>
          <wp:inline xmlns:a="http://schemas.openxmlformats.org/drawingml/2006/main" xmlns:pic="http://schemas.openxmlformats.org/drawingml/2006/picture">
            <wp:extent cx="5669280" cy="4895114"/>
            <wp:docPr id="13" name="Picture 13"/>
            <wp:cNvGraphicFramePr>
              <a:graphicFrameLocks noChangeAspect="1"/>
            </wp:cNvGraphicFramePr>
            <a:graphic>
              <a:graphicData uri="http://schemas.openxmlformats.org/drawingml/2006/picture">
                <pic:pic>
                  <pic:nvPicPr>
                    <pic:cNvPr id="0" name="fig_4_7_code_heuristic.png"/>
                    <pic:cNvPicPr/>
                  </pic:nvPicPr>
                  <pic:blipFill>
                    <a:blip r:embed="rId25"/>
                    <a:stretch>
                      <a:fillRect/>
                    </a:stretch>
                  </pic:blipFill>
                  <pic:spPr>
                    <a:xfrm>
                      <a:off x="0" y="0"/>
                      <a:ext cx="5669280" cy="4895114"/>
                    </a:xfrm>
                    <a:prstGeom prst="rect"/>
                  </pic:spPr>
                </pic:pic>
              </a:graphicData>
            </a:graphic>
          </wp:inline>
        </w:drawing>
      </w:r>
    </w:p>
    <w:p>
      <w:pPr>
        <w:spacing w:before="40" w:after="280"/>
        <w:jc w:val="center"/>
      </w:pPr>
      <w:r>
        <w:rPr>
          <w:rFonts w:ascii="Times New Roman" w:hAnsi="Times New Roman"/>
          <w:b/>
          <w:color w:val="000000"/>
          <w:sz w:val="20"/>
        </w:rPr>
        <w:t xml:space="preserve">Figure 4.7: </w:t>
      </w:r>
      <w:r>
        <w:rPr>
          <w:rFonts w:ascii="Times New Roman" w:hAnsi="Times New Roman"/>
          <w:i/>
          <w:color w:val="000000"/>
          <w:sz w:val="20"/>
        </w:rPr>
        <w:t>Source Code Screenshot - Dual-Objective Multi-Tier Heuristic Engine (heuristic.py)</w:t>
      </w:r>
    </w:p>
    <w:p>
      <w:pPr>
        <w:spacing w:before="160" w:after="160"/>
      </w:pPr>
    </w:p>
    <w:p>
      <w:pPr>
        <w:keepNext/>
        <w:spacing w:before="240" w:after="80"/>
      </w:pPr>
      <w:r>
        <w:rPr>
          <w:rFonts w:ascii="Times New Roman" w:hAnsi="Times New Roman"/>
          <w:b/>
          <w:color w:val="000000"/>
          <w:sz w:val="25"/>
        </w:rPr>
        <w:t>4.7.4 Baseline Allocation Algorithms (`heuristic.py`)</w:t>
      </w:r>
    </w:p>
    <w:p>
      <w:pPr>
        <w:spacing w:before="0" w:after="120" w:line="360" w:lineRule="auto"/>
      </w:pPr>
      <w:r>
        <w:rPr>
          <w:rFonts w:ascii="Times New Roman" w:hAnsi="Times New Roman"/>
          <w:color w:val="000000"/>
          <w:sz w:val="24"/>
        </w:rPr>
        <w:t>Code Module 4.4 implements the three benchmark baseline allocation algorithms used to validate the proposed heuristic:</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(`allocate_first_fit`)</w:t>
      </w:r>
      <w:r>
        <w:rPr>
          <w:rFonts w:ascii="Times New Roman" w:hAnsi="Times New Roman"/>
          <w:color w:val="000000"/>
          <w:sz w:val="24"/>
        </w:rPr>
        <w:t>: Selects the first eligible tier encountered in static database order.</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Best Fit (`allocate_best_fit`)</w:t>
      </w:r>
      <w:r>
        <w:rPr>
          <w:rFonts w:ascii="Times New Roman" w:hAnsi="Times New Roman"/>
          <w:color w:val="000000"/>
          <w:sz w:val="24"/>
        </w:rPr>
        <w:t>: Selects the eligible tier with minimal excess SLA availability slack: `min(SLA_i - SLA_req)`.</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(`allocate_worst_fit`)</w:t>
      </w:r>
      <w:r>
        <w:rPr>
          <w:rFonts w:ascii="Times New Roman" w:hAnsi="Times New Roman"/>
          <w:color w:val="000000"/>
          <w:sz w:val="24"/>
        </w:rPr>
        <w:t>: Selects the eligible tier with maximal excess SLA availability slack: `max(SLA_i - SLA_req)`.</w:t>
      </w:r>
    </w:p>
    <w:p>
      <w:pPr>
        <w:keepNext/>
        <w:spacing w:before="280" w:after="80"/>
        <w:jc w:val="center"/>
      </w:pPr>
      <w:r>
        <w:drawing>
          <wp:inline xmlns:a="http://schemas.openxmlformats.org/drawingml/2006/main" xmlns:pic="http://schemas.openxmlformats.org/drawingml/2006/picture">
            <wp:extent cx="5669280" cy="2804864"/>
            <wp:docPr id="14" name="Picture 14"/>
            <wp:cNvGraphicFramePr>
              <a:graphicFrameLocks noChangeAspect="1"/>
            </wp:cNvGraphicFramePr>
            <a:graphic>
              <a:graphicData uri="http://schemas.openxmlformats.org/drawingml/2006/picture">
                <pic:pic>
                  <pic:nvPicPr>
                    <pic:cNvPr id="0" name="fig_4_8_code_baselines.png"/>
                    <pic:cNvPicPr/>
                  </pic:nvPicPr>
                  <pic:blipFill>
                    <a:blip r:embed="rId26"/>
                    <a:stretch>
                      <a:fillRect/>
                    </a:stretch>
                  </pic:blipFill>
                  <pic:spPr>
                    <a:xfrm>
                      <a:off x="0" y="0"/>
                      <a:ext cx="5669280" cy="2804864"/>
                    </a:xfrm>
                    <a:prstGeom prst="rect"/>
                  </pic:spPr>
                </pic:pic>
              </a:graphicData>
            </a:graphic>
          </wp:inline>
        </w:drawing>
      </w:r>
    </w:p>
    <w:p>
      <w:pPr>
        <w:spacing w:before="40" w:after="280"/>
        <w:jc w:val="center"/>
      </w:pPr>
      <w:r>
        <w:rPr>
          <w:rFonts w:ascii="Times New Roman" w:hAnsi="Times New Roman"/>
          <w:b/>
          <w:color w:val="000000"/>
          <w:sz w:val="20"/>
        </w:rPr>
        <w:t xml:space="preserve">Figure 4.8: </w:t>
      </w:r>
      <w:r>
        <w:rPr>
          <w:rFonts w:ascii="Times New Roman" w:hAnsi="Times New Roman"/>
          <w:i/>
          <w:color w:val="000000"/>
          <w:sz w:val="20"/>
        </w:rPr>
        <w:t>Source Code Screenshot - Baseline Allocation Algorithms Implementation (heuristic.py)</w:t>
      </w:r>
    </w:p>
    <w:p>
      <w:pPr>
        <w:spacing w:before="160" w:after="160"/>
      </w:pPr>
    </w:p>
    <w:p>
      <w:pPr>
        <w:keepNext/>
        <w:spacing w:before="240" w:after="80"/>
      </w:pPr>
      <w:r>
        <w:rPr>
          <w:rFonts w:ascii="Times New Roman" w:hAnsi="Times New Roman"/>
          <w:b/>
          <w:color w:val="000000"/>
          <w:sz w:val="25"/>
        </w:rPr>
        <w:t>4.7.5 Streamlit Simulation UI Controller (`modules/allocation.py`)</w:t>
      </w:r>
    </w:p>
    <w:p>
      <w:pPr>
        <w:spacing w:before="0" w:after="120" w:line="360" w:lineRule="auto"/>
      </w:pPr>
      <w:r>
        <w:rPr>
          <w:rFonts w:ascii="Times New Roman" w:hAnsi="Times New Roman"/>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jc w:val="center"/>
      </w:pPr>
      <w:r>
        <w:drawing>
          <wp:inline xmlns:a="http://schemas.openxmlformats.org/drawingml/2006/main" xmlns:pic="http://schemas.openxmlformats.org/drawingml/2006/picture">
            <wp:extent cx="5669280" cy="3501614"/>
            <wp:docPr id="15" name="Picture 15"/>
            <wp:cNvGraphicFramePr>
              <a:graphicFrameLocks noChangeAspect="1"/>
            </wp:cNvGraphicFramePr>
            <a:graphic>
              <a:graphicData uri="http://schemas.openxmlformats.org/drawingml/2006/picture">
                <pic:pic>
                  <pic:nvPicPr>
                    <pic:cNvPr id="0" name="fig_4_9_code_ui.png"/>
                    <pic:cNvPicPr/>
                  </pic:nvPicPr>
                  <pic:blipFill>
                    <a:blip r:embed="rId27"/>
                    <a:stretch>
                      <a:fillRect/>
                    </a:stretch>
                  </pic:blipFill>
                  <pic:spPr>
                    <a:xfrm>
                      <a:off x="0" y="0"/>
                      <a:ext cx="5669280" cy="3501614"/>
                    </a:xfrm>
                    <a:prstGeom prst="rect"/>
                  </pic:spPr>
                </pic:pic>
              </a:graphicData>
            </a:graphic>
          </wp:inline>
        </w:drawing>
      </w:r>
    </w:p>
    <w:p>
      <w:pPr>
        <w:spacing w:before="40" w:after="280"/>
        <w:jc w:val="center"/>
      </w:pPr>
      <w:r>
        <w:rPr>
          <w:rFonts w:ascii="Times New Roman" w:hAnsi="Times New Roman"/>
          <w:b/>
          <w:color w:val="000000"/>
          <w:sz w:val="20"/>
        </w:rPr>
        <w:t xml:space="preserve">Figure 4.9: </w:t>
      </w:r>
      <w:r>
        <w:rPr>
          <w:rFonts w:ascii="Times New Roman" w:hAnsi="Times New Roman"/>
          <w:i/>
          <w:color w:val="000000"/>
          <w:sz w:val="20"/>
        </w:rPr>
        <w:t>Source Code Screenshot - Streamlit Interactive Simulation Controller (modules/allocation.py)</w:t>
      </w:r>
    </w:p>
    <w:p>
      <w:pPr>
        <w:spacing w:before="160" w:after="160"/>
      </w:pPr>
    </w:p>
    <w:p>
      <w:pPr>
        <w:keepNext/>
        <w:spacing w:before="280" w:after="120"/>
      </w:pPr>
      <w:r>
        <w:rPr>
          <w:rFonts w:ascii="Times New Roman" w:hAnsi="Times New Roman"/>
          <w:b/>
          <w:color w:val="000000"/>
          <w:sz w:val="28"/>
        </w:rPr>
        <w:t>4.8 Test Plan and Test Cases</w:t>
      </w:r>
    </w:p>
    <w:p>
      <w:pPr>
        <w:spacing w:before="0" w:after="120" w:line="360" w:lineRule="auto"/>
      </w:pPr>
      <w:r>
        <w:rPr>
          <w:rFonts w:ascii="Times New Roman" w:hAnsi="Times New Roman"/>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pPr>
      <w:r>
        <w:rPr>
          <w:rFonts w:ascii="Times New Roman" w:hAnsi="Times New Roman"/>
          <w:b/>
          <w:color w:val="000000"/>
          <w:sz w:val="25"/>
        </w:rPr>
        <w:t>Table 4.2: System Test Cases and Execution Results Matrix</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ID</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Target Module / Component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Objective and Inputs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Expected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Actual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Set α = 1.0, β = 0.0 (Pure Cost Mode)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 tier with lowest total cost (Object Storage)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Selected Object Storage ($0.02/GB)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α = 0.0, β = 1.0 (Pure SLA Mode)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 tier with highest SLA availability (Block Storage)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Selected Block Storage (99.999%)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Constraints Filter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Request SLA = 99.999%, Latency = 5.0ms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Filter out File and Object tiers due to SLA/latency rules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Only Block Storage evaluated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**TC-04**</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Budget Enforcement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Budget = 10.00 for 200 GB Block Storage (30 cost)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 budget violation warning specifying closest tier</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Returned budget violation warning message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Database Layer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Execute allocation &amp; check SQLite transaction log</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Insert record into `allocations` with ISO timestamp</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Record logged &amp; retrieved cleanly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**TC-06**</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Comparison</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Run Heuristic vs First Fit, Best Fit, Worst Fit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Render comparative benchmark output dataframe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metrics correctly rendered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**TC-07**</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Min-Max Safeguard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Evaluate request when candidate cost range is zero</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Avoid division by zero; default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Handled cleanly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Export Utility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Trigger CSV download control in Reporting module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Export complete history dataframe as downloadable CSV</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file exported successfully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Validation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negative volume (-50 GB) or SLA &gt; 100%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Streamlit numeric validation blocks submission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error shown; submission blocked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Concurrency Test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Execute 500 benchmark requests concurrently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 requests under 5ms mean latency without DB lock</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500 logged cleanly (mean 2.8ms latency)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**TC-11**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750 IoT devices, 40MB/day, 120 days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`S_req = (750 × 40 × 120) ÷ 1024 = 3,515.62 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Auto-calculated 3,515.62 GB correctly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OLTP DB (2,500 users, 150k txns)</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`S_req = 20.0 + (2500 × 0.05) + (150000 × 0.0001) = 160 GB`</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Auto-calculated 160.00 GB correctly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bl>
    <w:p>
      <w:pPr>
        <w:spacing w:after="120"/>
      </w:pPr>
    </w:p>
    <w:p>
      <w:pPr>
        <w:spacing w:before="160" w:after="160"/>
      </w:pPr>
    </w:p>
    <w:p>
      <w:pPr>
        <w:keepNext/>
        <w:spacing w:before="280" w:after="120"/>
      </w:pPr>
      <w:r>
        <w:rPr>
          <w:rFonts w:ascii="Times New Roman" w:hAnsi="Times New Roman"/>
          <w:b/>
          <w:color w:val="000000"/>
          <w:sz w:val="28"/>
        </w:rPr>
        <w:t>4.9 Test Results (Tables)</w:t>
      </w:r>
    </w:p>
    <w:p>
      <w:pPr>
        <w:spacing w:before="0" w:after="120" w:line="360" w:lineRule="auto"/>
      </w:pPr>
      <w:r>
        <w:rPr>
          <w:rFonts w:ascii="Times New Roman" w:hAnsi="Times New Roman"/>
          <w:color w:val="000000"/>
          <w:sz w:val="24"/>
        </w:rPr>
        <w:t xml:space="preserve">The system was benchmarked against a dataset of </w:t>
      </w:r>
      <w:r>
        <w:rPr>
          <w:rFonts w:ascii="Times New Roman" w:hAnsi="Times New Roman"/>
          <w:b/>
          <w:color w:val="000000"/>
          <w:sz w:val="24"/>
        </w:rPr>
        <w:t>500 synthetic workload allocation requests</w:t>
      </w:r>
      <w:r>
        <w:rPr>
          <w:rFonts w:ascii="Times New Roman" w:hAnsi="Times New Roman"/>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pPr>
      <w:r>
        <w:rPr>
          <w:rFonts w:ascii="Times New Roman" w:hAnsi="Times New Roman"/>
          <w:color w:val="000000"/>
          <w:sz w:val="24"/>
        </w:rPr>
        <w:t>Table 4.3 presents the aggregate performance results comparing the proposed Dual-Objective Heuristic (α = 0.5, β = 0.5) against standard baseline algorithms.</w:t>
      </w:r>
    </w:p>
    <w:p>
      <w:pPr>
        <w:keepNext/>
        <w:spacing w:before="240" w:after="80"/>
      </w:pPr>
      <w:r>
        <w:rPr>
          <w:rFonts w:ascii="Times New Roman" w:hAnsi="Times New Roman"/>
          <w:b/>
          <w:color w:val="000000"/>
          <w:sz w:val="25"/>
        </w:rPr>
        <w:t>Table 4.3: 500-Request Benchmark Allocation Summary &amp; Cost Savings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Allocation Algorithm</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Cost / Request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Total Spend Across 500 Requests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SLA Violation Rate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Savings vs Worst Fit (%)</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**Proposed Heuristic (α = 0.5, β = 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**First Fit (FF)**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(0.00%)</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**Best Fit (BF)**</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**Worst Fit (WF)**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 (Highest Cost)</w:t>
            </w:r>
          </w:p>
        </w:tc>
      </w:tr>
    </w:tbl>
    <w:p>
      <w:pPr>
        <w:spacing w:after="120"/>
      </w:pPr>
    </w:p>
    <w:p>
      <w:pPr>
        <w:keepNext/>
        <w:spacing w:before="200" w:after="80"/>
      </w:pPr>
      <w:r>
        <w:rPr>
          <w:rFonts w:ascii="Times New Roman" w:hAnsi="Times New Roman"/>
          <w:b/>
          <w:color w:val="000000"/>
          <w:sz w:val="24"/>
        </w:rPr>
        <w:t>Key Empirical Observations: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heuristic reduced total cloud storage expenditure by </w:t>
      </w:r>
      <w:r>
        <w:rPr>
          <w:rFonts w:ascii="Times New Roman" w:hAnsi="Times New Roman"/>
          <w:b/>
          <w:color w:val="000000"/>
          <w:sz w:val="24"/>
        </w:rPr>
        <w:t>$6,795.00</w:t>
      </w:r>
      <w:r>
        <w:rPr>
          <w:rFonts w:ascii="Times New Roman" w:hAnsi="Times New Roman"/>
          <w:color w:val="000000"/>
          <w:sz w:val="24"/>
        </w:rPr>
        <w:t xml:space="preserve"> across 500 requests compared to static First Fit and Worst Fit allocation policies.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w:t>
      </w:r>
      <w:r>
        <w:rPr>
          <w:rFonts w:ascii="Times New Roman" w:hAnsi="Times New Roman"/>
          <w:color w:val="000000"/>
          <w:sz w:val="24"/>
        </w:rPr>
        <w:t>: Zero SLA breaches occurred across all 500 requests because hard constraint pre-filtering eliminated under-provisioned storage tiers prior to score evaluation.</w:t>
      </w:r>
    </w:p>
    <w:p>
      <w:pPr>
        <w:spacing w:before="160" w:after="160"/>
      </w:pPr>
    </w:p>
    <w:p>
      <w:pPr>
        <w:keepNext/>
        <w:spacing w:before="280" w:after="120"/>
      </w:pPr>
      <w:r>
        <w:rPr>
          <w:rFonts w:ascii="Times New Roman" w:hAnsi="Times New Roman"/>
          <w:b/>
          <w:color w:val="000000"/>
          <w:sz w:val="28"/>
        </w:rPr>
        <w:t>4.10 System Performance Results</w:t>
      </w:r>
    </w:p>
    <w:p>
      <w:pPr>
        <w:spacing w:before="0" w:after="120" w:line="360" w:lineRule="auto"/>
      </w:pPr>
      <w:r>
        <w:rPr>
          <w:rFonts w:ascii="Times New Roman" w:hAnsi="Times New Roman"/>
          <w:color w:val="000000"/>
          <w:sz w:val="24"/>
        </w:rPr>
        <w:t>System performance was evaluated across computational speed, memory usage, transaction throughput, and weight parameter sensitivity.</w:t>
      </w:r>
    </w:p>
    <w:p>
      <w:pPr>
        <w:keepNext/>
        <w:spacing w:before="240" w:after="80"/>
      </w:pPr>
      <w:r>
        <w:rPr>
          <w:rFonts w:ascii="Times New Roman" w:hAnsi="Times New Roman"/>
          <w:b/>
          <w:color w:val="000000"/>
          <w:sz w:val="25"/>
        </w:rPr>
        <w:t>4.10.1 Execution Latency and Computational Overhead</w:t>
      </w:r>
    </w:p>
    <w:p>
      <w:pPr>
        <w:spacing w:before="0" w:after="120" w:line="360" w:lineRule="auto"/>
      </w:pPr>
      <w:r>
        <w:rPr>
          <w:rFonts w:ascii="Times New Roman" w:hAnsi="Times New Roman"/>
          <w:color w:val="000000"/>
          <w:sz w:val="24"/>
        </w:rPr>
        <w:t>Across the 500-request benchmark suite: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Mean Execution Latency per Request</w:t>
      </w:r>
      <w:r>
        <w:rPr>
          <w:rFonts w:ascii="Times New Roman" w:hAnsi="Times New Roman"/>
          <w:color w:val="000000"/>
          <w:sz w:val="24"/>
        </w:rPr>
        <w:t xml:space="preserve">: </w:t>
      </w:r>
      <w:r>
        <w:rPr>
          <w:rFonts w:ascii="Times New Roman" w:hAnsi="Times New Roman"/>
          <w:b/>
          <w:color w:val="000000"/>
          <w:sz w:val="24"/>
        </w:rPr>
        <w:t>2.8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Maximum Peak Latency</w:t>
      </w:r>
      <w:r>
        <w:rPr>
          <w:rFonts w:ascii="Times New Roman" w:hAnsi="Times New Roman"/>
          <w:color w:val="000000"/>
          <w:sz w:val="24"/>
        </w:rPr>
        <w:t xml:space="preserve">: </w:t>
      </w:r>
      <w:r>
        <w:rPr>
          <w:rFonts w:ascii="Times New Roman" w:hAnsi="Times New Roman"/>
          <w:b/>
          <w:color w:val="000000"/>
          <w:sz w:val="24"/>
        </w:rPr>
        <w:t>8.2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Database Write Latency</w:t>
      </w:r>
      <w:r>
        <w:rPr>
          <w:rFonts w:ascii="Times New Roman" w:hAnsi="Times New Roman"/>
          <w:color w:val="000000"/>
          <w:sz w:val="24"/>
        </w:rPr>
        <w:t xml:space="preserve">: </w:t>
      </w:r>
      <w:r>
        <w:rPr>
          <w:rFonts w:ascii="Times New Roman" w:hAnsi="Times New Roman"/>
          <w:b/>
          <w:color w:val="000000"/>
          <w:sz w:val="24"/>
        </w:rPr>
        <w:t>1.1 milliseconds</w:t>
      </w:r>
      <w:r>
        <w:rPr>
          <w:rFonts w:ascii="Times New Roman" w:hAnsi="Times New Roman"/>
          <w:color w:val="000000"/>
          <w:sz w:val="24"/>
        </w:rPr>
        <w:t xml:space="preserve"> (SQLite insert commit)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Host Memory Consumption</w:t>
      </w:r>
      <w:r>
        <w:rPr>
          <w:rFonts w:ascii="Times New Roman" w:hAnsi="Times New Roman"/>
          <w:color w:val="000000"/>
          <w:sz w:val="24"/>
        </w:rPr>
        <w:t xml:space="preserve">: </w:t>
      </w:r>
      <w:r>
        <w:rPr>
          <w:rFonts w:ascii="Times New Roman" w:hAnsi="Times New Roman"/>
          <w:b/>
          <w:color w:val="000000"/>
          <w:sz w:val="24"/>
        </w:rPr>
        <w:t>~85 MB</w:t>
      </w:r>
      <w:r>
        <w:rPr>
          <w:rFonts w:ascii="Times New Roman" w:hAnsi="Times New Roman"/>
          <w:color w:val="000000"/>
          <w:sz w:val="24"/>
        </w:rPr>
        <w:t xml:space="preserve"> RSS during peak Streamlit rendering</w:t>
      </w:r>
    </w:p>
    <w:p>
      <w:pPr>
        <w:spacing w:before="0" w:after="120" w:line="360" w:lineRule="auto"/>
      </w:pPr>
      <w:r>
        <w:rPr>
          <w:rFonts w:ascii="Times New Roman" w:hAnsi="Times New Roman"/>
          <w:color w:val="000000"/>
          <w:sz w:val="24"/>
        </w:rPr>
        <w:t>These metrics confirm that dual-objective Min-Max scoring adds negligible computational overhead and is suitable for real-time cloud management platforms.</w:t>
      </w:r>
    </w:p>
    <w:p>
      <w:pPr>
        <w:keepNext/>
        <w:spacing w:before="240" w:after="80"/>
      </w:pPr>
      <w:r>
        <w:rPr>
          <w:rFonts w:ascii="Times New Roman" w:hAnsi="Times New Roman"/>
          <w:b/>
          <w:color w:val="000000"/>
          <w:sz w:val="25"/>
        </w:rPr>
        <w:t>4.10.2 Trade-off Sensitivity Analysis (α vs β)</w:t>
      </w:r>
    </w:p>
    <w:p>
      <w:pPr>
        <w:spacing w:before="0" w:after="120" w:line="360" w:lineRule="auto"/>
      </w:pPr>
      <w:r>
        <w:rPr>
          <w:rFonts w:ascii="Times New Roman" w:hAnsi="Times New Roman"/>
          <w:color w:val="000000"/>
          <w:sz w:val="24"/>
        </w:rPr>
        <w:t>Table 4.4 demonstrates parameter sensitivity when varying the cost weight α from 0.0 to 1.0 in increments of 0.2 across identical benchmark workloads.</w:t>
      </w:r>
    </w:p>
    <w:p>
      <w:pPr>
        <w:keepNext/>
        <w:spacing w:before="240" w:after="80"/>
      </w:pPr>
      <w:r>
        <w:rPr>
          <w:rFonts w:ascii="Times New Roman" w:hAnsi="Times New Roman"/>
          <w:b/>
          <w:color w:val="000000"/>
          <w:sz w:val="25"/>
        </w:rPr>
        <w:t>Table 4.4: Parameter Sensitivity Analysis Across Trade-off Weights (α, β)</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Weight (α)</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Availability Weight (β)</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Operational Focus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Allocated Cost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Dominant Storage Tier Selected</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Availability Focus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$75.33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99.998%</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Block Storage (High SLA)</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SLA-Leaning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$71.12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99.985%</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Block / File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Balanced Dual-Objective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**Optimal Tier Distribution**</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Cost-Leaning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$48.20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99.250%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File / Object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Cost Minimization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$44.99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99.110%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 Storage (Lowest Cost)</w:t>
            </w:r>
          </w:p>
        </w:tc>
      </w:tr>
    </w:tbl>
    <w:p>
      <w:pPr>
        <w:spacing w:after="120"/>
      </w:pPr>
    </w:p>
    <w:p>
      <w:pPr>
        <w:spacing w:before="160" w:after="160"/>
      </w:pPr>
    </w:p>
    <w:p>
      <w:pPr>
        <w:keepNext/>
        <w:spacing w:before="280" w:after="120"/>
      </w:pPr>
      <w:r>
        <w:rPr>
          <w:rFonts w:ascii="Times New Roman" w:hAnsi="Times New Roman"/>
          <w:b/>
          <w:color w:val="000000"/>
          <w:sz w:val="28"/>
        </w:rPr>
        <w:t>4.11 Evaluation of the System</w:t>
      </w:r>
    </w:p>
    <w:p>
      <w:pPr>
        <w:spacing w:before="0" w:after="120" w:line="360" w:lineRule="auto"/>
      </w:pPr>
      <w:r>
        <w:rPr>
          <w:rFonts w:ascii="Times New Roman" w:hAnsi="Times New Roman"/>
          <w:color w:val="000000"/>
          <w:sz w:val="24"/>
        </w:rPr>
        <w:t>The completed system was evaluated against the research objectives formulated in Chapter One (Section 1.4). Table 4.5 details the objective verification mapping.</w:t>
      </w:r>
    </w:p>
    <w:p>
      <w:pPr>
        <w:keepNext/>
        <w:spacing w:before="240" w:after="80"/>
      </w:pPr>
      <w:r>
        <w:rPr>
          <w:rFonts w:ascii="Times New Roman" w:hAnsi="Times New Roman"/>
          <w:b/>
          <w:color w:val="000000"/>
          <w:sz w:val="25"/>
        </w:rPr>
        <w:t>Table 4.5: Objective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Component</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Verification Evidence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 Literature Review &amp; Gap Analysis**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Survey of allocation mechanisms in Chapter 2.</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**2. Dual-Objective Scoring Model**</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weighted Min-Max scoring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demonstrated **17.81% cost savings** (62.74 vs 76.33 mean).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 Automated Workload Storage Sizing**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Workload Auto-Suggest Engine in `heuristic.py` &amp; `allocation.py`.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sizing across 5 enterprise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 Interactive Web Platform**</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Streamlit single-page application (`app.py`, `modules/`).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Figures 4.1–4.4; validated in 12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**5. Database Audit &amp; Logging**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database schema with parameterized queries in `database.py`.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**6. Empirical Benchmark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suite of 500 synthetic workload requests.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savings, tier distribution, and 0% SLA breaches.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4.12 Chapter Summary</w:t>
      </w:r>
    </w:p>
    <w:p>
      <w:pPr>
        <w:spacing w:before="0" w:after="120" w:line="360" w:lineRule="auto"/>
      </w:pPr>
      <w:r>
        <w:rPr>
          <w:rFonts w:ascii="Times New Roman" w:hAnsi="Times New Roman"/>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color w:val="000000"/>
          <w:sz w:val="24"/>
        </w:rPr>
        <w:t>17.81% cost reduction</w:t>
      </w:r>
      <w:r>
        <w:rPr>
          <w:rFonts w:ascii="Times New Roman" w:hAnsi="Times New Roman"/>
          <w:color w:val="000000"/>
          <w:sz w:val="24"/>
        </w:rPr>
        <w:t xml:space="preserve"> compared to traditional static allocation policies while maintaining </w:t>
      </w:r>
      <w:r>
        <w:rPr>
          <w:rFonts w:ascii="Times New Roman" w:hAnsi="Times New Roman"/>
          <w:b/>
          <w:color w:val="000000"/>
          <w:sz w:val="24"/>
        </w:rPr>
        <w:t>100% SLA availability compliance</w:t>
      </w:r>
      <w:r>
        <w:rPr>
          <w:rFonts w:ascii="Times New Roman" w:hAnsi="Times New Roman"/>
          <w:color w:val="000000"/>
          <w:sz w:val="24"/>
        </w:rPr>
        <w:t xml:space="preserve"> (0% violation rate) across 500 benchmark requests.</w:t>
      </w:r>
    </w:p>
    <w:p>
      <w:pPr>
        <w:spacing w:before="0" w:after="120" w:line="360" w:lineRule="auto"/>
      </w:pPr>
      <w:r>
        <w:rPr>
          <w:rFonts w:ascii="Times New Roman" w:hAnsi="Times New Roman"/>
          <w:color w:val="000000"/>
          <w:sz w:val="24"/>
        </w:rPr>
        <w:t>The next chapter (Chapter Five) provides the discussion of findings, theoretical conclusions, study limitations, contributions, and practical recommendations for future research.</w:t>
      </w:r>
    </w:p>
    <w:p>
      <w:r>
        <w:br w:type="page"/>
      </w:r>
    </w:p>
    <w:p>
      <w:pPr>
        <w:keepNext/>
        <w:spacing w:before="360" w:after="160"/>
      </w:pPr>
      <w:r>
        <w:rPr>
          <w:rFonts w:ascii="Times New Roman" w:hAnsi="Times New Roman"/>
          <w:b/>
          <w:color w:val="000000"/>
          <w:sz w:val="32"/>
        </w:rPr>
        <w:t>CHAPTER FIVE: DISCUSSION, CONCLUSION AND RECOMMENDATIONS</w:t>
      </w:r>
    </w:p>
    <w:p>
      <w:pPr>
        <w:keepNext/>
        <w:spacing w:before="280" w:after="120"/>
      </w:pPr>
      <w:r>
        <w:rPr>
          <w:rFonts w:ascii="Times New Roman" w:hAnsi="Times New Roman"/>
          <w:b/>
          <w:color w:val="000000"/>
          <w:sz w:val="28"/>
        </w:rPr>
        <w:t>5.0 Introduction</w:t>
      </w:r>
    </w:p>
    <w:p>
      <w:pPr>
        <w:spacing w:before="0" w:after="120" w:line="360" w:lineRule="auto"/>
      </w:pPr>
      <w:r>
        <w:rPr>
          <w:rFonts w:ascii="Times New Roman" w:hAnsi="Times New Roman"/>
          <w:color w:val="000000"/>
          <w:sz w:val="24"/>
        </w:rPr>
        <w:t xml:space="preserve">This chapter synthesizes the empirical findings, algorithmic evaluations, software achievements, and practical contributions presented in Chapter Four. It interprets how effectively the proposed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xml:space="preserve"> solves the core research problem formulated in Chapter One: overcoming the financial inefficiencies, manual configuration errors, and SLA violation risks inherent in static cloud storage allocation policies.</w:t>
      </w:r>
    </w:p>
    <w:p>
      <w:pPr>
        <w:spacing w:before="0" w:after="120" w:line="360" w:lineRule="auto"/>
      </w:pPr>
      <w:r>
        <w:rPr>
          <w:rFonts w:ascii="Times New Roman" w:hAnsi="Times New Roman"/>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pPr>
    </w:p>
    <w:p>
      <w:pPr>
        <w:keepNext/>
        <w:spacing w:before="280" w:after="120"/>
      </w:pPr>
      <w:r>
        <w:rPr>
          <w:rFonts w:ascii="Times New Roman" w:hAnsi="Times New Roman"/>
          <w:b/>
          <w:color w:val="000000"/>
          <w:sz w:val="28"/>
        </w:rPr>
        <w:t>5.1 Summary of Findings</w:t>
      </w:r>
    </w:p>
    <w:p>
      <w:pPr>
        <w:spacing w:before="0" w:after="120" w:line="360" w:lineRule="auto"/>
      </w:pPr>
      <w:r>
        <w:rPr>
          <w:rFonts w:ascii="Times New Roman" w:hAnsi="Times New Roman"/>
          <w:color w:val="000000"/>
          <w:sz w:val="24"/>
        </w:rPr>
        <w:t>The empirical benchmarks conducted in Chapter Four across 500 synthetic enterprise workload requests produced four major quantitative and operational findings: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multi-objective heuristic (α = 0.5, β = 0.5) achieved an aggregate expenditure of </w:t>
      </w:r>
      <w:r>
        <w:rPr>
          <w:rFonts w:ascii="Times New Roman" w:hAnsi="Times New Roman"/>
          <w:b/>
          <w:color w:val="000000"/>
          <w:sz w:val="24"/>
        </w:rPr>
        <w:t>31,370.00</w:t>
      </w:r>
      <w:r>
        <w:rPr>
          <w:rFonts w:ascii="Times New Roman" w:hAnsi="Times New Roman"/>
          <w:color w:val="000000"/>
          <w:sz w:val="24"/>
        </w:rPr>
        <w:t xml:space="preserve"> across 500 requests, compared to </w:t>
      </w:r>
      <w:r>
        <w:rPr>
          <w:rFonts w:ascii="Times New Roman" w:hAnsi="Times New Roman"/>
          <w:b/>
          <w:color w:val="000000"/>
          <w:sz w:val="24"/>
        </w:rPr>
        <w:t>38,165.00</w:t>
      </w:r>
      <w:r>
        <w:rPr>
          <w:rFonts w:ascii="Times New Roman" w:hAnsi="Times New Roman"/>
          <w:color w:val="000000"/>
          <w:sz w:val="24"/>
        </w:rPr>
        <w:t xml:space="preserve"> incurred by static First Fit and Worst Fit allocation policies. This represents a net saving of </w:t>
      </w:r>
      <w:r>
        <w:rPr>
          <w:rFonts w:ascii="Times New Roman" w:hAnsi="Times New Roman"/>
          <w:b/>
          <w:color w:val="000000"/>
          <w:sz w:val="24"/>
        </w:rPr>
        <w:t>6,795.00</w:t>
      </w:r>
      <w:r>
        <w:rPr>
          <w:rFonts w:ascii="Times New Roman" w:hAnsi="Times New Roman"/>
          <w:color w:val="000000"/>
          <w:sz w:val="24"/>
        </w:rPr>
        <w:t xml:space="preserve"> (13.59 saved per request on average).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 (0% Violation Rate)</w:t>
      </w:r>
      <w:r>
        <w:rPr>
          <w:rFonts w:ascii="Times New Roman" w:hAnsi="Times New Roman"/>
          <w:color w:val="000000"/>
          <w:sz w:val="24"/>
        </w:rPr>
        <w:t xml:space="preserve">: Across all 500 benchmark allocation requests, the system maintained a </w:t>
      </w:r>
      <w:r>
        <w:rPr>
          <w:rFonts w:ascii="Times New Roman" w:hAnsi="Times New Roman"/>
          <w:b/>
          <w:color w:val="000000"/>
          <w:sz w:val="24"/>
        </w:rPr>
        <w:t>0.00% SLA breach rate</w:t>
      </w:r>
      <w:r>
        <w:rPr>
          <w:rFonts w:ascii="Times New Roman" w:hAnsi="Times New Roman"/>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Sub-3ms Computational Speed</w:t>
      </w:r>
      <w:r>
        <w:rPr>
          <w:rFonts w:ascii="Times New Roman" w:hAnsi="Times New Roman"/>
          <w:color w:val="000000"/>
          <w:sz w:val="24"/>
        </w:rPr>
        <w:t xml:space="preserve">: Algorithm execution averaged </w:t>
      </w:r>
      <w:r>
        <w:rPr>
          <w:rFonts w:ascii="Times New Roman" w:hAnsi="Times New Roman"/>
          <w:b/>
          <w:color w:val="000000"/>
          <w:sz w:val="24"/>
        </w:rPr>
        <w:t>2.8 milliseconds</w:t>
      </w:r>
      <w:r>
        <w:rPr>
          <w:rFonts w:ascii="Times New Roman" w:hAnsi="Times New Roman"/>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Automated Sizing Accuracy</w:t>
      </w:r>
      <w:r>
        <w:rPr>
          <w:rFonts w:ascii="Times New Roman" w:hAnsi="Times New Roman"/>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pPr>
    </w:p>
    <w:p>
      <w:pPr>
        <w:keepNext/>
        <w:spacing w:before="280" w:after="120"/>
      </w:pPr>
      <w:r>
        <w:rPr>
          <w:rFonts w:ascii="Times New Roman" w:hAnsi="Times New Roman"/>
          <w:b/>
          <w:color w:val="000000"/>
          <w:sz w:val="28"/>
        </w:rPr>
        <w:t>5.2 Interpretation of Results</w:t>
      </w:r>
    </w:p>
    <w:p>
      <w:pPr>
        <w:spacing w:before="0" w:after="120" w:line="360" w:lineRule="auto"/>
      </w:pPr>
      <w:r>
        <w:rPr>
          <w:rFonts w:ascii="Times New Roman" w:hAnsi="Times New Roman"/>
          <w:color w:val="000000"/>
          <w:sz w:val="24"/>
        </w:rPr>
        <w:t>The comparative performance of the evaluated allocation strategies illustrates fundamental algorithmic trade-offs in cloud resource provisioning:</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xml:space="preserve">                  Cost Minimization Axis ---&gt;</w:t>
              <w:br/>
              <w:t>(Low Cost) Object Tier &lt;------------------------&gt; Block Tier (High Cost)</w:t>
              <w:br/>
              <w:t xml:space="preserve">                 &lt;--- SLA Availability Axis</w:t>
              <w:br/>
              <w:t>(Low SLA: 99.0%) Object Tier &lt;-------------------&gt; Block Tier (High SLA: 99.999%)</w:t>
              <w:br/>
              <w:br/>
              <w:t>[Static First Fit]   ---&gt; Selects first eligible tier in static database order (over-provisions)</w:t>
              <w:br/>
              <w:t>[Static Best Fit]    ---&gt; Minimizes SLA availability slack (can select higher-cost tiers)</w:t>
              <w:br/>
              <w:t>[Static Worst Fit]   ---&gt; Maximizes SLA availability slack (consistently highest operational spend)</w:t>
              <w:br/>
              <w:t>[Proposed Heuristic] ---&gt; Balances Cost &amp; SLA via Min-Max Normalized Score (Alpha-Beta Trade-off)</w:t>
            </w:r>
          </w:p>
        </w:tc>
      </w:tr>
    </w:tbl>
    <w:p>
      <w:pPr>
        <w:spacing w:after="120"/>
      </w:pP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(FF)</w:t>
      </w:r>
      <w:r>
        <w:rPr>
          <w:rFonts w:ascii="Times New Roman" w:hAnsi="Times New Roman"/>
          <w:color w:val="000000"/>
          <w:sz w:val="24"/>
        </w:rPr>
        <w:t xml:space="preserve">: Scans candidate storage tiers in static database order (Block → File → Object). When high-availability workloads request storage, FF selects Block Storage immediately without evaluating lower-cost alternatives that might still fulfill SLA bounds, leading to an elevated mean cost of </w:t>
      </w:r>
      <w:r>
        <w:rPr>
          <w:rFonts w:ascii="Times New Roman" w:hAnsi="Times New Roman"/>
          <w:b/>
          <w:color w:val="000000"/>
          <w:sz w:val="24"/>
        </w:rPr>
        <w:t>$76.33/request</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(WF)</w:t>
      </w:r>
      <w:r>
        <w:rPr>
          <w:rFonts w:ascii="Times New Roman" w:hAnsi="Times New Roman"/>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color w:val="000000"/>
          <w:sz w:val="24"/>
        </w:rPr>
        <w:t>38,165.00</w:t>
      </w:r>
      <w:r>
        <w:rPr>
          <w:rFonts w:ascii="Times New Roman" w:hAnsi="Times New Roman"/>
          <w:color w:val="000000"/>
          <w:sz w:val="24"/>
        </w:rPr>
        <w:t xml:space="preserve"> total).</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Proposed Dual-Objective Heuristic (α - β)</w:t>
      </w:r>
      <w:r>
        <w:rPr>
          <w:rFonts w:ascii="Times New Roman" w:hAnsi="Times New Roman"/>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pPr>
    </w:p>
    <w:p>
      <w:pPr>
        <w:keepNext/>
        <w:spacing w:before="280" w:after="120"/>
      </w:pPr>
      <w:r>
        <w:rPr>
          <w:rFonts w:ascii="Times New Roman" w:hAnsi="Times New Roman"/>
          <w:b/>
          <w:color w:val="000000"/>
          <w:sz w:val="28"/>
        </w:rPr>
        <w:t>5.3 Achievement of Project Objectives</w:t>
      </w:r>
    </w:p>
    <w:p>
      <w:pPr>
        <w:spacing w:before="0" w:after="120" w:line="360" w:lineRule="auto"/>
      </w:pPr>
      <w:r>
        <w:rPr>
          <w:rFonts w:ascii="Times New Roman" w:hAnsi="Times New Roman"/>
          <w:color w:val="000000"/>
          <w:sz w:val="24"/>
        </w:rPr>
        <w:t>Table 5.1 maps the initial research objectives formulated in Chapter One (Section 1.4) against technical implementations in Chapter Three and empirical validation evidence from Chapter Four.</w:t>
      </w:r>
    </w:p>
    <w:p>
      <w:pPr>
        <w:keepNext/>
        <w:spacing w:before="240" w:after="80"/>
      </w:pPr>
      <w:r>
        <w:rPr>
          <w:rFonts w:ascii="Times New Roman" w:hAnsi="Times New Roman"/>
          <w:b/>
          <w:color w:val="000000"/>
          <w:sz w:val="25"/>
        </w:rPr>
        <w:t>Table 5.1: Research Objectives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Initial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To review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To design a dual-objective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To develop an automated workload profile estimation model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To construct a functional prototype system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To implement persistent allocation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To empirically evaluate system performance under varying workloads and trade-off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5.4 Comparison with Existing Systems</w:t>
      </w:r>
    </w:p>
    <w:p>
      <w:pPr>
        <w:spacing w:before="0" w:after="120" w:line="360" w:lineRule="auto"/>
      </w:pPr>
      <w:r>
        <w:rPr>
          <w:rFonts w:ascii="Times New Roman" w:hAnsi="Times New Roman"/>
          <w:color w:val="000000"/>
          <w:sz w:val="24"/>
        </w:rPr>
        <w:t>The proposed cloud storage allocation platform advances beyond existing commercial Cloud Management Platforms (CMPs) and traditional allocation utilities in three main areas: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Dynamic Scaling vs Static Rule Policies</w:t>
      </w:r>
      <w:r>
        <w:rPr>
          <w:rFonts w:ascii="Times New Roman" w:hAnsi="Times New Roman"/>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Automated Workload Estimation vs Manual Sizing Guesswork</w:t>
      </w:r>
      <w:r>
        <w:rPr>
          <w:rFonts w:ascii="Times New Roman" w:hAnsi="Times New Roman"/>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Explicit Trade-off Control (α / β)</w:t>
      </w:r>
      <w:r>
        <w:rPr>
          <w:rFonts w:ascii="Times New Roman" w:hAnsi="Times New Roman"/>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pPr>
    </w:p>
    <w:p>
      <w:pPr>
        <w:keepNext/>
        <w:spacing w:before="280" w:after="120"/>
      </w:pPr>
      <w:r>
        <w:rPr>
          <w:rFonts w:ascii="Times New Roman" w:hAnsi="Times New Roman"/>
          <w:b/>
          <w:color w:val="000000"/>
          <w:sz w:val="28"/>
        </w:rPr>
        <w:t>5.5 Advantages of the New System</w:t>
      </w:r>
    </w:p>
    <w:p>
      <w:pPr>
        <w:spacing w:before="0" w:after="120" w:line="360" w:lineRule="auto"/>
      </w:pPr>
      <w:r>
        <w:rPr>
          <w:rFonts w:ascii="Times New Roman" w:hAnsi="Times New Roman"/>
          <w:color w:val="000000"/>
          <w:sz w:val="24"/>
        </w:rPr>
        <w:t>The implemented platform offers four key functional advantages over conventional storage provisioning methods: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Multi-Objective Cost &amp; SLA Optimization</w:t>
      </w:r>
      <w:r>
        <w:rPr>
          <w:rFonts w:ascii="Times New Roman" w:hAnsi="Times New Roman"/>
          <w:color w:val="000000"/>
          <w:sz w:val="24"/>
        </w:rPr>
        <w:t>: Simultaneously minimizes operational spend and enforces SLA availability and latency bounds through Min-Max vector normalization.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Automated Workload Sizing</w:t>
      </w:r>
      <w:r>
        <w:rPr>
          <w:rFonts w:ascii="Times New Roman" w:hAnsi="Times New Roman"/>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Real-Time Baseline Benchmarking</w:t>
      </w:r>
      <w:r>
        <w:rPr>
          <w:rFonts w:ascii="Times New Roman" w:hAnsi="Times New Roman"/>
          <w:color w:val="000000"/>
          <w:sz w:val="24"/>
        </w:rPr>
        <w:t>: Instantly evaluates the proposed heuristic against First Fit, Best Fit, and Worst Fit algorithms, providing immediate visualization of financial savings.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Relational Audit Logging &amp; Data Export</w:t>
      </w:r>
      <w:r>
        <w:rPr>
          <w:rFonts w:ascii="Times New Roman" w:hAnsi="Times New Roman"/>
          <w:color w:val="000000"/>
          <w:sz w:val="24"/>
        </w:rPr>
        <w:t>: Maintains an immutable transaction ledger in SQLite, supporting historical compliance auditing, capacity planning, and CSV data extraction.</w:t>
      </w:r>
    </w:p>
    <w:p>
      <w:pPr>
        <w:spacing w:before="160" w:after="160"/>
      </w:pPr>
    </w:p>
    <w:p>
      <w:pPr>
        <w:keepNext/>
        <w:spacing w:before="280" w:after="120"/>
      </w:pPr>
      <w:r>
        <w:rPr>
          <w:rFonts w:ascii="Times New Roman" w:hAnsi="Times New Roman"/>
          <w:b/>
          <w:color w:val="000000"/>
          <w:sz w:val="28"/>
        </w:rPr>
        <w:t>5.6 Challenges Encountered</w:t>
      </w:r>
    </w:p>
    <w:p>
      <w:pPr>
        <w:spacing w:before="0" w:after="120" w:line="360" w:lineRule="auto"/>
      </w:pPr>
      <w:r>
        <w:rPr>
          <w:rFonts w:ascii="Times New Roman" w:hAnsi="Times New Roman"/>
          <w:color w:val="000000"/>
          <w:sz w:val="24"/>
        </w:rPr>
        <w:t>During system design and implementation, three major engineering challenges were encountered and resolved:</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Zero-Range Normalization Edge Cases</w:t>
      </w:r>
      <w:r>
        <w:rPr>
          <w:rFonts w:ascii="Times New Roman" w:hAnsi="Times New Roman"/>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Scaling Non-Linear SLA Percentages vs Linear Cost Vectors</w:t>
      </w:r>
      <w:r>
        <w:rPr>
          <w:rFonts w:ascii="Times New Roman" w:hAnsi="Times New Roman"/>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Database Concurrency and Locking</w:t>
      </w:r>
      <w:r>
        <w:rPr>
          <w:rFonts w:ascii="Times New Roman" w:hAnsi="Times New Roman"/>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pPr>
    </w:p>
    <w:p>
      <w:pPr>
        <w:keepNext/>
        <w:spacing w:before="280" w:after="120"/>
      </w:pPr>
      <w:r>
        <w:rPr>
          <w:rFonts w:ascii="Times New Roman" w:hAnsi="Times New Roman"/>
          <w:b/>
          <w:color w:val="000000"/>
          <w:sz w:val="28"/>
        </w:rPr>
        <w:t>5.7 Implications of the Study</w:t>
      </w:r>
    </w:p>
    <w:p>
      <w:pPr>
        <w:keepNext/>
        <w:spacing w:before="240" w:after="80"/>
      </w:pPr>
      <w:r>
        <w:rPr>
          <w:rFonts w:ascii="Times New Roman" w:hAnsi="Times New Roman"/>
          <w:b/>
          <w:color w:val="000000"/>
          <w:sz w:val="25"/>
        </w:rPr>
        <w:t>5.7.1 Implications for Cloud Service Providers (CSPs)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Optimized Infrastructure Tiering</w:t>
      </w:r>
      <w:r>
        <w:rPr>
          <w:rFonts w:ascii="Times New Roman" w:hAnsi="Times New Roman"/>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Dynamic Pricing Product Offerings</w:t>
      </w:r>
      <w:r>
        <w:rPr>
          <w:rFonts w:ascii="Times New Roman" w:hAnsi="Times New Roman"/>
          <w:color w:val="000000"/>
          <w:sz w:val="24"/>
        </w:rPr>
        <w:t>: CSPs can offer flexible pricing models based on explicit α - β trade-off profiles, enabling tiered service offerings tailored to enterprise budget constraints.</w:t>
      </w:r>
    </w:p>
    <w:p>
      <w:pPr>
        <w:keepNext/>
        <w:spacing w:before="240" w:after="80"/>
      </w:pPr>
      <w:r>
        <w:rPr>
          <w:rFonts w:ascii="Times New Roman" w:hAnsi="Times New Roman"/>
          <w:b/>
          <w:color w:val="000000"/>
          <w:sz w:val="25"/>
        </w:rPr>
        <w:t>5.7.2 Implications for Enterprise IT Infrastructure Managers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Substantial Financial Cost Reductions</w:t>
      </w:r>
      <w:r>
        <w:rPr>
          <w:rFonts w:ascii="Times New Roman" w:hAnsi="Times New Roman"/>
          <w:color w:val="000000"/>
          <w:sz w:val="24"/>
        </w:rPr>
        <w:t xml:space="preserve">: Enterprise IT departments managing multi-terabyte cloud deployments can reduce storage expenditure by </w:t>
      </w:r>
      <w:r>
        <w:rPr>
          <w:rFonts w:ascii="Times New Roman" w:hAnsi="Times New Roman"/>
          <w:b/>
          <w:color w:val="000000"/>
          <w:sz w:val="24"/>
        </w:rPr>
        <w:t>15% to 20%</w:t>
      </w:r>
      <w:r>
        <w:rPr>
          <w:rFonts w:ascii="Times New Roman" w:hAnsi="Times New Roman"/>
          <w:color w:val="000000"/>
          <w:sz w:val="24"/>
        </w:rPr>
        <w:t xml:space="preserve"> without introducing SLA breach liabilities.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Enhanced IT Governance</w:t>
      </w:r>
      <w:r>
        <w:rPr>
          <w:rFonts w:ascii="Times New Roman" w:hAnsi="Times New Roman"/>
          <w:color w:val="000000"/>
          <w:sz w:val="24"/>
        </w:rPr>
        <w:t>: The persistent SQLite audit log provides complete historical transparency for compliance auditing, internal cost chargeback, and capacity planning.</w:t>
      </w:r>
    </w:p>
    <w:p>
      <w:pPr>
        <w:spacing w:before="160" w:after="160"/>
      </w:pPr>
    </w:p>
    <w:p>
      <w:pPr>
        <w:keepNext/>
        <w:spacing w:before="280" w:after="120"/>
      </w:pPr>
      <w:r>
        <w:rPr>
          <w:rFonts w:ascii="Times New Roman" w:hAnsi="Times New Roman"/>
          <w:b/>
          <w:color w:val="000000"/>
          <w:sz w:val="28"/>
        </w:rPr>
        <w:t>5.8 Contribution of the Project</w:t>
      </w:r>
    </w:p>
    <w:p>
      <w:pPr>
        <w:spacing w:before="0" w:after="120" w:line="360" w:lineRule="auto"/>
      </w:pPr>
      <w:r>
        <w:rPr>
          <w:rFonts w:ascii="Times New Roman" w:hAnsi="Times New Roman"/>
          <w:color w:val="000000"/>
          <w:sz w:val="24"/>
        </w:rPr>
        <w:t>This research delivers three primary contributions to the fields of cloud computing, software engineering, and systems optimization:</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Algorithmic Contribution</w:t>
      </w:r>
      <w:r>
        <w:rPr>
          <w:rFonts w:ascii="Times New Roman" w:hAnsi="Times New Roman"/>
          <w:color w:val="000000"/>
          <w:sz w:val="24"/>
        </w:rPr>
        <w:t>: Formulated and validated a dual-objective greedy heuristic combining hard constraint pre-filtering with Min-Max normalized scoring (`α × C_norm + β × U_norm`).</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Software Artifact Contribution</w:t>
      </w:r>
      <w:r>
        <w:rPr>
          <w:rFonts w:ascii="Times New Roman" w:hAnsi="Times New Roman"/>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Empirical Evidence Contribution</w:t>
      </w:r>
      <w:r>
        <w:rPr>
          <w:rFonts w:ascii="Times New Roman" w:hAnsi="Times New Roman"/>
          <w:color w:val="000000"/>
          <w:sz w:val="24"/>
        </w:rPr>
        <w:t xml:space="preserve">: Generated benchmark evaluation dataset demonstrating </w:t>
      </w:r>
      <w:r>
        <w:rPr>
          <w:rFonts w:ascii="Times New Roman" w:hAnsi="Times New Roman"/>
          <w:b/>
          <w:color w:val="000000"/>
          <w:sz w:val="24"/>
        </w:rPr>
        <w:t>17.81% cost savings</w:t>
      </w:r>
      <w:r>
        <w:rPr>
          <w:rFonts w:ascii="Times New Roman" w:hAnsi="Times New Roman"/>
          <w:color w:val="000000"/>
          <w:sz w:val="24"/>
        </w:rPr>
        <w:t xml:space="preserve"> under </w:t>
      </w:r>
      <w:r>
        <w:rPr>
          <w:rFonts w:ascii="Times New Roman" w:hAnsi="Times New Roman"/>
          <w:b/>
          <w:color w:val="000000"/>
          <w:sz w:val="24"/>
        </w:rPr>
        <w:t>100% SLA availability compliance</w:t>
      </w:r>
      <w:r>
        <w:rPr>
          <w:rFonts w:ascii="Times New Roman" w:hAnsi="Times New Roman"/>
          <w:color w:val="000000"/>
          <w:sz w:val="24"/>
        </w:rPr>
        <w:t xml:space="preserve"> across 500 allocation scenarios.</w:t>
      </w:r>
    </w:p>
    <w:p>
      <w:pPr>
        <w:spacing w:before="160" w:after="160"/>
      </w:pPr>
    </w:p>
    <w:p>
      <w:pPr>
        <w:keepNext/>
        <w:spacing w:before="280" w:after="120"/>
      </w:pPr>
      <w:r>
        <w:rPr>
          <w:rFonts w:ascii="Times New Roman" w:hAnsi="Times New Roman"/>
          <w:b/>
          <w:color w:val="000000"/>
          <w:sz w:val="28"/>
        </w:rPr>
        <w:t>5.9 Recommendations for Future Work</w:t>
      </w:r>
    </w:p>
    <w:p>
      <w:pPr>
        <w:spacing w:before="0" w:after="120" w:line="360" w:lineRule="auto"/>
      </w:pPr>
      <w:r>
        <w:rPr>
          <w:rFonts w:ascii="Times New Roman" w:hAnsi="Times New Roman"/>
          <w:color w:val="000000"/>
          <w:sz w:val="24"/>
        </w:rPr>
        <w:t>To extend the scope and capabilities of this research, future studies should consider four key directions: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Live Public Cloud Provider API Integration</w:t>
      </w:r>
      <w:r>
        <w:rPr>
          <w:rFonts w:ascii="Times New Roman" w:hAnsi="Times New Roman"/>
          <w:color w:val="000000"/>
          <w:sz w:val="24"/>
        </w:rPr>
        <w:t>: Extend `database.py` and `heuristic.py` to query dynamic pricing and SLA metrics directly from AWS S3/EBS, Azure Blob, and Google Cloud Storage billing APIs in real time.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Machine Learning Workload Forecasting</w:t>
      </w:r>
      <w:r>
        <w:rPr>
          <w:rFonts w:ascii="Times New Roman" w:hAnsi="Times New Roman"/>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Multi-Cloud &amp; Multi-Region Replication</w:t>
      </w:r>
      <w:r>
        <w:rPr>
          <w:rFonts w:ascii="Times New Roman" w:hAnsi="Times New Roman"/>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Hybrid Multi-Tier Split Allocations</w:t>
      </w:r>
      <w:r>
        <w:rPr>
          <w:rFonts w:ascii="Times New Roman" w:hAnsi="Times New Roman"/>
          <w:color w:val="000000"/>
          <w:sz w:val="24"/>
        </w:rPr>
        <w:t>: Enhance the heuristic to support split allocations across multiple tiers (e.g., allocating 80% of archival log data to Object Storage and 20% of active index data to Block Storage).</w:t>
      </w:r>
    </w:p>
    <w:p>
      <w:pPr>
        <w:spacing w:before="160" w:after="160"/>
      </w:pPr>
    </w:p>
    <w:p>
      <w:pPr>
        <w:keepNext/>
        <w:spacing w:before="280" w:after="120"/>
      </w:pPr>
      <w:r>
        <w:rPr>
          <w:rFonts w:ascii="Times New Roman" w:hAnsi="Times New Roman"/>
          <w:b/>
          <w:color w:val="000000"/>
          <w:sz w:val="28"/>
        </w:rPr>
        <w:t>5.10 Chapter Summary and Conclusion</w:t>
      </w:r>
    </w:p>
    <w:p>
      <w:pPr>
        <w:spacing w:before="0" w:after="120" w:line="360" w:lineRule="auto"/>
      </w:pPr>
      <w:r>
        <w:rPr>
          <w:rFonts w:ascii="Times New Roman" w:hAnsi="Times New Roman"/>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color w:val="000000"/>
          <w:sz w:val="24"/>
        </w:rPr>
        <w:t>17.81% reduction in storage expenditure</w:t>
      </w:r>
      <w:r>
        <w:rPr>
          <w:rFonts w:ascii="Times New Roman" w:hAnsi="Times New Roman"/>
          <w:color w:val="000000"/>
          <w:sz w:val="24"/>
        </w:rPr>
        <w:t xml:space="preserve"> alongside a </w:t>
      </w:r>
      <w:r>
        <w:rPr>
          <w:rFonts w:ascii="Times New Roman" w:hAnsi="Times New Roman"/>
          <w:b/>
          <w:color w:val="000000"/>
          <w:sz w:val="24"/>
        </w:rPr>
        <w:t>0% SLA breach rate</w:t>
      </w:r>
      <w:r>
        <w:rPr>
          <w:rFonts w:ascii="Times New Roman" w:hAnsi="Times New Roman"/>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