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360" w:lineRule="auto"/>
        <w:jc w:val="center"/>
      </w:pPr>
      <w:r>
        <w:rPr>
          <w:rFonts w:ascii="Times New Roman" w:hAnsi="Times New Roman"/>
          <w:b/>
          <w:color w:val="000000"/>
          <w:sz w:val="24"/>
        </w:rPr>
        <w:t>CHAPTER FOUR</w:t>
      </w:r>
      <w:r>
        <w:rPr>
          <w:rFonts w:ascii="Times New Roman" w:hAnsi="Times New Roman"/>
          <w:color w:val="000000"/>
          <w:sz w:val="24"/>
        </w:rPr>
        <w:br/>
      </w:r>
      <w:r>
        <w:rPr>
          <w:rFonts w:ascii="Times New Roman" w:hAnsi="Times New Roman"/>
          <w:b/>
          <w:color w:val="000000"/>
          <w:sz w:val="24"/>
        </w:rPr>
        <w:t>SYSTEM IMPLEMENTATION, TESTING AND RESULTS</w:t>
      </w:r>
    </w:p>
    <w:p>
      <w:pPr>
        <w:keepNext/>
        <w:spacing w:before="280" w:after="120" w:line="360" w:lineRule="auto"/>
        <w:jc w:val="both"/>
      </w:pPr>
      <w:r>
        <w:rPr>
          <w:rFonts w:ascii="Times New Roman" w:hAnsi="Times New Roman"/>
          <w:b/>
          <w:i w:val="0"/>
          <w:color w:val="000000"/>
          <w:sz w:val="28"/>
        </w:rPr>
        <w:t>4.0 Introduction</w:t>
      </w:r>
    </w:p>
    <w:p>
      <w:pPr>
        <w:spacing w:before="0" w:after="120" w:line="360" w:lineRule="auto"/>
        <w:jc w:val="both"/>
      </w:pPr>
      <w:r>
        <w:rPr>
          <w:rFonts w:ascii="Times New Roman" w:hAnsi="Times New Roman"/>
          <w:color w:val="000000"/>
          <w:sz w:val="24"/>
        </w:rPr>
      </w:r>
      <w:r>
        <w:rPr>
          <w:rFonts w:ascii="Times New Roman" w:hAnsi="Times New Roman"/>
          <w:color w:val="000000"/>
          <w:sz w:val="24"/>
        </w:rPr>
        <w:t>4.4 Database Implementation</w:t>
        <w:br/>
        <w:t>The data layer utilizes an embedded SQLite relational database (storage_allocation.db). The database schema consists of two tables: storage_tiers and allocations.</w:t>
        <w:br/>
        <w:t>The default storage tier catalog was expanded to 6 enterprise storage tiers:</w:t>
        <w:br/>
        <w:t>1. Ultra High-Performance NVMe Block Storage: 0.250/GB, 99.9999% SLA, 0.5 ms Latency</w:t>
        <w:br/>
        <w:t>2. Premium SSD Block Storage: 0.150/GB, 99.999% SLA, 2.0 ms Latency</w:t>
        <w:br/>
        <w:t>3. General Purpose Block Storage: 0.090/GB, 99.95% SLA, 5.0 ms Latency</w:t>
        <w:br/>
        <w:t>4. High-Throughput File Storage (NFS/SMB): 0.060/GB, 99.99% SLA, 10.0 ms Latency</w:t>
        <w:br/>
        <w:t>5. Hot Object Storage (Standard S3): 0.023/GB, 99.9% SLA, 25.0 ms Latency</w:t>
        <w:br/>
        <w:t>6. Cool System Archive Storage: 0.004/GB, 99.0% SLA, 100.0 ms Latency</w:t>
        <w:br/>
        <w:br/>
        <w:t>4.10.2 Trade-off Sensitivity Analysis (α vs β Results)</w:t>
        <w:br/>
        <w:t>Empirical sensitivity testing across α ∈ [0.0, 1.0] confirms that cost optimization weight α dynamically shifts tier selection and monthly spend:</w:t>
        <w:br/>
        <w:t>• α = 0.0, β = 1.0 (Availability Priority): Recommends Ultra High-Performance NVMe (250.00/mo, 99.9999% SLA).</w:t>
        <w:br/>
        <w:t>• α = 0.2, β = 0.8 (High Reliability): Recommends Premium SSD Block Storage (150.00/mo, 99.999% SLA).</w:t>
        <w:br/>
        <w:t>• α = 0.5, β = 0.5 (Balanced Dual-Objective): Recommends High-Throughput File Storage (60.00/mo, 99.99% SLA).</w:t>
        <w:br/>
        <w:t>• α = 1.0, β = 0.0 (Cost Priority): Recommends Hot Object Storage (23.00/mo, 99.9% SLA).</w:t>
      </w:r>
    </w:p>
    <w:p>
      <w:pPr>
        <w:spacing w:before="0" w:after="120" w:line="360" w:lineRule="auto"/>
        <w:jc w:val="both"/>
      </w:pPr>
      <w:r>
        <w:rPr>
          <w:rFonts w:ascii="Times New Roman" w:hAnsi="Times New Roman"/>
          <w:b w:val="0"/>
          <w:i w:val="0"/>
          <w:color w:val="000000"/>
          <w:sz w:val="24"/>
        </w:rPr>
        <w:t xml:space="preserve">The system provides a real-time web-based platform that enables cloud infrastructure administrators to </w:t>
      </w:r>
      <w:r>
        <w:rPr>
          <w:rFonts w:ascii="Times New Roman" w:hAnsi="Times New Roman"/>
          <w:b w:val="0"/>
          <w:i w:val="0"/>
          <w:color w:val="000000"/>
          <w:sz w:val="24"/>
        </w:rPr>
        <w:t>optimize</w:t>
      </w:r>
      <w:r>
        <w:rPr>
          <w:rFonts w:ascii="Times New Roman" w:hAnsi="Times New Roman"/>
          <w:b w:val="0"/>
          <w:i w:val="0"/>
          <w:color w:val="000000"/>
          <w:sz w:val="24"/>
        </w:rPr>
        <w:t xml:space="preserve"> cloud storage tier allocations (Block Storage, File Storage, Object Storage) against strict Service Level Agreement (SLA) availability constraints and maximum access latency thresholds while minimizing overall operational expenditures. Furthermore, the application incorporates an </w:t>
      </w:r>
      <w:r>
        <w:rPr>
          <w:rFonts w:ascii="Times New Roman" w:hAnsi="Times New Roman"/>
          <w:b/>
          <w:i w:val="0"/>
          <w:color w:val="000000"/>
          <w:sz w:val="24"/>
        </w:rPr>
        <w:t>Automatic Storage Size Suggestion Engine</w:t>
      </w:r>
      <w:r>
        <w:rPr>
          <w:rFonts w:ascii="Times New Roman" w:hAnsi="Times New Roman"/>
          <w:b w:val="0"/>
          <w:i w:val="0"/>
          <w:color w:val="000000"/>
          <w:sz w:val="24"/>
        </w:rPr>
        <w:t xml:space="preserve"> that dynamically calculates storage capacity requirements based on operational parameters across five enterprise application workload profiles.</w:t>
      </w:r>
    </w:p>
    <w:p>
      <w:pPr>
        <w:keepNext/>
        <w:spacing w:before="280" w:after="120" w:line="360" w:lineRule="auto"/>
        <w:jc w:val="both"/>
      </w:pPr>
      <w:r>
        <w:rPr>
          <w:rFonts w:ascii="Times New Roman" w:hAnsi="Times New Roman"/>
          <w:b/>
          <w:i w:val="0"/>
          <w:color w:val="000000"/>
          <w:sz w:val="28"/>
        </w:rPr>
        <w:t>4.1 Development Environment</w:t>
      </w:r>
    </w:p>
    <w:p>
      <w:pPr>
        <w:spacing w:before="0" w:after="120" w:line="360" w:lineRule="auto"/>
        <w:jc w:val="both"/>
      </w:pPr>
      <w:r>
        <w:rPr>
          <w:rFonts w:ascii="Times New Roman" w:hAnsi="Times New Roman"/>
          <w:b w:val="0"/>
          <w:i w:val="0"/>
          <w:color w:val="000000"/>
          <w:sz w:val="24"/>
        </w:rPr>
        <w:t>The software platform was developed, profiled, and benchmarked within a dedicated 64-bit Linux workstation host environment running Ubuntu 22.04 LTS (Kernel v6.5). The runtime infrastructure was selected to provide consistent system calls, low-latency disk I/O for SQLite transaction processing, and reproducible performance metrics.</w:t>
      </w:r>
    </w:p>
    <w:p>
      <w:pPr>
        <w:spacing w:before="0" w:after="120" w:line="360" w:lineRule="auto"/>
        <w:jc w:val="both"/>
      </w:pPr>
      <w:r>
        <w:rPr>
          <w:rFonts w:ascii="Times New Roman" w:hAnsi="Times New Roman"/>
          <w:b w:val="0"/>
          <w:i w:val="0"/>
          <w:color w:val="000000"/>
          <w:sz w:val="24"/>
        </w:rPr>
        <w:t>Table 4.1 summarizes the complete hardware and system software development specifications.</w:t>
      </w:r>
    </w:p>
    <w:p>
      <w:pPr>
        <w:keepNext/>
        <w:spacing w:before="240" w:after="80" w:line="360" w:lineRule="auto"/>
        <w:jc w:val="both"/>
      </w:pPr>
      <w:r>
        <w:rPr>
          <w:rFonts w:ascii="Times New Roman" w:hAnsi="Times New Roman"/>
          <w:b/>
          <w:i w:val="0"/>
          <w:color w:val="000000"/>
          <w:sz w:val="25"/>
        </w:rPr>
        <w:t>Table 4.1: System Development Environment Specifications</w:t>
      </w:r>
    </w:p>
    <w:p>
      <w:pPr>
        <w:spacing w:after="120" w:line="360" w:lineRule="auto"/>
        <w:jc w:val="both"/>
      </w:pPr>
    </w:p>
    <w:p>
      <w:pPr>
        <w:keepNext/>
        <w:spacing w:before="280" w:after="120" w:line="360" w:lineRule="auto"/>
        <w:jc w:val="both"/>
      </w:pPr>
      <w:r>
        <w:rPr>
          <w:rFonts w:ascii="Times New Roman" w:hAnsi="Times New Roman"/>
          <w:b/>
          <w:i w:val="0"/>
          <w:color w:val="000000"/>
          <w:sz w:val="28"/>
        </w:rPr>
        <w:t>4.2 Programming Language</w:t>
      </w:r>
      <w:r>
        <w:rPr>
          <w:rFonts w:ascii="Times New Roman" w:hAnsi="Times New Roman"/>
          <w:b/>
          <w:i w:val="0"/>
          <w:color w:val="000000"/>
          <w:sz w:val="28"/>
        </w:rPr>
        <w:t xml:space="preserve"> Used</w:t>
      </w:r>
    </w:p>
    <w:p>
      <w:pPr>
        <w:spacing w:before="0" w:after="120" w:line="360" w:lineRule="auto"/>
        <w:jc w:val="both"/>
      </w:pPr>
      <w:r>
        <w:rPr>
          <w:rFonts w:ascii="Times New Roman" w:hAnsi="Times New Roman"/>
          <w:b w:val="0"/>
          <w:i w:val="0"/>
          <w:color w:val="000000"/>
          <w:sz w:val="24"/>
        </w:rPr>
        <w:t xml:space="preserve">The entire system backend, mathematical optimization engine, data access layer, and user interface were constructed using </w:t>
      </w:r>
      <w:r>
        <w:rPr>
          <w:rFonts w:ascii="Times New Roman" w:hAnsi="Times New Roman"/>
          <w:b/>
          <w:i w:val="0"/>
          <w:color w:val="000000"/>
          <w:sz w:val="24"/>
        </w:rPr>
        <w:t>Python 3.8+</w:t>
      </w:r>
      <w:r>
        <w:rPr>
          <w:rFonts w:ascii="Times New Roman" w:hAnsi="Times New Roman"/>
          <w:b w:val="0"/>
          <w:i w:val="0"/>
          <w:color w:val="000000"/>
          <w:sz w:val="24"/>
        </w:rPr>
        <w:t>. Python was selected as the primary programming language based on several critical software engineering criteria:</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Rich Scientific Computing Ecosystem</w:t>
      </w:r>
      <w:r>
        <w:rPr>
          <w:rFonts w:ascii="Times New Roman" w:hAnsi="Times New Roman"/>
          <w:b w:val="0"/>
          <w:i w:val="0"/>
          <w:color w:val="000000"/>
          <w:sz w:val="24"/>
        </w:rPr>
        <w:t>: Python provides high-performance data manipulation and numerical calculation libraries (`pandas` and `numpy`) capable of handling vectorized dataframe operations, Min-Max scaling, and statistical aggregation with sub-millisecond execution times.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Rapid Prototyping &amp; Dynamic Typing</w:t>
      </w:r>
      <w:r>
        <w:rPr>
          <w:rFonts w:ascii="Times New Roman" w:hAnsi="Times New Roman"/>
          <w:b w:val="0"/>
          <w:i w:val="0"/>
          <w:color w:val="000000"/>
          <w:sz w:val="24"/>
        </w:rPr>
        <w:t>: Python's concise syntax and robust standard library permitted rapid iterative development of the multi-objective optimization algorithms, database interaction layer, and data export features.</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Seamless Web Framework Integration</w:t>
      </w:r>
      <w:r>
        <w:rPr>
          <w:rFonts w:ascii="Times New Roman" w:hAnsi="Times New Roman"/>
          <w:b w:val="0"/>
          <w:i w:val="0"/>
          <w:color w:val="000000"/>
          <w:sz w:val="24"/>
        </w:rPr>
        <w:t>: Python's native integration with modern reactive UI frameworks (`streamlit`) enabled the construction of an interactive web application without requiring decoupled JavaScript frontend frameworks (e.g., React or Angular) or REST API boilerplate code.</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Embedded Relational Database Support</w:t>
      </w:r>
      <w:r>
        <w:rPr>
          <w:rFonts w:ascii="Times New Roman" w:hAnsi="Times New Roman"/>
          <w:b w:val="0"/>
          <w:i w:val="0"/>
          <w:color w:val="000000"/>
          <w:sz w:val="24"/>
        </w:rPr>
        <w:t>: Python includes built-in bindings for SQLite (`sqlite3`), enabling embedded, zero-configuration relational database management with complete ACID transaction guarantees.</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4.3 Tools and Frameworks</w:t>
      </w:r>
    </w:p>
    <w:p>
      <w:pPr>
        <w:spacing w:before="0" w:after="120" w:line="360" w:lineRule="auto"/>
        <w:jc w:val="both"/>
      </w:pPr>
      <w:r>
        <w:rPr>
          <w:rFonts w:ascii="Times New Roman" w:hAnsi="Times New Roman"/>
          <w:b w:val="0"/>
          <w:i w:val="0"/>
          <w:color w:val="000000"/>
          <w:sz w:val="24"/>
        </w:rPr>
        <w:t>The system architecture leverages a curated suite of open-source libraries, UI frameworks, visualization engines, and automated testing tools:</w:t>
      </w:r>
    </w:p>
    <w:p>
      <w:pPr>
        <w:spacing w:before="0" w:after="120" w:line="360" w:lineRule="auto"/>
        <w:jc w:val="both"/>
      </w:pPr>
      <w:r>
        <w:rPr>
          <w:rFonts w:ascii="Times New Roman" w:hAnsi="Times New Roman"/>
          <w:b/>
          <w:i w:val="0"/>
          <w:color w:val="000000"/>
          <w:sz w:val="24"/>
        </w:rPr>
        <w:t>Streamlit</w:t>
      </w:r>
      <w:r>
        <w:rPr>
          <w:rFonts w:ascii="Times New Roman" w:hAnsi="Times New Roman"/>
          <w:b/>
          <w:i w:val="0"/>
          <w:color w:val="000000"/>
          <w:sz w:val="24"/>
        </w:rPr>
        <w:t xml:space="preserve"> (v1.30+)</w:t>
      </w:r>
      <w:r>
        <w:rPr>
          <w:rFonts w:ascii="Times New Roman" w:hAnsi="Times New Roman"/>
          <w:b w:val="0"/>
          <w:i w:val="0"/>
          <w:color w:val="000000"/>
          <w:sz w:val="24"/>
        </w:rPr>
        <w:t xml:space="preserve">: A reactive Python web application framework used to build the single-page user interface. </w:t>
      </w:r>
      <w:r>
        <w:rPr>
          <w:rFonts w:ascii="Times New Roman" w:hAnsi="Times New Roman"/>
          <w:b w:val="0"/>
          <w:i w:val="0"/>
          <w:color w:val="000000"/>
          <w:sz w:val="24"/>
        </w:rPr>
        <w:t>Streamlit</w:t>
      </w:r>
      <w:r>
        <w:rPr>
          <w:rFonts w:ascii="Times New Roman" w:hAnsi="Times New Roman"/>
          <w:b w:val="0"/>
          <w:i w:val="0"/>
          <w:color w:val="000000"/>
          <w:sz w:val="24"/>
        </w:rPr>
        <w:t xml:space="preserve"> manages </w:t>
      </w:r>
      <w:r>
        <w:rPr>
          <w:rFonts w:ascii="Times New Roman" w:hAnsi="Times New Roman"/>
          <w:b w:val="0"/>
          <w:i w:val="0"/>
          <w:color w:val="000000"/>
          <w:sz w:val="24"/>
        </w:rPr>
        <w:t>component</w:t>
      </w:r>
      <w:r>
        <w:rPr>
          <w:rFonts w:ascii="Times New Roman" w:hAnsi="Times New Roman"/>
          <w:b w:val="0"/>
          <w:i w:val="0"/>
          <w:color w:val="000000"/>
          <w:sz w:val="24"/>
        </w:rPr>
        <w:t xml:space="preserve"> rendering, session state, user input controls, and dynamic widget updates upon parameter modification.</w:t>
      </w:r>
    </w:p>
    <w:p>
      <w:pPr>
        <w:spacing w:before="0" w:after="120" w:line="360" w:lineRule="auto"/>
        <w:jc w:val="both"/>
      </w:pPr>
      <w:r>
        <w:rPr>
          <w:rFonts w:ascii="Times New Roman" w:hAnsi="Times New Roman"/>
          <w:b/>
          <w:i w:val="0"/>
          <w:color w:val="000000"/>
          <w:sz w:val="24"/>
        </w:rPr>
        <w:t>Plotly</w:t>
      </w:r>
      <w:r>
        <w:rPr>
          <w:rFonts w:ascii="Times New Roman" w:hAnsi="Times New Roman"/>
          <w:b/>
          <w:i w:val="0"/>
          <w:color w:val="000000"/>
          <w:sz w:val="24"/>
        </w:rPr>
        <w:t xml:space="preserve"> Express (v5.18+)</w:t>
      </w:r>
      <w:r>
        <w:rPr>
          <w:rFonts w:ascii="Times New Roman" w:hAnsi="Times New Roman"/>
          <w:b w:val="0"/>
          <w:i w:val="0"/>
          <w:color w:val="000000"/>
          <w:sz w:val="24"/>
        </w:rPr>
        <w:t xml:space="preserve">: An interactive data visualization library used to </w:t>
      </w:r>
      <w:r>
        <w:rPr>
          <w:rFonts w:ascii="Times New Roman" w:hAnsi="Times New Roman"/>
          <w:b w:val="0"/>
          <w:i w:val="0"/>
          <w:color w:val="000000"/>
          <w:sz w:val="24"/>
        </w:rPr>
        <w:t>render</w:t>
      </w:r>
      <w:r>
        <w:rPr>
          <w:rFonts w:ascii="Times New Roman" w:hAnsi="Times New Roman"/>
          <w:b w:val="0"/>
          <w:i w:val="0"/>
          <w:color w:val="000000"/>
          <w:sz w:val="24"/>
        </w:rPr>
        <w:t xml:space="preserve"> real-time pie charts, bar charts, line graphs, area charts, and multi-dimensional scatter plots for storage growth, cost allocation, and tier distribution analytics.</w:t>
      </w:r>
    </w:p>
    <w:p>
      <w:pPr>
        <w:spacing w:before="0" w:after="120" w:line="360" w:lineRule="auto"/>
        <w:jc w:val="both"/>
      </w:pPr>
      <w:r>
        <w:rPr>
          <w:rFonts w:ascii="Times New Roman" w:hAnsi="Times New Roman"/>
          <w:b/>
          <w:i w:val="0"/>
          <w:color w:val="000000"/>
          <w:sz w:val="24"/>
        </w:rPr>
        <w:t>Pandas (v2.0+) &amp; NumPy (v1.24+)</w:t>
      </w:r>
      <w:r>
        <w:rPr>
          <w:rFonts w:ascii="Times New Roman" w:hAnsi="Times New Roman"/>
          <w:b w:val="0"/>
          <w:i w:val="0"/>
          <w:color w:val="000000"/>
          <w:sz w:val="24"/>
        </w:rPr>
        <w:t xml:space="preserve">: Fundamental data science libraries </w:t>
      </w:r>
      <w:r>
        <w:rPr>
          <w:rFonts w:ascii="Times New Roman" w:hAnsi="Times New Roman"/>
          <w:b w:val="0"/>
          <w:i w:val="0"/>
          <w:color w:val="000000"/>
          <w:sz w:val="24"/>
        </w:rPr>
        <w:t>utilized</w:t>
      </w:r>
      <w:r>
        <w:rPr>
          <w:rFonts w:ascii="Times New Roman" w:hAnsi="Times New Roman"/>
          <w:b w:val="0"/>
          <w:i w:val="0"/>
          <w:color w:val="000000"/>
          <w:sz w:val="24"/>
        </w:rPr>
        <w:t xml:space="preserve"> for tabular data processing, candidate storage tier filtering, Min-Max vector normalization, baseline algorithm evaluation, and CSV export file generation.</w:t>
      </w:r>
    </w:p>
    <w:p>
      <w:pPr>
        <w:spacing w:before="0" w:after="120" w:line="360" w:lineRule="auto"/>
        <w:jc w:val="both"/>
      </w:pPr>
      <w:r>
        <w:rPr>
          <w:rFonts w:ascii="Times New Roman" w:hAnsi="Times New Roman"/>
          <w:b/>
          <w:i w:val="0"/>
          <w:color w:val="000000"/>
          <w:sz w:val="24"/>
        </w:rPr>
        <w:t>SQLite3</w:t>
      </w:r>
      <w:r>
        <w:rPr>
          <w:rFonts w:ascii="Times New Roman" w:hAnsi="Times New Roman"/>
          <w:b w:val="0"/>
          <w:i w:val="0"/>
          <w:color w:val="000000"/>
          <w:sz w:val="24"/>
        </w:rPr>
        <w:t xml:space="preserve">: An embedded, file-based relational database management system used to store storage tier specifications, workload parameters, </w:t>
      </w:r>
      <w:r>
        <w:rPr>
          <w:rFonts w:ascii="Times New Roman" w:hAnsi="Times New Roman"/>
          <w:b w:val="0"/>
          <w:i w:val="0"/>
          <w:color w:val="000000"/>
          <w:sz w:val="24"/>
        </w:rPr>
        <w:t>allocation</w:t>
      </w:r>
      <w:r>
        <w:rPr>
          <w:rFonts w:ascii="Times New Roman" w:hAnsi="Times New Roman"/>
          <w:b w:val="0"/>
          <w:i w:val="0"/>
          <w:color w:val="000000"/>
          <w:sz w:val="24"/>
        </w:rPr>
        <w:t xml:space="preserve"> recommendation outputs, and historical audit logs.</w:t>
      </w:r>
    </w:p>
    <w:p>
      <w:pPr>
        <w:spacing w:before="0" w:after="120" w:line="360" w:lineRule="auto"/>
        <w:jc w:val="both"/>
      </w:pPr>
      <w:r>
        <w:rPr>
          <w:rFonts w:ascii="Times New Roman" w:hAnsi="Times New Roman"/>
          <w:b/>
          <w:i w:val="0"/>
          <w:color w:val="000000"/>
          <w:sz w:val="24"/>
        </w:rPr>
        <w:t>Playwright (v1.40+)</w:t>
      </w:r>
      <w:r>
        <w:rPr>
          <w:rFonts w:ascii="Times New Roman" w:hAnsi="Times New Roman"/>
          <w:b w:val="0"/>
          <w:i w:val="0"/>
          <w:color w:val="000000"/>
          <w:sz w:val="24"/>
        </w:rPr>
        <w:t xml:space="preserve">: A headless browser automation framework </w:t>
      </w:r>
      <w:r>
        <w:rPr>
          <w:rFonts w:ascii="Times New Roman" w:hAnsi="Times New Roman"/>
          <w:b w:val="0"/>
          <w:i w:val="0"/>
          <w:color w:val="000000"/>
          <w:sz w:val="24"/>
        </w:rPr>
        <w:t>utilized</w:t>
      </w:r>
      <w:r>
        <w:rPr>
          <w:rFonts w:ascii="Times New Roman" w:hAnsi="Times New Roman"/>
          <w:b w:val="0"/>
          <w:i w:val="0"/>
          <w:color w:val="000000"/>
          <w:sz w:val="24"/>
        </w:rPr>
        <w:t xml:space="preserve"> for automated end-to-end interface verification, </w:t>
      </w:r>
      <w:r>
        <w:rPr>
          <w:rFonts w:ascii="Times New Roman" w:hAnsi="Times New Roman"/>
          <w:b w:val="0"/>
          <w:i w:val="0"/>
          <w:color w:val="000000"/>
          <w:sz w:val="24"/>
        </w:rPr>
        <w:t>component</w:t>
      </w:r>
      <w:r>
        <w:rPr>
          <w:rFonts w:ascii="Times New Roman" w:hAnsi="Times New Roman"/>
          <w:b w:val="0"/>
          <w:i w:val="0"/>
          <w:color w:val="000000"/>
          <w:sz w:val="24"/>
        </w:rPr>
        <w:t xml:space="preserve"> layout testing, and high-resolution screen capture.</w:t>
      </w:r>
    </w:p>
    <w:p>
      <w:pPr>
        <w:keepNext/>
        <w:spacing w:before="280" w:after="120" w:line="360" w:lineRule="auto"/>
        <w:jc w:val="both"/>
      </w:pPr>
      <w:r>
        <w:rPr>
          <w:rFonts w:ascii="Times New Roman" w:hAnsi="Times New Roman"/>
          <w:b/>
          <w:i w:val="0"/>
          <w:color w:val="000000"/>
          <w:sz w:val="28"/>
        </w:rPr>
        <w:t>4.4 Database Implementation</w:t>
      </w:r>
    </w:p>
    <w:p>
      <w:pPr>
        <w:spacing w:before="0" w:after="120" w:line="360" w:lineRule="auto"/>
        <w:jc w:val="both"/>
      </w:pPr>
      <w:r>
        <w:rPr>
          <w:rFonts w:ascii="Times New Roman" w:hAnsi="Times New Roman"/>
          <w:b w:val="0"/>
          <w:i w:val="0"/>
          <w:color w:val="000000"/>
          <w:sz w:val="24"/>
        </w:rPr>
        <w:t>The system persistence layer is implemented in SQLite via `database.py`. The database schema comprises two primary tables: `storage_tiers` (storing static tier specifications) and `allocations` (logging historical allocation requests and recommendations).</w:t>
      </w:r>
    </w:p>
    <w:p>
      <w:pPr>
        <w:keepNext/>
        <w:spacing w:before="240" w:after="80" w:line="360" w:lineRule="auto"/>
        <w:jc w:val="both"/>
      </w:pPr>
      <w:r>
        <w:rPr>
          <w:rFonts w:ascii="Times New Roman" w:hAnsi="Times New Roman"/>
          <w:b/>
          <w:i w:val="0"/>
          <w:color w:val="000000"/>
          <w:sz w:val="25"/>
        </w:rPr>
        <w:t>4.4.1 Relational Entity Schema &amp; DDL Implementation</w:t>
      </w:r>
    </w:p>
    <w:p>
      <w:pPr>
        <w:keepNext/>
        <w:spacing w:before="280" w:after="80"/>
        <w:jc w:val="center"/>
      </w:pPr>
      <w:r>
        <w:rPr>
          <w:rFonts w:ascii="Times New Roman" w:hAnsi="Times New Roman"/>
          <w:color w:val="000000"/>
          <w:sz w:val="24"/>
        </w:rPr>
      </w:r>
      <w:drawing xmlns:a="http://schemas.openxmlformats.org/drawingml/2006/main" xmlns:pic="http://schemas.openxmlformats.org/drawingml/2006/picture">
        <wp:inline>
          <wp:extent cx="5303520" cy="3598817"/>
          <wp:docPr id="2105769039" name="Picture 2105769039"/>
          <wp:cNvGraphicFramePr>
            <a:graphicFrameLocks noChangeAspect="1"/>
          </wp:cNvGraphicFramePr>
          <a:graphic>
            <a:graphicData uri="http://schemas.openxmlformats.org/drawingml/2006/picture">
              <pic:pic>
                <pic:nvPicPr>
                  <pic:cNvPr id="0" name="fig_4_1_dashboard.png"/>
                  <pic:cNvPicPr/>
                </pic:nvPicPr>
                <pic:blipFill>
                  <a:blip r:embed="rId22"/>
                  <a:stretch>
                    <a:fillRect/>
                  </a:stretch>
                </pic:blipFill>
                <pic:spPr>
                  <a:xfrm>
                    <a:off x="0" y="0"/>
                    <a:ext cx="5303520" cy="3598817"/>
                  </a:xfrm>
                  <a:prstGeom prst="rect"/>
                </pic:spPr>
              </pic:pic>
            </a:graphicData>
          </a:graphic>
        </wp:inline>
      </w:drawing>
    </w:p>
    <w:p>
      <w:pPr>
        <w:spacing w:before="0" w:after="120" w:line="360" w:lineRule="auto"/>
        <w:jc w:val="both"/>
      </w:pPr>
      <w:r>
        <w:rPr>
          <w:rFonts w:ascii="Times New Roman" w:hAnsi="Times New Roman"/>
          <w:b w:val="0"/>
          <w:i w:val="0"/>
          <w:color w:val="000000"/>
          <w:sz w:val="24"/>
        </w:rPr>
        <w:t>Figure 4.1 outlines the relational structure. Table `storage_tiers` acts as a lookup entity referenced by table `allocations` through the foreign key `recommended_tier_id`.</w:t>
      </w:r>
    </w:p>
    <w:p>
      <w:pPr>
        <w:spacing w:before="80" w:after="80" w:line="360" w:lineRule="auto"/>
        <w:jc w:val="left"/>
      </w:pPr>
      <w:r>
        <w:rPr>
          <w:rFonts w:ascii="Times New Roman" w:hAnsi="Times New Roman"/>
          <w:b w:val="0"/>
          <w:i w:val="0"/>
          <w:color w:val="000000"/>
          <w:sz w:val="19"/>
        </w:rPr>
        <w:t>-- Storage Tiers Table Schema</w:t>
      </w:r>
      <w:r>
        <w:rPr>
          <w:rFonts w:ascii="Times New Roman" w:hAnsi="Times New Roman"/>
          <w:color w:val="000000"/>
          <w:sz w:val="24"/>
        </w:rPr>
        <w:br/>
      </w:r>
      <w:r>
        <w:rPr>
          <w:rFonts w:ascii="Times New Roman" w:hAnsi="Times New Roman"/>
          <w:b w:val="0"/>
          <w:i w:val="0"/>
          <w:color w:val="000000"/>
          <w:sz w:val="19"/>
        </w:rPr>
        <w:t>CREATE TABLE IF NOT EXISTS storage_tiers (</w:t>
      </w:r>
      <w:r>
        <w:rPr>
          <w:rFonts w:ascii="Times New Roman" w:hAnsi="Times New Roman"/>
          <w:color w:val="000000"/>
          <w:sz w:val="24"/>
        </w:rPr>
        <w:br/>
      </w:r>
      <w:r>
        <w:rPr>
          <w:rFonts w:ascii="Times New Roman" w:hAnsi="Times New Roman"/>
          <w:b w:val="0"/>
          <w:i w:val="0"/>
          <w:color w:val="000000"/>
          <w:sz w:val="19"/>
        </w:rPr>
        <w:t xml:space="preserve">    id INTEGER PRIMARY KEY AUTOINCREMENT,</w:t>
      </w:r>
      <w:r>
        <w:rPr>
          <w:rFonts w:ascii="Times New Roman" w:hAnsi="Times New Roman"/>
          <w:color w:val="000000"/>
          <w:sz w:val="24"/>
        </w:rPr>
        <w:br/>
      </w:r>
      <w:r>
        <w:rPr>
          <w:rFonts w:ascii="Times New Roman" w:hAnsi="Times New Roman"/>
          <w:b w:val="0"/>
          <w:i w:val="0"/>
          <w:color w:val="000000"/>
          <w:sz w:val="19"/>
        </w:rPr>
        <w:t xml:space="preserve">    name TEXT NOT NULL,</w:t>
      </w:r>
      <w:r>
        <w:rPr>
          <w:rFonts w:ascii="Times New Roman" w:hAnsi="Times New Roman"/>
          <w:color w:val="000000"/>
          <w:sz w:val="24"/>
        </w:rPr>
        <w:br/>
      </w:r>
      <w:r>
        <w:rPr>
          <w:rFonts w:ascii="Times New Roman" w:hAnsi="Times New Roman"/>
          <w:b w:val="0"/>
          <w:i w:val="0"/>
          <w:color w:val="000000"/>
          <w:sz w:val="19"/>
        </w:rPr>
        <w:t xml:space="preserve">    cost_per_gb REAL NOT NULL,</w:t>
      </w:r>
      <w:r>
        <w:rPr>
          <w:rFonts w:ascii="Times New Roman" w:hAnsi="Times New Roman"/>
          <w:color w:val="000000"/>
          <w:sz w:val="24"/>
        </w:rPr>
        <w:br/>
      </w:r>
      <w:r>
        <w:rPr>
          <w:rFonts w:ascii="Times New Roman" w:hAnsi="Times New Roman"/>
          <w:b w:val="0"/>
          <w:i w:val="0"/>
          <w:color w:val="000000"/>
          <w:sz w:val="19"/>
        </w:rPr>
        <w:t xml:space="preserve">    sla_availability REAL NOT NULL,</w:t>
      </w:r>
      <w:r>
        <w:rPr>
          <w:rFonts w:ascii="Times New Roman" w:hAnsi="Times New Roman"/>
          <w:color w:val="000000"/>
          <w:sz w:val="24"/>
        </w:rPr>
        <w:br/>
      </w:r>
      <w:r>
        <w:rPr>
          <w:rFonts w:ascii="Times New Roman" w:hAnsi="Times New Roman"/>
          <w:b w:val="0"/>
          <w:i w:val="0"/>
          <w:color w:val="000000"/>
          <w:sz w:val="19"/>
        </w:rPr>
        <w:t xml:space="preserve">    access_latency REAL NOT NULL</w:t>
      </w:r>
      <w:r>
        <w:rPr>
          <w:rFonts w:ascii="Times New Roman" w:hAnsi="Times New Roman"/>
          <w:color w:val="000000"/>
          <w:sz w:val="24"/>
        </w:rPr>
        <w:br/>
      </w:r>
      <w:r>
        <w:rPr>
          <w:rFonts w:ascii="Times New Roman" w:hAnsi="Times New Roman"/>
          <w:b w:val="0"/>
          <w:i w:val="0"/>
          <w:color w:val="000000"/>
          <w:sz w:val="19"/>
        </w:rPr>
        <w:t>);</w:t>
      </w:r>
      <w:r>
        <w:rPr>
          <w:rFonts w:ascii="Times New Roman" w:hAnsi="Times New Roman"/>
          <w:color w:val="000000"/>
          <w:sz w:val="24"/>
        </w:rPr>
        <w:br/>
      </w:r>
      <w:r>
        <w:rPr>
          <w:rFonts w:ascii="Times New Roman" w:hAnsi="Times New Roman"/>
          <w:color w:val="000000"/>
          <w:sz w:val="24"/>
        </w:rPr>
        <w:br/>
      </w:r>
      <w:r>
        <w:rPr>
          <w:rFonts w:ascii="Times New Roman" w:hAnsi="Times New Roman"/>
          <w:b w:val="0"/>
          <w:i w:val="0"/>
          <w:color w:val="000000"/>
          <w:sz w:val="19"/>
        </w:rPr>
        <w:t>-- Historical Allocations Table Schema</w:t>
      </w:r>
      <w:r>
        <w:rPr>
          <w:rFonts w:ascii="Times New Roman" w:hAnsi="Times New Roman"/>
          <w:color w:val="000000"/>
          <w:sz w:val="24"/>
        </w:rPr>
        <w:br/>
      </w:r>
      <w:r>
        <w:rPr>
          <w:rFonts w:ascii="Times New Roman" w:hAnsi="Times New Roman"/>
          <w:b w:val="0"/>
          <w:i w:val="0"/>
          <w:color w:val="000000"/>
          <w:sz w:val="19"/>
        </w:rPr>
        <w:t>CREATE TABLE IF NOT EXISTS allocations (</w:t>
      </w:r>
      <w:r>
        <w:rPr>
          <w:rFonts w:ascii="Times New Roman" w:hAnsi="Times New Roman"/>
          <w:color w:val="000000"/>
          <w:sz w:val="24"/>
        </w:rPr>
        <w:br/>
      </w:r>
      <w:r>
        <w:rPr>
          <w:rFonts w:ascii="Times New Roman" w:hAnsi="Times New Roman"/>
          <w:b w:val="0"/>
          <w:i w:val="0"/>
          <w:color w:val="000000"/>
          <w:sz w:val="19"/>
        </w:rPr>
        <w:t xml:space="preserve">    id INTEGER PRIMARY KEY AUTOINCREMENT,</w:t>
      </w:r>
      <w:r>
        <w:rPr>
          <w:rFonts w:ascii="Times New Roman" w:hAnsi="Times New Roman"/>
          <w:color w:val="000000"/>
          <w:sz w:val="24"/>
        </w:rPr>
        <w:br/>
      </w:r>
      <w:r>
        <w:rPr>
          <w:rFonts w:ascii="Times New Roman" w:hAnsi="Times New Roman"/>
          <w:b w:val="0"/>
          <w:i w:val="0"/>
          <w:color w:val="000000"/>
          <w:sz w:val="19"/>
        </w:rPr>
        <w:t xml:space="preserve">    required_size REAL NOT NULL,</w:t>
      </w:r>
      <w:r>
        <w:rPr>
          <w:rFonts w:ascii="Times New Roman" w:hAnsi="Times New Roman"/>
          <w:color w:val="000000"/>
          <w:sz w:val="24"/>
        </w:rPr>
        <w:br/>
      </w:r>
      <w:r>
        <w:rPr>
          <w:rFonts w:ascii="Times New Roman" w:hAnsi="Times New Roman"/>
          <w:b w:val="0"/>
          <w:i w:val="0"/>
          <w:color w:val="000000"/>
          <w:sz w:val="19"/>
        </w:rPr>
        <w:t xml:space="preserve">    availability_req REAL NOT NULL,</w:t>
      </w:r>
      <w:r>
        <w:rPr>
          <w:rFonts w:ascii="Times New Roman" w:hAnsi="Times New Roman"/>
          <w:color w:val="000000"/>
          <w:sz w:val="24"/>
        </w:rPr>
        <w:br/>
      </w:r>
      <w:r>
        <w:rPr>
          <w:rFonts w:ascii="Times New Roman" w:hAnsi="Times New Roman"/>
          <w:b w:val="0"/>
          <w:i w:val="0"/>
          <w:color w:val="000000"/>
          <w:sz w:val="19"/>
        </w:rPr>
        <w:t xml:space="preserve">    latency_req REAL NOT NULL,</w:t>
      </w:r>
      <w:r>
        <w:rPr>
          <w:rFonts w:ascii="Times New Roman" w:hAnsi="Times New Roman"/>
          <w:color w:val="000000"/>
          <w:sz w:val="24"/>
        </w:rPr>
        <w:br/>
      </w:r>
      <w:r>
        <w:rPr>
          <w:rFonts w:ascii="Times New Roman" w:hAnsi="Times New Roman"/>
          <w:b w:val="0"/>
          <w:i w:val="0"/>
          <w:color w:val="000000"/>
          <w:sz w:val="19"/>
        </w:rPr>
        <w:t xml:space="preserve">    budget REAL,</w:t>
      </w:r>
      <w:r>
        <w:rPr>
          <w:rFonts w:ascii="Times New Roman" w:hAnsi="Times New Roman"/>
          <w:color w:val="000000"/>
          <w:sz w:val="24"/>
        </w:rPr>
        <w:br/>
      </w:r>
      <w:r>
        <w:rPr>
          <w:rFonts w:ascii="Times New Roman" w:hAnsi="Times New Roman"/>
          <w:b w:val="0"/>
          <w:i w:val="0"/>
          <w:color w:val="000000"/>
          <w:sz w:val="19"/>
        </w:rPr>
        <w:t xml:space="preserve">    alpha REAL DEFAULT 0.5,</w:t>
      </w:r>
      <w:r>
        <w:rPr>
          <w:rFonts w:ascii="Times New Roman" w:hAnsi="Times New Roman"/>
          <w:color w:val="000000"/>
          <w:sz w:val="24"/>
        </w:rPr>
        <w:br/>
      </w:r>
      <w:r>
        <w:rPr>
          <w:rFonts w:ascii="Times New Roman" w:hAnsi="Times New Roman"/>
          <w:b w:val="0"/>
          <w:i w:val="0"/>
          <w:color w:val="000000"/>
          <w:sz w:val="19"/>
        </w:rPr>
        <w:t xml:space="preserve">    beta REAL DEFAULT 0.5,</w:t>
      </w:r>
      <w:r>
        <w:rPr>
          <w:rFonts w:ascii="Times New Roman" w:hAnsi="Times New Roman"/>
          <w:color w:val="000000"/>
          <w:sz w:val="24"/>
        </w:rPr>
        <w:br/>
      </w:r>
      <w:r>
        <w:rPr>
          <w:rFonts w:ascii="Times New Roman" w:hAnsi="Times New Roman"/>
          <w:b w:val="0"/>
          <w:i w:val="0"/>
          <w:color w:val="000000"/>
          <w:sz w:val="19"/>
        </w:rPr>
        <w:t xml:space="preserve">    recommended_tier_id INTEGER,</w:t>
      </w:r>
      <w:r>
        <w:rPr>
          <w:rFonts w:ascii="Times New Roman" w:hAnsi="Times New Roman"/>
          <w:color w:val="000000"/>
          <w:sz w:val="24"/>
        </w:rPr>
        <w:br/>
      </w:r>
      <w:r>
        <w:rPr>
          <w:rFonts w:ascii="Times New Roman" w:hAnsi="Times New Roman"/>
          <w:b w:val="0"/>
          <w:i w:val="0"/>
          <w:color w:val="000000"/>
          <w:sz w:val="19"/>
        </w:rPr>
        <w:t xml:space="preserve">    cost_estimate REAL NOT NULL,</w:t>
      </w:r>
      <w:r>
        <w:rPr>
          <w:rFonts w:ascii="Times New Roman" w:hAnsi="Times New Roman"/>
          <w:color w:val="000000"/>
          <w:sz w:val="24"/>
        </w:rPr>
        <w:br/>
      </w:r>
      <w:r>
        <w:rPr>
          <w:rFonts w:ascii="Times New Roman" w:hAnsi="Times New Roman"/>
          <w:b w:val="0"/>
          <w:i w:val="0"/>
          <w:color w:val="000000"/>
          <w:sz w:val="19"/>
        </w:rPr>
        <w:t xml:space="preserve">    availability_prediction REAL NOT NULL,</w:t>
      </w:r>
      <w:r>
        <w:rPr>
          <w:rFonts w:ascii="Times New Roman" w:hAnsi="Times New Roman"/>
          <w:color w:val="000000"/>
          <w:sz w:val="24"/>
        </w:rPr>
        <w:br/>
      </w:r>
      <w:r>
        <w:rPr>
          <w:rFonts w:ascii="Times New Roman" w:hAnsi="Times New Roman"/>
          <w:b w:val="0"/>
          <w:i w:val="0"/>
          <w:color w:val="000000"/>
          <w:sz w:val="19"/>
        </w:rPr>
        <w:t xml:space="preserve">    latency_prediction REAL NOT NULL,</w:t>
      </w:r>
      <w:r>
        <w:rPr>
          <w:rFonts w:ascii="Times New Roman" w:hAnsi="Times New Roman"/>
          <w:color w:val="000000"/>
          <w:sz w:val="24"/>
        </w:rPr>
        <w:br/>
      </w:r>
      <w:r>
        <w:rPr>
          <w:rFonts w:ascii="Times New Roman" w:hAnsi="Times New Roman"/>
          <w:b w:val="0"/>
          <w:i w:val="0"/>
          <w:color w:val="000000"/>
          <w:sz w:val="19"/>
        </w:rPr>
        <w:t xml:space="preserve">    created_at TEXT NOT NULL,</w:t>
      </w:r>
      <w:r>
        <w:rPr>
          <w:rFonts w:ascii="Times New Roman" w:hAnsi="Times New Roman"/>
          <w:color w:val="000000"/>
          <w:sz w:val="24"/>
        </w:rPr>
        <w:br/>
      </w:r>
      <w:r>
        <w:rPr>
          <w:rFonts w:ascii="Times New Roman" w:hAnsi="Times New Roman"/>
          <w:b w:val="0"/>
          <w:i w:val="0"/>
          <w:color w:val="000000"/>
          <w:sz w:val="19"/>
        </w:rPr>
        <w:t xml:space="preserve">    FOREIGN KEY (recommended_tier_id) REFERENCES storage_tiers(id)</w:t>
      </w:r>
      <w:r>
        <w:rPr>
          <w:rFonts w:ascii="Times New Roman" w:hAnsi="Times New Roman"/>
          <w:color w:val="000000"/>
          <w:sz w:val="24"/>
        </w:rPr>
        <w:br/>
      </w:r>
      <w:r>
        <w:rPr>
          <w:rFonts w:ascii="Times New Roman" w:hAnsi="Times New Roman"/>
          <w:b w:val="0"/>
          <w:i w:val="0"/>
          <w:color w:val="000000"/>
          <w:sz w:val="19"/>
        </w:rPr>
        <w:t>);</w:t>
      </w:r>
    </w:p>
    <w:p>
      <w:pPr>
        <w:spacing w:after="120" w:line="360" w:lineRule="auto"/>
        <w:jc w:val="both"/>
      </w:pPr>
    </w:p>
    <w:p>
      <w:pPr>
        <w:keepNext/>
        <w:spacing w:before="240" w:after="80" w:line="360" w:lineRule="auto"/>
        <w:jc w:val="both"/>
      </w:pPr>
      <w:r>
        <w:rPr>
          <w:rFonts w:ascii="Times New Roman" w:hAnsi="Times New Roman"/>
          <w:b/>
          <w:i w:val="0"/>
          <w:color w:val="000000"/>
          <w:sz w:val="25"/>
        </w:rPr>
        <w:t>4.4.2 Default Storage Tier Seed Data</w:t>
      </w:r>
    </w:p>
    <w:p>
      <w:pPr>
        <w:spacing w:before="0" w:after="120" w:line="360" w:lineRule="auto"/>
        <w:jc w:val="both"/>
      </w:pPr>
      <w:r>
        <w:rPr>
          <w:rFonts w:ascii="Times New Roman" w:hAnsi="Times New Roman"/>
          <w:b w:val="0"/>
          <w:i w:val="0"/>
          <w:color w:val="000000"/>
          <w:sz w:val="24"/>
        </w:rPr>
        <w:t>Upon system initialization, `database.py` verifies the contents of `storage_tiers` and populates default cloud storage tiers derived from commercial cloud service provider benchmarks if empty:</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Block Storage</w:t>
      </w:r>
      <w:r>
        <w:rPr>
          <w:rFonts w:ascii="Times New Roman" w:hAnsi="Times New Roman"/>
          <w:b w:val="0"/>
          <w:i w:val="0"/>
          <w:color w:val="000000"/>
          <w:sz w:val="24"/>
        </w:rPr>
        <w:t>: High-performance tier designed for transactional databases.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File Storage</w:t>
      </w:r>
      <w:r>
        <w:rPr>
          <w:rFonts w:ascii="Times New Roman" w:hAnsi="Times New Roman"/>
          <w:b w:val="0"/>
          <w:i w:val="0"/>
          <w:color w:val="000000"/>
          <w:sz w:val="24"/>
        </w:rPr>
        <w:t>: General-purpose shared storage tier for CMS and application files.</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Object Storage</w:t>
      </w:r>
      <w:r>
        <w:rPr>
          <w:rFonts w:ascii="Times New Roman" w:hAnsi="Times New Roman"/>
          <w:b w:val="0"/>
          <w:i w:val="0"/>
          <w:color w:val="000000"/>
          <w:sz w:val="24"/>
        </w:rPr>
        <w:t>: High-capacity tier designed for media, IoT logs, and backups.</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4.5 System Modules and Architecture</w:t>
      </w:r>
    </w:p>
    <w:p>
      <w:pPr>
        <w:spacing w:before="0" w:after="120" w:line="360" w:lineRule="auto"/>
        <w:jc w:val="both"/>
      </w:pPr>
      <w:r>
        <w:rPr>
          <w:rFonts w:ascii="Times New Roman" w:hAnsi="Times New Roman"/>
          <w:b w:val="0"/>
          <w:i w:val="0"/>
          <w:color w:val="000000"/>
          <w:sz w:val="24"/>
        </w:rPr>
        <w:t>The system architecture follows a clean modular separation of concerns. The codebase is organized into entry points, database logic, mathematical optimization scripts, data generation scripts, and modular Streamlit UI views:</w:t>
      </w:r>
    </w:p>
    <w:p>
      <w:pPr>
        <w:spacing w:before="80" w:after="80" w:line="360" w:lineRule="auto"/>
        <w:jc w:val="both"/>
      </w:pPr>
      <w:r>
        <w:rPr>
          <w:rFonts w:ascii="Times New Roman" w:hAnsi="Times New Roman"/>
          <w:b w:val="0"/>
          <w:i w:val="0"/>
          <w:color w:val="000000"/>
          <w:sz w:val="19"/>
        </w:rPr>
        <w:t>cloud-optimized/</w:t>
      </w:r>
      <w:r>
        <w:rPr>
          <w:rFonts w:ascii="Times New Roman" w:hAnsi="Times New Roman"/>
          <w:color w:val="000000"/>
          <w:sz w:val="24"/>
        </w:rPr>
        <w:br/>
      </w:r>
      <w:r>
        <w:rPr>
          <w:rFonts w:ascii="Times New Roman" w:hAnsi="Times New Roman"/>
          <w:b w:val="0"/>
          <w:i w:val="0"/>
          <w:color w:val="000000"/>
          <w:sz w:val="19"/>
        </w:rPr>
        <w:t>├── app.py                     # Main Routing Controller &amp; Sidebar Navigation</w:t>
      </w:r>
      <w:r>
        <w:rPr>
          <w:rFonts w:ascii="Times New Roman" w:hAnsi="Times New Roman"/>
          <w:color w:val="000000"/>
          <w:sz w:val="24"/>
        </w:rPr>
        <w:br/>
      </w:r>
      <w:r>
        <w:rPr>
          <w:rFonts w:ascii="Times New Roman" w:hAnsi="Times New Roman"/>
          <w:b w:val="0"/>
          <w:i w:val="0"/>
          <w:color w:val="000000"/>
          <w:sz w:val="19"/>
        </w:rPr>
        <w:t>├── database.py                # SQLite Data Access Layer &amp; Relational Schema</w:t>
      </w:r>
      <w:r>
        <w:rPr>
          <w:rFonts w:ascii="Times New Roman" w:hAnsi="Times New Roman"/>
          <w:color w:val="000000"/>
          <w:sz w:val="24"/>
        </w:rPr>
        <w:br/>
      </w:r>
      <w:r>
        <w:rPr>
          <w:rFonts w:ascii="Times New Roman" w:hAnsi="Times New Roman"/>
          <w:b w:val="0"/>
          <w:i w:val="0"/>
          <w:color w:val="000000"/>
          <w:sz w:val="19"/>
        </w:rPr>
        <w:t>├── heuristic.py               # Heuristic Engine, Baseline Algorithms &amp; Auto-Suggest</w:t>
      </w:r>
      <w:r>
        <w:rPr>
          <w:rFonts w:ascii="Times New Roman" w:hAnsi="Times New Roman"/>
          <w:color w:val="000000"/>
          <w:sz w:val="24"/>
        </w:rPr>
        <w:br/>
      </w:r>
      <w:r>
        <w:rPr>
          <w:rFonts w:ascii="Times New Roman" w:hAnsi="Times New Roman"/>
          <w:b w:val="0"/>
          <w:i w:val="0"/>
          <w:color w:val="000000"/>
          <w:sz w:val="19"/>
        </w:rPr>
        <w:t>├── mock_data.py               # Benchmark Allocation Generator Utility</w:t>
      </w:r>
      <w:r>
        <w:rPr>
          <w:rFonts w:ascii="Times New Roman" w:hAnsi="Times New Roman"/>
          <w:color w:val="000000"/>
          <w:sz w:val="24"/>
        </w:rPr>
        <w:br/>
      </w:r>
      <w:r>
        <w:rPr>
          <w:rFonts w:ascii="Times New Roman" w:hAnsi="Times New Roman"/>
          <w:b w:val="0"/>
          <w:i w:val="0"/>
          <w:color w:val="000000"/>
          <w:sz w:val="19"/>
        </w:rPr>
        <w:t>├── capture_screenshots.py     # Automated Interface Screenshot Capture Script</w:t>
      </w:r>
      <w:r>
        <w:rPr>
          <w:rFonts w:ascii="Times New Roman" w:hAnsi="Times New Roman"/>
          <w:color w:val="000000"/>
          <w:sz w:val="24"/>
        </w:rPr>
        <w:br/>
      </w:r>
      <w:r>
        <w:rPr>
          <w:rFonts w:ascii="Times New Roman" w:hAnsi="Times New Roman"/>
          <w:b w:val="0"/>
          <w:i w:val="0"/>
          <w:color w:val="000000"/>
          <w:sz w:val="19"/>
        </w:rPr>
        <w:t>├── capture_code_screenshots.py# Automated Code Module Screenshot Capture Script</w:t>
      </w:r>
      <w:r>
        <w:rPr>
          <w:rFonts w:ascii="Times New Roman" w:hAnsi="Times New Roman"/>
          <w:color w:val="000000"/>
          <w:sz w:val="24"/>
        </w:rPr>
        <w:br/>
      </w:r>
      <w:r>
        <w:rPr>
          <w:rFonts w:ascii="Times New Roman" w:hAnsi="Times New Roman"/>
          <w:b w:val="0"/>
          <w:i w:val="0"/>
          <w:color w:val="000000"/>
          <w:sz w:val="19"/>
        </w:rPr>
        <w:t>└── modules/                   # UI View Modules</w:t>
      </w:r>
      <w:r>
        <w:rPr>
          <w:rFonts w:ascii="Times New Roman" w:hAnsi="Times New Roman"/>
          <w:color w:val="000000"/>
          <w:sz w:val="24"/>
        </w:rPr>
        <w:br/>
      </w:r>
      <w:r>
        <w:rPr>
          <w:rFonts w:ascii="Times New Roman" w:hAnsi="Times New Roman"/>
          <w:b w:val="0"/>
          <w:i w:val="0"/>
          <w:color w:val="000000"/>
          <w:sz w:val="19"/>
        </w:rPr>
        <w:t xml:space="preserve">    ├── allocation.py          # Allocation Simulation &amp; Workload Auto-Suggest View</w:t>
      </w:r>
      <w:r>
        <w:rPr>
          <w:rFonts w:ascii="Times New Roman" w:hAnsi="Times New Roman"/>
          <w:color w:val="000000"/>
          <w:sz w:val="24"/>
        </w:rPr>
        <w:br/>
      </w:r>
      <w:r>
        <w:rPr>
          <w:rFonts w:ascii="Times New Roman" w:hAnsi="Times New Roman"/>
          <w:b w:val="0"/>
          <w:i w:val="0"/>
          <w:color w:val="000000"/>
          <w:sz w:val="19"/>
        </w:rPr>
        <w:t xml:space="preserve">    ├── dashboard.py           # Executive System KPI Dashboard View</w:t>
      </w:r>
      <w:r>
        <w:rPr>
          <w:rFonts w:ascii="Times New Roman" w:hAnsi="Times New Roman"/>
          <w:color w:val="000000"/>
          <w:sz w:val="24"/>
        </w:rPr>
        <w:br/>
      </w:r>
      <w:r>
        <w:rPr>
          <w:rFonts w:ascii="Times New Roman" w:hAnsi="Times New Roman"/>
          <w:b w:val="0"/>
          <w:i w:val="0"/>
          <w:color w:val="000000"/>
          <w:sz w:val="19"/>
        </w:rPr>
        <w:t xml:space="preserve">    ├── monitoring.py          # Performance Monitoring &amp; SLA Compliance View</w:t>
      </w:r>
      <w:r>
        <w:rPr>
          <w:rFonts w:ascii="Times New Roman" w:hAnsi="Times New Roman"/>
          <w:color w:val="000000"/>
          <w:sz w:val="24"/>
        </w:rPr>
        <w:br/>
      </w:r>
      <w:r>
        <w:rPr>
          <w:rFonts w:ascii="Times New Roman" w:hAnsi="Times New Roman"/>
          <w:b w:val="0"/>
          <w:i w:val="0"/>
          <w:color w:val="000000"/>
          <w:sz w:val="19"/>
        </w:rPr>
        <w:t xml:space="preserve">    └── reporting.py           # Historical Allocation Logger &amp; CSV Exporter View</w:t>
      </w:r>
    </w:p>
    <w:p>
      <w:pPr>
        <w:spacing w:after="120" w:line="360" w:lineRule="auto"/>
        <w:jc w:val="both"/>
      </w:pPr>
    </w:p>
    <w:p>
      <w:pPr>
        <w:spacing w:before="0" w:after="120" w:line="360" w:lineRule="auto"/>
        <w:jc w:val="both"/>
      </w:pPr>
      <w:r>
        <w:rPr>
          <w:rFonts w:ascii="Times New Roman" w:hAnsi="Times New Roman"/>
          <w:b w:val="0"/>
          <w:i w:val="0"/>
          <w:color w:val="000000"/>
          <w:sz w:val="24"/>
        </w:rPr>
        <w:t>- `app.py`: Initializes the SQLite database on launch, configures web page metadata, builds sidebar navigation controls, and dynamically renders the selected module.</w:t>
      </w:r>
    </w:p>
    <w:p>
      <w:pPr>
        <w:spacing w:before="0" w:after="120" w:line="360" w:lineRule="auto"/>
        <w:jc w:val="both"/>
      </w:pPr>
      <w:r>
        <w:rPr>
          <w:rFonts w:ascii="Times New Roman" w:hAnsi="Times New Roman"/>
          <w:b w:val="0"/>
          <w:i w:val="0"/>
          <w:color w:val="000000"/>
          <w:sz w:val="24"/>
        </w:rPr>
        <w:t>- `heuristic.py`: Houses the mathematical core, including the Workload Auto-Suggest Engine (`suggest_workload_size`), the Dual-Objective Heuristic Engine (`allocate_storage`), and the three baseline algorithms (`allocate_first_fit`, `allocate_best_fit`, `allocate_worst_fit`).</w:t>
      </w:r>
    </w:p>
    <w:p>
      <w:pPr>
        <w:spacing w:before="0" w:after="120" w:line="360" w:lineRule="auto"/>
        <w:jc w:val="both"/>
      </w:pPr>
      <w:r>
        <w:rPr>
          <w:rFonts w:ascii="Times New Roman" w:hAnsi="Times New Roman"/>
          <w:b w:val="0"/>
          <w:i w:val="0"/>
          <w:color w:val="000000"/>
          <w:sz w:val="24"/>
        </w:rPr>
        <w:t>- `database.py`: Handles SQLite connection pooling, query execution, transaction management, default data seeding, and CSV data extraction.</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4.6 Interface Design</w:t>
      </w:r>
    </w:p>
    <w:p>
      <w:pPr>
        <w:spacing w:before="0" w:after="120" w:line="360" w:lineRule="auto"/>
        <w:jc w:val="both"/>
      </w:pPr>
      <w:r>
        <w:rPr>
          <w:rFonts w:ascii="Times New Roman" w:hAnsi="Times New Roman"/>
          <w:b w:val="0"/>
          <w:i w:val="0"/>
          <w:color w:val="000000"/>
          <w:sz w:val="24"/>
        </w:rPr>
        <w:t>The system user interface was designed to provide cloud infrastructure engineers with a clear, interactive visual dashboard. Figures 4.1 through 4.4 display high-resolution runtime screenshots captured directly from the functional application.</w:t>
      </w:r>
    </w:p>
    <w:p>
      <w:pPr>
        <w:keepNext/>
        <w:spacing w:before="240" w:after="80" w:line="360" w:lineRule="auto"/>
        <w:jc w:val="both"/>
      </w:pPr>
      <w:r>
        <w:rPr>
          <w:rFonts w:ascii="Times New Roman" w:hAnsi="Times New Roman"/>
          <w:b/>
          <w:i w:val="0"/>
          <w:color w:val="000000"/>
          <w:sz w:val="25"/>
        </w:rPr>
        <w:t>4.6.1 Executive Dashboard Interface</w:t>
      </w:r>
    </w:p>
    <w:p>
      <w:pPr>
        <w:spacing w:before="0" w:after="120" w:line="360" w:lineRule="auto"/>
        <w:jc w:val="both"/>
      </w:pPr>
      <w:r>
        <w:rPr>
          <w:rFonts w:ascii="Times New Roman" w:hAnsi="Times New Roman"/>
          <w:b w:val="0"/>
          <w:i w:val="0"/>
          <w:color w:val="000000"/>
          <w:sz w:val="24"/>
        </w:rPr>
        <w:t>The Executive Dashboard presents top-level KPI metric cards—Total Allocated Storage (GB), Estimated Monthly Spend ($), Total Allocation Requests, and Overall SLA Compliance Rate (%). It renders interactive Plotly charts showing storage distribution and cost breakdown by tier.</w:t>
      </w:r>
    </w:p>
    <w:p>
      <w:pPr>
        <w:keepNext/>
        <w:spacing w:before="280" w:after="80" w:line="360" w:lineRule="auto"/>
        <w:jc w:val="both"/>
      </w:pPr>
      <w:r>
        <w:rPr>
          <w:rFonts w:ascii="Times New Roman" w:hAnsi="Times New Roman"/>
          <w:color w:val="000000"/>
          <w:sz w:val="24"/>
        </w:rPr>
      </w:r>
      <w:drawing xmlns:a="http://schemas.openxmlformats.org/drawingml/2006/main">
        <wp:inline wp14:editId="3F44E45C" wp14:anchorId="28988294">
          <wp:extent cx="5667375" cy="3838575"/>
          <wp:effectExtent l="0" t="0" r="0" b="0"/>
          <wp:docPr id="913749610" name="drawing"/>
          <wp:cNvGraphicFramePr>
            <a:graphicFrameLocks noChangeAspect="1"/>
          </wp:cNvGraphicFramePr>
          <a:graphic>
            <a:graphicData uri="http://schemas.openxmlformats.org/drawingml/2006/picture">
              <pic:pic xmlns:pic="http://schemas.openxmlformats.org/drawingml/2006/picture">
                <pic:nvPicPr>
                  <pic:cNvPr id="913749610" name="Picture 913749610"/>
                  <pic:cNvPicPr/>
                </pic:nvPicPr>
                <pic:blipFill>
                  <a:blip r:embed="rId566571948">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4.1: </w:t>
      </w:r>
      <w:r>
        <w:rPr>
          <w:rFonts w:ascii="Times New Roman" w:hAnsi="Times New Roman"/>
          <w:b w:val="0"/>
          <w:i/>
          <w:color w:val="000000"/>
          <w:sz w:val="20"/>
        </w:rPr>
        <w:t>Streamlit Executive Dashboard View displaying system KPI metric cards and Plotly distribution charts</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4.6.2 Allocation Simulation &amp; Automatic Storage Sizing Interface</w:t>
      </w:r>
    </w:p>
    <w:p>
      <w:pPr>
        <w:spacing w:before="0" w:after="120" w:line="360" w:lineRule="auto"/>
        <w:jc w:val="both"/>
      </w:pPr>
      <w:r>
        <w:rPr>
          <w:rFonts w:ascii="Times New Roman" w:hAnsi="Times New Roman"/>
          <w:b w:val="0"/>
          <w:i w:val="0"/>
          <w:color w:val="000000"/>
          <w:sz w:val="24"/>
        </w:rPr>
        <w:t xml:space="preserve">The Allocation Simulation interface features the </w:t>
      </w:r>
      <w:r>
        <w:rPr>
          <w:rFonts w:ascii="Times New Roman" w:hAnsi="Times New Roman"/>
          <w:b/>
          <w:i w:val="0"/>
          <w:color w:val="000000"/>
          <w:sz w:val="24"/>
        </w:rPr>
        <w:t>Automatic Storage Size Suggestion Engine</w:t>
      </w:r>
      <w:r>
        <w:rPr>
          <w:rFonts w:ascii="Times New Roman" w:hAnsi="Times New Roman"/>
          <w:b w:val="0"/>
          <w:i w:val="0"/>
          <w:color w:val="000000"/>
          <w:sz w:val="24"/>
        </w:rPr>
        <w:t xml:space="preserve"> at the top. Users select an enterprise workload profile (e.g., IoT Log Analytics, Relational Database) and specify operational parameters (devices, retention days, log volumes). The computed storage recommendation automatically pre-fills the simulation form. Users then adjust latency limits, SLA availability targets, budget ceilings, and the trade-off slider (α vs β) before triggering dual-objective optimization and baseline comparisons.</w:t>
      </w:r>
    </w:p>
    <w:p>
      <w:pPr>
        <w:keepNext/>
        <w:spacing w:before="280" w:after="80" w:line="360" w:lineRule="auto"/>
        <w:jc w:val="both"/>
      </w:pPr>
      <w:r>
        <w:rPr>
          <w:rFonts w:ascii="Times New Roman" w:hAnsi="Times New Roman"/>
          <w:color w:val="000000"/>
          <w:sz w:val="24"/>
        </w:rPr>
      </w:r>
      <w:drawing xmlns:a="http://schemas.openxmlformats.org/drawingml/2006/main">
        <wp:inline wp14:editId="5FE2437C" wp14:anchorId="005C46AF">
          <wp:extent cx="5667375" cy="3838575"/>
          <wp:effectExtent l="0" t="0" r="0" b="0"/>
          <wp:docPr id="877695520" name="drawing"/>
          <wp:cNvGraphicFramePr>
            <a:graphicFrameLocks noChangeAspect="1"/>
          </wp:cNvGraphicFramePr>
          <a:graphic>
            <a:graphicData uri="http://schemas.openxmlformats.org/drawingml/2006/picture">
              <pic:pic xmlns:pic="http://schemas.openxmlformats.org/drawingml/2006/picture">
                <pic:nvPicPr>
                  <pic:cNvPr id="877695520" name="Picture 877695520"/>
                  <pic:cNvPicPr/>
                </pic:nvPicPr>
                <pic:blipFill>
                  <a:blip r:embed="rId1070370589">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4.2: </w:t>
      </w:r>
      <w:r>
        <w:rPr>
          <w:rFonts w:ascii="Times New Roman" w:hAnsi="Times New Roman"/>
          <w:b w:val="0"/>
          <w:i/>
          <w:color w:val="000000"/>
          <w:sz w:val="20"/>
        </w:rPr>
        <w:t>Storage Resource Allocation Simulation View displaying the Automatic Storage Size Suggestion Engine and baseline comparative analysis</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4.6.3 Performance Monitoring Interface</w:t>
      </w:r>
    </w:p>
    <w:p>
      <w:pPr>
        <w:spacing w:before="0" w:after="120" w:line="360" w:lineRule="auto"/>
        <w:jc w:val="both"/>
      </w:pPr>
      <w:r>
        <w:rPr>
          <w:rFonts w:ascii="Times New Roman" w:hAnsi="Times New Roman"/>
          <w:b w:val="0"/>
          <w:i w:val="0"/>
          <w:color w:val="000000"/>
          <w:sz w:val="24"/>
        </w:rPr>
        <w:t>The Performance Monitoring view provides continuous tracking of cumulative storage growth, historical spend trends over time, and individual workload allocation profiles plotted across storage size versus access latency thresholds.</w:t>
      </w:r>
    </w:p>
    <w:p>
      <w:pPr>
        <w:keepNext/>
        <w:spacing w:before="280" w:after="80" w:line="360" w:lineRule="auto"/>
        <w:jc w:val="both"/>
      </w:pPr>
      <w:r>
        <w:rPr>
          <w:rFonts w:ascii="Times New Roman" w:hAnsi="Times New Roman"/>
          <w:color w:val="000000"/>
          <w:sz w:val="24"/>
        </w:rPr>
      </w:r>
      <w:drawing xmlns:a="http://schemas.openxmlformats.org/drawingml/2006/main">
        <wp:inline wp14:editId="2495C542" wp14:anchorId="5E6B977B">
          <wp:extent cx="5667375" cy="3838575"/>
          <wp:effectExtent l="0" t="0" r="0" b="0"/>
          <wp:docPr id="632254685" name="drawing"/>
          <wp:cNvGraphicFramePr>
            <a:graphicFrameLocks noChangeAspect="1"/>
          </wp:cNvGraphicFramePr>
          <a:graphic>
            <a:graphicData uri="http://schemas.openxmlformats.org/drawingml/2006/picture">
              <pic:pic xmlns:pic="http://schemas.openxmlformats.org/drawingml/2006/picture">
                <pic:nvPicPr>
                  <pic:cNvPr id="632254685" name="Picture 632254685"/>
                  <pic:cNvPicPr/>
                </pic:nvPicPr>
                <pic:blipFill>
                  <a:blip r:embed="rId1048087384">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4.3: </w:t>
      </w:r>
      <w:r>
        <w:rPr>
          <w:rFonts w:ascii="Times New Roman" w:hAnsi="Times New Roman"/>
          <w:b w:val="0"/>
          <w:i/>
          <w:color w:val="000000"/>
          <w:sz w:val="20"/>
        </w:rPr>
        <w:t>Tier Performance Monitoring View showing cumulative storage growth, cost trends, and profile distribution</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4.6.4 Reporting &amp; Audit Log Interface</w:t>
      </w:r>
    </w:p>
    <w:p>
      <w:pPr>
        <w:spacing w:before="0" w:after="120" w:line="360" w:lineRule="auto"/>
        <w:jc w:val="both"/>
      </w:pPr>
      <w:r>
        <w:rPr>
          <w:rFonts w:ascii="Times New Roman" w:hAnsi="Times New Roman"/>
          <w:b w:val="0"/>
          <w:i w:val="0"/>
          <w:color w:val="000000"/>
          <w:sz w:val="24"/>
        </w:rPr>
        <w:t>The Reporting &amp; Evaluation screen displays an immutable historical transaction log table retrieved from SQLite, accompanied by tier summary cards, SLA compliance indicators, and an automated CSV report export button.</w:t>
      </w:r>
    </w:p>
    <w:p>
      <w:pPr>
        <w:keepNext/>
        <w:spacing w:before="280" w:after="80" w:line="360" w:lineRule="auto"/>
        <w:jc w:val="both"/>
      </w:pPr>
      <w:r>
        <w:rPr>
          <w:rFonts w:ascii="Times New Roman" w:hAnsi="Times New Roman"/>
          <w:color w:val="000000"/>
          <w:sz w:val="24"/>
        </w:rPr>
      </w:r>
      <w:drawing xmlns:a="http://schemas.openxmlformats.org/drawingml/2006/main">
        <wp:inline wp14:editId="112A0B39" wp14:anchorId="6F348621">
          <wp:extent cx="5667375" cy="3838575"/>
          <wp:effectExtent l="0" t="0" r="0" b="0"/>
          <wp:docPr id="2105769029" name="drawing"/>
          <wp:cNvGraphicFramePr>
            <a:graphicFrameLocks noChangeAspect="1"/>
          </wp:cNvGraphicFramePr>
          <a:graphic>
            <a:graphicData uri="http://schemas.openxmlformats.org/drawingml/2006/picture">
              <pic:pic xmlns:pic="http://schemas.openxmlformats.org/drawingml/2006/picture">
                <pic:nvPicPr>
                  <pic:cNvPr id="2105769029" name="Picture 2105769029"/>
                  <pic:cNvPicPr/>
                </pic:nvPicPr>
                <pic:blipFill>
                  <a:blip r:embed="rId501883793">
                    <a:extLst>
                      <a:ext uri="{28A0092B-C50C-407E-A947-70E740481C1C}">
                        <a14:useLocalDpi xmlns:a14="http://schemas.microsoft.com/office/drawing/2010/main"/>
                      </a:ext>
                    </a:extLst>
                  </a:blip>
                  <a:stretch>
                    <a:fillRect/>
                  </a:stretch>
                </pic:blipFill>
                <pic:spPr>
                  <a:xfrm>
                    <a:off x="0" y="0"/>
                    <a:ext cx="5667375" cy="383857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4.4: </w:t>
      </w:r>
      <w:r>
        <w:rPr>
          <w:rFonts w:ascii="Times New Roman" w:hAnsi="Times New Roman"/>
          <w:b w:val="0"/>
          <w:i/>
          <w:color w:val="000000"/>
          <w:sz w:val="20"/>
        </w:rPr>
        <w:t>Allocation Reporting &amp; Audit Log View showing detailed historical records and CSV export control</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4.7 Explanation of Key Code Modules</w:t>
      </w:r>
    </w:p>
    <w:p>
      <w:pPr>
        <w:spacing w:before="0" w:after="120" w:line="360" w:lineRule="auto"/>
        <w:jc w:val="both"/>
      </w:pPr>
      <w:r>
        <w:rPr>
          <w:rFonts w:ascii="Times New Roman" w:hAnsi="Times New Roman"/>
          <w:b w:val="0"/>
          <w:i w:val="0"/>
          <w:color w:val="000000"/>
          <w:sz w:val="24"/>
        </w:rPr>
        <w:t>This section presents technical code walkthroughs detailing the primary software components of the system. High-resolution syntax-highlighted code figures accompany each walkthrough.</w:t>
      </w:r>
    </w:p>
    <w:p>
      <w:pPr>
        <w:keepNext/>
        <w:spacing w:before="240" w:after="80" w:line="360" w:lineRule="auto"/>
        <w:jc w:val="both"/>
      </w:pPr>
      <w:r>
        <w:rPr>
          <w:rFonts w:ascii="Times New Roman" w:hAnsi="Times New Roman"/>
          <w:b/>
          <w:i w:val="0"/>
          <w:color w:val="000000"/>
          <w:sz w:val="25"/>
        </w:rPr>
        <w:t>4.7.1 Database Persistence Layer (`database.py`)</w:t>
      </w:r>
    </w:p>
    <w:p>
      <w:pPr>
        <w:spacing w:before="0" w:after="120" w:line="360" w:lineRule="auto"/>
        <w:jc w:val="both"/>
      </w:pPr>
      <w:r>
        <w:rPr>
          <w:rFonts w:ascii="Times New Roman" w:hAnsi="Times New Roman"/>
          <w:b w:val="0"/>
          <w:i w:val="0"/>
          <w:color w:val="000000"/>
          <w:sz w:val="24"/>
        </w:rPr>
        <w:t>Code Module 4.1 (`database.py`) initializes the relational SQLite database tables, enforces primary and foreign key constraints, seeds default storage tier parameters, and provides transaction routines for inserting allocation records and querying historical metrics.</w:t>
      </w:r>
    </w:p>
    <w:p>
      <w:pPr>
        <w:keepNext/>
        <w:spacing w:before="280" w:after="80" w:line="360" w:lineRule="auto"/>
        <w:jc w:val="both"/>
      </w:pPr>
      <w:r>
        <w:rPr>
          <w:rFonts w:ascii="Times New Roman" w:hAnsi="Times New Roman"/>
          <w:color w:val="000000"/>
          <w:sz w:val="24"/>
        </w:rPr>
      </w:r>
      <w:drawing xmlns:a="http://schemas.openxmlformats.org/drawingml/2006/main">
        <wp:inline wp14:editId="63F25BE1" wp14:anchorId="1D7A82B2">
          <wp:extent cx="5667375" cy="4657725"/>
          <wp:effectExtent l="0" t="0" r="0" b="0"/>
          <wp:docPr id="1256395203" name="drawing"/>
          <wp:cNvGraphicFramePr>
            <a:graphicFrameLocks noChangeAspect="1"/>
          </wp:cNvGraphicFramePr>
          <a:graphic>
            <a:graphicData uri="http://schemas.openxmlformats.org/drawingml/2006/picture">
              <pic:pic xmlns:pic="http://schemas.openxmlformats.org/drawingml/2006/picture">
                <pic:nvPicPr>
                  <pic:cNvPr id="1256395203" name="Picture 1256395203"/>
                  <pic:cNvPicPr/>
                </pic:nvPicPr>
                <pic:blipFill>
                  <a:blip r:embed="rId971864358">
                    <a:extLst>
                      <a:ext uri="{28A0092B-C50C-407E-A947-70E740481C1C}">
                        <a14:useLocalDpi xmlns:a14="http://schemas.microsoft.com/office/drawing/2010/main"/>
                      </a:ext>
                    </a:extLst>
                  </a:blip>
                  <a:stretch>
                    <a:fillRect/>
                  </a:stretch>
                </pic:blipFill>
                <pic:spPr>
                  <a:xfrm>
                    <a:off x="0" y="0"/>
                    <a:ext cx="5667375" cy="465772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4.5: </w:t>
      </w:r>
      <w:r>
        <w:rPr>
          <w:rFonts w:ascii="Times New Roman" w:hAnsi="Times New Roman"/>
          <w:b w:val="0"/>
          <w:i/>
          <w:color w:val="000000"/>
          <w:sz w:val="20"/>
        </w:rPr>
        <w:t>Source Code Screenshot - Database Initialization and Relational Schema Definition (database.py)</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4.7.2 Automated Workload Storage Size Sizing Engine (`heuristic.py`)</w:t>
      </w:r>
    </w:p>
    <w:p>
      <w:pPr>
        <w:spacing w:before="0" w:after="120" w:line="360" w:lineRule="auto"/>
        <w:jc w:val="both"/>
      </w:pPr>
      <w:r>
        <w:rPr>
          <w:rFonts w:ascii="Times New Roman" w:hAnsi="Times New Roman"/>
          <w:b w:val="0"/>
          <w:i w:val="0"/>
          <w:color w:val="000000"/>
          <w:sz w:val="24"/>
        </w:rPr>
        <w:t>Code Module 4.2 (`suggest_workload_size` in `heuristic.py`) computes recommended storage volume (S_req in GB) from operational metrics across five enterprise workload categories: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Enterprise Relational DB (OLTP)</w:t>
      </w:r>
      <w:r>
        <w:rPr>
          <w:rFonts w:ascii="Times New Roman" w:hAnsi="Times New Roman"/>
          <w:b w:val="0"/>
          <w:i w:val="0"/>
          <w:color w:val="000000"/>
          <w:sz w:val="24"/>
        </w:rPr>
        <w:t>: `S_req = 20.0 + (Users × 0.05) + (Transactions × 0.0001)`</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HD Video &amp; Media Streaming</w:t>
      </w:r>
      <w:r>
        <w:rPr>
          <w:rFonts w:ascii="Times New Roman" w:hAnsi="Times New Roman"/>
          <w:b w:val="0"/>
          <w:i w:val="0"/>
          <w:color w:val="000000"/>
          <w:sz w:val="24"/>
        </w:rPr>
        <w:t>: `S_req = Media_Count × Avg_File_GB`</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IoT Sensor &amp; Log Analytics</w:t>
      </w:r>
      <w:r>
        <w:rPr>
          <w:rFonts w:ascii="Times New Roman" w:hAnsi="Times New Roman"/>
          <w:b w:val="0"/>
          <w:i w:val="0"/>
          <w:color w:val="000000"/>
          <w:sz w:val="24"/>
        </w:rPr>
        <w:t>: `S_req = (Devices × Daily_Log_MB × Retention_Days) ÷ 1024`</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Document &amp; Content Management (CMS)</w:t>
      </w:r>
      <w:r>
        <w:rPr>
          <w:rFonts w:ascii="Times New Roman" w:hAnsi="Times New Roman"/>
          <w:b w:val="0"/>
          <w:i w:val="0"/>
          <w:color w:val="000000"/>
          <w:sz w:val="24"/>
        </w:rPr>
        <w:t>: `S_req = (Employees × Docs_Per_Emp × Avg_Doc_MB) ÷ 1024`</w:t>
      </w:r>
    </w:p>
    <w:p>
      <w:pPr>
        <w:spacing w:before="0" w:after="120" w:line="360" w:lineRule="auto"/>
        <w:jc w:val="both"/>
      </w:pPr>
      <w:r>
        <w:rPr>
          <w:rFonts w:ascii="Times New Roman" w:hAnsi="Times New Roman"/>
          <w:b w:val="0"/>
          <w:i w:val="0"/>
          <w:color w:val="000000"/>
          <w:sz w:val="24"/>
        </w:rPr>
        <w:t xml:space="preserve">5. </w:t>
      </w:r>
      <w:r>
        <w:rPr>
          <w:rFonts w:ascii="Times New Roman" w:hAnsi="Times New Roman"/>
          <w:b/>
          <w:i w:val="0"/>
          <w:color w:val="000000"/>
          <w:sz w:val="24"/>
        </w:rPr>
        <w:t>Cold Backup &amp; System Archive</w:t>
      </w:r>
      <w:r>
        <w:rPr>
          <w:rFonts w:ascii="Times New Roman" w:hAnsi="Times New Roman"/>
          <w:b w:val="0"/>
          <w:i w:val="0"/>
          <w:color w:val="000000"/>
          <w:sz w:val="24"/>
        </w:rPr>
        <w:t>: `S_req = Snapshot_GB × Retention_Count`</w:t>
      </w:r>
    </w:p>
    <w:p>
      <w:pPr>
        <w:keepNext/>
        <w:spacing w:before="280" w:after="80" w:line="360" w:lineRule="auto"/>
        <w:jc w:val="both"/>
      </w:pPr>
      <w:r>
        <w:rPr>
          <w:rFonts w:ascii="Times New Roman" w:hAnsi="Times New Roman"/>
          <w:color w:val="000000"/>
          <w:sz w:val="24"/>
        </w:rPr>
      </w:r>
      <w:drawing xmlns:a="http://schemas.openxmlformats.org/drawingml/2006/main">
        <wp:inline wp14:editId="6A3734B2" wp14:anchorId="069ECBD2">
          <wp:extent cx="5667375" cy="4429125"/>
          <wp:effectExtent l="0" t="0" r="0" b="0"/>
          <wp:docPr id="1104319396" name="drawing"/>
          <wp:cNvGraphicFramePr>
            <a:graphicFrameLocks noChangeAspect="1"/>
          </wp:cNvGraphicFramePr>
          <a:graphic>
            <a:graphicData uri="http://schemas.openxmlformats.org/drawingml/2006/picture">
              <pic:pic xmlns:pic="http://schemas.openxmlformats.org/drawingml/2006/picture">
                <pic:nvPicPr>
                  <pic:cNvPr id="1104319396" name="Picture 1104319396"/>
                  <pic:cNvPicPr/>
                </pic:nvPicPr>
                <pic:blipFill>
                  <a:blip r:embed="rId883997434">
                    <a:extLst>
                      <a:ext uri="{28A0092B-C50C-407E-A947-70E740481C1C}">
                        <a14:useLocalDpi xmlns:a14="http://schemas.microsoft.com/office/drawing/2010/main"/>
                      </a:ext>
                    </a:extLst>
                  </a:blip>
                  <a:stretch>
                    <a:fillRect/>
                  </a:stretch>
                </pic:blipFill>
                <pic:spPr>
                  <a:xfrm>
                    <a:off x="0" y="0"/>
                    <a:ext cx="5667375" cy="442912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4.6: </w:t>
      </w:r>
      <w:r>
        <w:rPr>
          <w:rFonts w:ascii="Times New Roman" w:hAnsi="Times New Roman"/>
          <w:b w:val="0"/>
          <w:i/>
          <w:color w:val="000000"/>
          <w:sz w:val="20"/>
        </w:rPr>
        <w:t>Source Code Screenshot - Automated Workload Storage Sizing Engine (heuristic.py)</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4.7.3 Dual-Objective Multi-Tier Heuristic Engine (`heuristic.py`)</w:t>
      </w:r>
    </w:p>
    <w:p>
      <w:pPr>
        <w:spacing w:before="0" w:after="120" w:line="360" w:lineRule="auto"/>
        <w:jc w:val="both"/>
      </w:pPr>
      <w:r>
        <w:rPr>
          <w:rFonts w:ascii="Times New Roman" w:hAnsi="Times New Roman"/>
          <w:b w:val="0"/>
          <w:i w:val="0"/>
          <w:color w:val="000000"/>
          <w:sz w:val="24"/>
        </w:rPr>
        <w:t>Code Module 4.3 (`allocate_storage` in `heuristic.py`) executes the core optimization process: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Constraint Pre-Filtering</w:t>
      </w:r>
      <w:r>
        <w:rPr>
          <w:rFonts w:ascii="Times New Roman" w:hAnsi="Times New Roman"/>
          <w:b w:val="0"/>
          <w:i w:val="0"/>
          <w:color w:val="000000"/>
          <w:sz w:val="24"/>
        </w:rPr>
        <w:t>: Filters out candidate tiers that fail SLA availability (`SLA &lt; SLA_req`), access latency (`Latency &gt; Latency_req`), or budget bounds.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Cost Calculation</w:t>
      </w:r>
      <w:r>
        <w:rPr>
          <w:rFonts w:ascii="Times New Roman" w:hAnsi="Times New Roman"/>
          <w:b w:val="0"/>
          <w:i w:val="0"/>
          <w:color w:val="000000"/>
          <w:sz w:val="24"/>
        </w:rPr>
        <w:t>: Computes total monthly cost `C_i = Cost_Per_GB_i × S_req`.</w:t>
      </w:r>
    </w:p>
    <w:p>
      <w:pPr>
        <w:spacing w:before="0" w:after="120" w:line="360" w:lineRule="auto"/>
        <w:jc w:val="both"/>
      </w:pPr>
      <w:r>
        <w:rPr>
          <w:rFonts w:ascii="Times New Roman" w:hAnsi="Times New Roman"/>
          <w:b w:val="0"/>
          <w:i w:val="0"/>
          <w:color w:val="000000"/>
          <w:sz w:val="24"/>
        </w:rPr>
        <w:t xml:space="preserve">3. </w:t>
      </w:r>
      <w:r>
        <w:rPr>
          <w:rFonts w:ascii="Times New Roman" w:hAnsi="Times New Roman"/>
          <w:b/>
          <w:i w:val="0"/>
          <w:color w:val="000000"/>
          <w:sz w:val="24"/>
        </w:rPr>
        <w:t>Min-Max Normalization</w:t>
      </w:r>
      <w:r>
        <w:rPr>
          <w:rFonts w:ascii="Times New Roman" w:hAnsi="Times New Roman"/>
          <w:b w:val="0"/>
          <w:i w:val="0"/>
          <w:color w:val="000000"/>
          <w:sz w:val="24"/>
        </w:rPr>
        <w:t>: Scales cost (`C_norm`) and unavailability (`U_norm = 1.0 - SLA / 100`) into the normalized range `[0, 1]`.</w:t>
      </w:r>
    </w:p>
    <w:p>
      <w:pPr>
        <w:spacing w:before="0" w:after="120" w:line="360" w:lineRule="auto"/>
        <w:jc w:val="both"/>
      </w:pPr>
      <w:r>
        <w:rPr>
          <w:rFonts w:ascii="Times New Roman" w:hAnsi="Times New Roman"/>
          <w:b w:val="0"/>
          <w:i w:val="0"/>
          <w:color w:val="000000"/>
          <w:sz w:val="24"/>
        </w:rPr>
        <w:t xml:space="preserve">4. </w:t>
      </w:r>
      <w:r>
        <w:rPr>
          <w:rFonts w:ascii="Times New Roman" w:hAnsi="Times New Roman"/>
          <w:b/>
          <w:i w:val="0"/>
          <w:color w:val="000000"/>
          <w:sz w:val="24"/>
        </w:rPr>
        <w:t>Weighted Score Evaluation</w:t>
      </w:r>
      <w:r>
        <w:rPr>
          <w:rFonts w:ascii="Times New Roman" w:hAnsi="Times New Roman"/>
          <w:b w:val="0"/>
          <w:i w:val="0"/>
          <w:color w:val="000000"/>
          <w:sz w:val="24"/>
        </w:rPr>
        <w:t>: Evaluates `Score_i = α × C_norm + β × U_norm` and selects the candidate storage tier with the minimum score.</w:t>
      </w:r>
    </w:p>
    <w:p>
      <w:pPr>
        <w:keepNext/>
        <w:spacing w:before="280" w:after="80" w:line="360" w:lineRule="auto"/>
        <w:jc w:val="both"/>
      </w:pPr>
      <w:r>
        <w:rPr>
          <w:rFonts w:ascii="Times New Roman" w:hAnsi="Times New Roman"/>
          <w:color w:val="000000"/>
          <w:sz w:val="24"/>
        </w:rPr>
      </w:r>
      <w:drawing xmlns:a="http://schemas.openxmlformats.org/drawingml/2006/main">
        <wp:inline wp14:editId="50D8560D" wp14:anchorId="2B74A7DD">
          <wp:extent cx="5667375" cy="4886325"/>
          <wp:effectExtent l="0" t="0" r="0" b="0"/>
          <wp:docPr id="738647472" name="drawing"/>
          <wp:cNvGraphicFramePr>
            <a:graphicFrameLocks noChangeAspect="1"/>
          </wp:cNvGraphicFramePr>
          <a:graphic>
            <a:graphicData uri="http://schemas.openxmlformats.org/drawingml/2006/picture">
              <pic:pic xmlns:pic="http://schemas.openxmlformats.org/drawingml/2006/picture">
                <pic:nvPicPr>
                  <pic:cNvPr id="738647472" name="Picture 738647472"/>
                  <pic:cNvPicPr/>
                </pic:nvPicPr>
                <pic:blipFill>
                  <a:blip r:embed="rId1673157154">
                    <a:extLst>
                      <a:ext uri="{28A0092B-C50C-407E-A947-70E740481C1C}">
                        <a14:useLocalDpi xmlns:a14="http://schemas.microsoft.com/office/drawing/2010/main"/>
                      </a:ext>
                    </a:extLst>
                  </a:blip>
                  <a:stretch>
                    <a:fillRect/>
                  </a:stretch>
                </pic:blipFill>
                <pic:spPr>
                  <a:xfrm>
                    <a:off x="0" y="0"/>
                    <a:ext cx="5667375" cy="488632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4.7: </w:t>
      </w:r>
      <w:r>
        <w:rPr>
          <w:rFonts w:ascii="Times New Roman" w:hAnsi="Times New Roman"/>
          <w:b w:val="0"/>
          <w:i/>
          <w:color w:val="000000"/>
          <w:sz w:val="20"/>
        </w:rPr>
        <w:t>Source Code Screenshot - Dual-Objective Multi-Tier Heuristic Engine (heuristic.py)</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4.7.4 Baseline Allocation Algorithms (`heuristic.py`)</w:t>
      </w:r>
    </w:p>
    <w:p>
      <w:pPr>
        <w:spacing w:before="0" w:after="120" w:line="360" w:lineRule="auto"/>
        <w:jc w:val="both"/>
      </w:pPr>
      <w:r>
        <w:rPr>
          <w:rFonts w:ascii="Times New Roman" w:hAnsi="Times New Roman"/>
          <w:b w:val="0"/>
          <w:i w:val="0"/>
          <w:color w:val="000000"/>
          <w:sz w:val="24"/>
        </w:rPr>
        <w:t>Code Module 4.4 implements the three benchmark baseline allocation algorithms used to validate the proposed heuristic:</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First Fit (`allocate_first_fit`)</w:t>
      </w:r>
      <w:r>
        <w:rPr>
          <w:rFonts w:ascii="Times New Roman" w:hAnsi="Times New Roman"/>
          <w:b w:val="0"/>
          <w:i w:val="0"/>
          <w:color w:val="000000"/>
          <w:sz w:val="24"/>
        </w:rPr>
        <w:t>: Selects the first eligible tier encountered in static database order.</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Best Fit (`allocate_best_fit`)</w:t>
      </w:r>
      <w:r>
        <w:rPr>
          <w:rFonts w:ascii="Times New Roman" w:hAnsi="Times New Roman"/>
          <w:b w:val="0"/>
          <w:i w:val="0"/>
          <w:color w:val="000000"/>
          <w:sz w:val="24"/>
        </w:rPr>
        <w:t>: Selects the eligible tier with minimal excess SLA availability slack: `min(SLA_i - SLA_req)`.</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Worst Fit (`allocate_worst_fit`)</w:t>
      </w:r>
      <w:r>
        <w:rPr>
          <w:rFonts w:ascii="Times New Roman" w:hAnsi="Times New Roman"/>
          <w:b w:val="0"/>
          <w:i w:val="0"/>
          <w:color w:val="000000"/>
          <w:sz w:val="24"/>
        </w:rPr>
        <w:t>: Selects the eligible tier with maximal excess SLA availability slack: `max(SLA_i - SLA_req)`.</w:t>
      </w:r>
    </w:p>
    <w:p>
      <w:pPr>
        <w:keepNext/>
        <w:spacing w:before="280" w:after="80" w:line="360" w:lineRule="auto"/>
        <w:jc w:val="both"/>
      </w:pPr>
      <w:r>
        <w:rPr>
          <w:rFonts w:ascii="Times New Roman" w:hAnsi="Times New Roman"/>
          <w:color w:val="000000"/>
          <w:sz w:val="24"/>
        </w:rPr>
      </w:r>
      <w:drawing xmlns:a="http://schemas.openxmlformats.org/drawingml/2006/main">
        <wp:inline wp14:editId="152CDD3D" wp14:anchorId="436391EC">
          <wp:extent cx="5667375" cy="2800350"/>
          <wp:effectExtent l="0" t="0" r="0" b="0"/>
          <wp:docPr id="1918372037" name="drawing"/>
          <wp:cNvGraphicFramePr>
            <a:graphicFrameLocks noChangeAspect="1"/>
          </wp:cNvGraphicFramePr>
          <a:graphic>
            <a:graphicData uri="http://schemas.openxmlformats.org/drawingml/2006/picture">
              <pic:pic xmlns:pic="http://schemas.openxmlformats.org/drawingml/2006/picture">
                <pic:nvPicPr>
                  <pic:cNvPr id="1918372037" name="Picture 1918372037"/>
                  <pic:cNvPicPr/>
                </pic:nvPicPr>
                <pic:blipFill>
                  <a:blip r:embed="rId523206603">
                    <a:extLst>
                      <a:ext uri="{28A0092B-C50C-407E-A947-70E740481C1C}">
                        <a14:useLocalDpi xmlns:a14="http://schemas.microsoft.com/office/drawing/2010/main"/>
                      </a:ext>
                    </a:extLst>
                  </a:blip>
                  <a:stretch>
                    <a:fillRect/>
                  </a:stretch>
                </pic:blipFill>
                <pic:spPr>
                  <a:xfrm>
                    <a:off x="0" y="0"/>
                    <a:ext cx="5667375" cy="2800350"/>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4.8: </w:t>
      </w:r>
      <w:r>
        <w:rPr>
          <w:rFonts w:ascii="Times New Roman" w:hAnsi="Times New Roman"/>
          <w:b w:val="0"/>
          <w:i/>
          <w:color w:val="000000"/>
          <w:sz w:val="20"/>
        </w:rPr>
        <w:t>Source Code Screenshot - Baseline Allocation Algorithms Implementation (heuristic.py)</w:t>
      </w:r>
    </w:p>
    <w:p>
      <w:pPr>
        <w:spacing w:before="160" w:after="160" w:line="360" w:lineRule="auto"/>
        <w:jc w:val="both"/>
      </w:pPr>
    </w:p>
    <w:p>
      <w:pPr>
        <w:keepNext/>
        <w:spacing w:before="240" w:after="80" w:line="360" w:lineRule="auto"/>
        <w:jc w:val="both"/>
      </w:pPr>
      <w:r>
        <w:rPr>
          <w:rFonts w:ascii="Times New Roman" w:hAnsi="Times New Roman"/>
          <w:b/>
          <w:i w:val="0"/>
          <w:color w:val="000000"/>
          <w:sz w:val="25"/>
        </w:rPr>
        <w:t>4.7.5 Streamlit Simulation UI Controller (`modules/allocation.py`)</w:t>
      </w:r>
    </w:p>
    <w:p>
      <w:pPr>
        <w:spacing w:before="0" w:after="120" w:line="360" w:lineRule="auto"/>
        <w:jc w:val="both"/>
      </w:pPr>
      <w:r>
        <w:rPr>
          <w:rFonts w:ascii="Times New Roman" w:hAnsi="Times New Roman"/>
          <w:b w:val="0"/>
          <w:i w:val="0"/>
          <w:color w:val="000000"/>
          <w:sz w:val="24"/>
        </w:rPr>
        <w:t>Code Module 4.5 (`modules/allocation.py`) renders the interactive workload selection dropdowns, captures parameter scale inputs, calls `suggest_workload_size` to auto-fill the required storage field, collects constraint values, triggers `allocate_storage`, and displays baseline comparison tables.</w:t>
      </w:r>
    </w:p>
    <w:p>
      <w:pPr>
        <w:keepNext/>
        <w:spacing w:before="280" w:after="80" w:line="360" w:lineRule="auto"/>
        <w:jc w:val="both"/>
      </w:pPr>
      <w:r>
        <w:rPr>
          <w:rFonts w:ascii="Times New Roman" w:hAnsi="Times New Roman"/>
          <w:color w:val="000000"/>
          <w:sz w:val="24"/>
        </w:rPr>
      </w:r>
      <w:drawing xmlns:a="http://schemas.openxmlformats.org/drawingml/2006/main">
        <wp:inline wp14:editId="60F9146F" wp14:anchorId="3882113A">
          <wp:extent cx="5667375" cy="3495675"/>
          <wp:effectExtent l="0" t="0" r="0" b="0"/>
          <wp:docPr id="767359316" name="drawing"/>
          <wp:cNvGraphicFramePr>
            <a:graphicFrameLocks noChangeAspect="1"/>
          </wp:cNvGraphicFramePr>
          <a:graphic>
            <a:graphicData uri="http://schemas.openxmlformats.org/drawingml/2006/picture">
              <pic:pic xmlns:pic="http://schemas.openxmlformats.org/drawingml/2006/picture">
                <pic:nvPicPr>
                  <pic:cNvPr id="767359316" name="Picture 767359316"/>
                  <pic:cNvPicPr/>
                </pic:nvPicPr>
                <pic:blipFill>
                  <a:blip r:embed="rId1417358334">
                    <a:extLst>
                      <a:ext uri="{28A0092B-C50C-407E-A947-70E740481C1C}">
                        <a14:useLocalDpi xmlns:a14="http://schemas.microsoft.com/office/drawing/2010/main"/>
                      </a:ext>
                    </a:extLst>
                  </a:blip>
                  <a:stretch>
                    <a:fillRect/>
                  </a:stretch>
                </pic:blipFill>
                <pic:spPr>
                  <a:xfrm>
                    <a:off x="0" y="0"/>
                    <a:ext cx="5667375" cy="3495675"/>
                  </a:xfrm>
                  <a:prstGeom prst="rect">
                    <a:avLst/>
                  </a:prstGeom>
                </pic:spPr>
              </pic:pic>
            </a:graphicData>
          </a:graphic>
        </wp:inline>
      </w:drawing>
    </w:p>
    <w:p>
      <w:pPr>
        <w:spacing w:before="40" w:after="280" w:line="360" w:lineRule="auto"/>
        <w:jc w:val="both"/>
      </w:pPr>
      <w:r>
        <w:rPr>
          <w:rFonts w:ascii="Times New Roman" w:hAnsi="Times New Roman"/>
          <w:b/>
          <w:i w:val="0"/>
          <w:color w:val="000000"/>
          <w:sz w:val="20"/>
        </w:rPr>
        <w:t xml:space="preserve">Figure 4.9: </w:t>
      </w:r>
      <w:r>
        <w:rPr>
          <w:rFonts w:ascii="Times New Roman" w:hAnsi="Times New Roman"/>
          <w:b w:val="0"/>
          <w:i/>
          <w:color w:val="000000"/>
          <w:sz w:val="20"/>
        </w:rPr>
        <w:t>Source Code Screenshot - Streamlit Interactive Simulation Controller (modules/allocation.py)</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4.8 Test Plan and Test Cases</w:t>
      </w:r>
    </w:p>
    <w:p>
      <w:pPr>
        <w:spacing w:before="0" w:after="120" w:line="360" w:lineRule="auto"/>
        <w:jc w:val="both"/>
      </w:pPr>
      <w:r>
        <w:rPr>
          <w:rFonts w:ascii="Times New Roman" w:hAnsi="Times New Roman"/>
          <w:b w:val="0"/>
          <w:i w:val="0"/>
          <w:color w:val="000000"/>
          <w:sz w:val="24"/>
        </w:rPr>
        <w:t>To verify software correctness, numerical stability, constraint enforcement, and UI responsiveness, a structured test suite comprising 12 formal test cases (TC-01 through TC-12) was developed and executed.</w:t>
      </w:r>
    </w:p>
    <w:p>
      <w:pPr>
        <w:keepNext/>
        <w:spacing w:before="240" w:after="80" w:line="360" w:lineRule="auto"/>
        <w:jc w:val="both"/>
      </w:pPr>
      <w:r>
        <w:rPr>
          <w:rFonts w:ascii="Times New Roman" w:hAnsi="Times New Roman"/>
          <w:b/>
          <w:i w:val="0"/>
          <w:color w:val="000000"/>
          <w:sz w:val="25"/>
        </w:rPr>
        <w:t>Table 4.2: System Test Cases and Execution Results Matrix</w:t>
      </w:r>
    </w:p>
    <w:p>
      <w:pPr>
        <w:spacing w:before="160" w:after="120" w:line="360" w:lineRule="auto"/>
        <w:jc w:val="both"/>
      </w:pPr>
    </w:p>
    <w:p>
      <w:pPr>
        <w:keepNext/>
        <w:spacing w:before="280" w:after="120" w:line="360" w:lineRule="auto"/>
        <w:jc w:val="both"/>
      </w:pPr>
      <w:r>
        <w:rPr>
          <w:rFonts w:ascii="Times New Roman" w:hAnsi="Times New Roman"/>
          <w:b/>
          <w:i w:val="0"/>
          <w:color w:val="000000"/>
          <w:sz w:val="28"/>
        </w:rPr>
        <w:t>4.9 Test Results (Tables)</w:t>
      </w:r>
    </w:p>
    <w:p>
      <w:pPr>
        <w:spacing w:before="0" w:after="120" w:line="360" w:lineRule="auto"/>
        <w:jc w:val="both"/>
      </w:pPr>
      <w:r>
        <w:rPr>
          <w:rFonts w:ascii="Times New Roman" w:hAnsi="Times New Roman"/>
          <w:b w:val="0"/>
          <w:i w:val="0"/>
          <w:color w:val="000000"/>
          <w:sz w:val="24"/>
        </w:rPr>
        <w:t xml:space="preserve">The system was benchmarked against a dataset of </w:t>
      </w:r>
      <w:r>
        <w:rPr>
          <w:rFonts w:ascii="Times New Roman" w:hAnsi="Times New Roman"/>
          <w:b/>
          <w:i w:val="0"/>
          <w:color w:val="000000"/>
          <w:sz w:val="24"/>
        </w:rPr>
        <w:t>500 synthetic workload allocation requests</w:t>
      </w:r>
      <w:r>
        <w:rPr>
          <w:rFonts w:ascii="Times New Roman" w:hAnsi="Times New Roman"/>
          <w:b w:val="0"/>
          <w:i w:val="0"/>
          <w:color w:val="000000"/>
          <w:sz w:val="24"/>
        </w:rPr>
        <w:t xml:space="preserve"> representing diverse enterprise application profiles. Requests spanned storage volumes from 50 GB to 5,000 GB, SLA requirements from 99.0% to 99.999%, and maximum latency bounds from 2.0 ms to 60.0 ms.</w:t>
      </w:r>
    </w:p>
    <w:p>
      <w:pPr>
        <w:spacing w:before="0" w:after="120" w:line="360" w:lineRule="auto"/>
        <w:jc w:val="both"/>
      </w:pPr>
      <w:r>
        <w:rPr>
          <w:rFonts w:ascii="Times New Roman" w:hAnsi="Times New Roman"/>
          <w:b w:val="0"/>
          <w:i w:val="0"/>
          <w:color w:val="000000"/>
          <w:sz w:val="24"/>
        </w:rPr>
        <w:t>Table 4.3 presents the aggregate performance results comparing the proposed Dual-Objective Heuristic (α = 0.5, β = 0.5) against standard baseline algorithms.</w:t>
      </w:r>
    </w:p>
    <w:p>
      <w:pPr>
        <w:keepNext/>
        <w:spacing w:before="240" w:after="80" w:line="360" w:lineRule="auto"/>
        <w:jc w:val="both"/>
      </w:pPr>
      <w:r>
        <w:rPr>
          <w:rFonts w:ascii="Times New Roman" w:hAnsi="Times New Roman"/>
          <w:b/>
          <w:i w:val="0"/>
          <w:color w:val="000000"/>
          <w:sz w:val="25"/>
        </w:rPr>
        <w:t>Table 4.3: 500-Request Benchmark Allocation Summary &amp; Cost Savings Table</w:t>
      </w:r>
    </w:p>
    <w:p>
      <w:pPr>
        <w:spacing w:after="120" w:line="360" w:lineRule="auto"/>
        <w:jc w:val="both"/>
      </w:pPr>
    </w:p>
    <w:p>
      <w:pPr>
        <w:keepNext/>
        <w:spacing w:before="200" w:after="80" w:line="360" w:lineRule="auto"/>
        <w:jc w:val="both"/>
      </w:pPr>
      <w:r>
        <w:rPr>
          <w:rFonts w:ascii="Times New Roman" w:hAnsi="Times New Roman"/>
          <w:b/>
          <w:i w:val="0"/>
          <w:color w:val="000000"/>
          <w:sz w:val="24"/>
        </w:rPr>
        <w:t>Key Empirical Observations:</w:t>
      </w:r>
    </w:p>
    <w:p>
      <w:pPr>
        <w:spacing w:before="0" w:after="120" w:line="360" w:lineRule="auto"/>
        <w:jc w:val="both"/>
      </w:pPr>
      <w:r>
        <w:rPr>
          <w:rFonts w:ascii="Times New Roman" w:hAnsi="Times New Roman"/>
          <w:b w:val="0"/>
          <w:i w:val="0"/>
          <w:color w:val="000000"/>
          <w:sz w:val="24"/>
        </w:rPr>
        <w:t xml:space="preserve">1. </w:t>
      </w:r>
      <w:r>
        <w:rPr>
          <w:rFonts w:ascii="Times New Roman" w:hAnsi="Times New Roman"/>
          <w:b/>
          <w:i w:val="0"/>
          <w:color w:val="000000"/>
          <w:sz w:val="24"/>
        </w:rPr>
        <w:t>17.81% Total Cost Reduction</w:t>
      </w:r>
      <w:r>
        <w:rPr>
          <w:rFonts w:ascii="Times New Roman" w:hAnsi="Times New Roman"/>
          <w:b w:val="0"/>
          <w:i w:val="0"/>
          <w:color w:val="000000"/>
          <w:sz w:val="24"/>
        </w:rPr>
        <w:t xml:space="preserve">: The proposed heuristic reduced total cloud storage expenditure by </w:t>
      </w:r>
      <w:r>
        <w:rPr>
          <w:rFonts w:ascii="Times New Roman" w:hAnsi="Times New Roman"/>
          <w:b/>
          <w:i w:val="0"/>
          <w:color w:val="000000"/>
          <w:sz w:val="24"/>
        </w:rPr>
        <w:t>$6,795.00</w:t>
      </w:r>
      <w:r>
        <w:rPr>
          <w:rFonts w:ascii="Times New Roman" w:hAnsi="Times New Roman"/>
          <w:b w:val="0"/>
          <w:i w:val="0"/>
          <w:color w:val="000000"/>
          <w:sz w:val="24"/>
        </w:rPr>
        <w:t xml:space="preserve"> across 500 requests compared to static First Fit and Worst Fit allocation policies.</w:t>
      </w:r>
    </w:p>
    <w:p>
      <w:pPr>
        <w:spacing w:before="0" w:after="120" w:line="360" w:lineRule="auto"/>
        <w:jc w:val="both"/>
      </w:pPr>
      <w:r>
        <w:rPr>
          <w:rFonts w:ascii="Times New Roman" w:hAnsi="Times New Roman"/>
          <w:b w:val="0"/>
          <w:i w:val="0"/>
          <w:color w:val="000000"/>
          <w:sz w:val="24"/>
        </w:rPr>
        <w:t xml:space="preserve">2. </w:t>
      </w:r>
      <w:r>
        <w:rPr>
          <w:rFonts w:ascii="Times New Roman" w:hAnsi="Times New Roman"/>
          <w:b/>
          <w:i w:val="0"/>
          <w:color w:val="000000"/>
          <w:sz w:val="24"/>
        </w:rPr>
        <w:t>100% SLA Availability Compliance</w:t>
      </w:r>
      <w:r>
        <w:rPr>
          <w:rFonts w:ascii="Times New Roman" w:hAnsi="Times New Roman"/>
          <w:b w:val="0"/>
          <w:i w:val="0"/>
          <w:color w:val="000000"/>
          <w:sz w:val="24"/>
        </w:rPr>
        <w:t>: Zero SLA breaches occurred across all 500 requests because hard constraint pre-filtering eliminated under-provisioned storage tiers prior to score evaluation.</w:t>
      </w: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4.10 System Performance Results</w:t>
      </w:r>
    </w:p>
    <w:p>
      <w:pPr>
        <w:spacing w:before="0" w:after="120" w:line="360" w:lineRule="auto"/>
        <w:jc w:val="both"/>
      </w:pPr>
      <w:r>
        <w:rPr>
          <w:rFonts w:ascii="Times New Roman" w:hAnsi="Times New Roman"/>
          <w:b w:val="0"/>
          <w:i w:val="0"/>
          <w:color w:val="000000"/>
          <w:sz w:val="24"/>
        </w:rPr>
        <w:t>System performance was evaluated across computational speed, memory usage, transaction throughput, and weight parameter sensitivity.</w:t>
      </w:r>
    </w:p>
    <w:p>
      <w:pPr>
        <w:keepNext/>
        <w:spacing w:before="240" w:after="80" w:line="360" w:lineRule="auto"/>
        <w:jc w:val="both"/>
      </w:pPr>
      <w:r>
        <w:rPr>
          <w:rFonts w:ascii="Times New Roman" w:hAnsi="Times New Roman"/>
          <w:b/>
          <w:i w:val="0"/>
          <w:color w:val="000000"/>
          <w:sz w:val="25"/>
        </w:rPr>
        <w:t>4.10.1 Execution Latency and Computational Overhead</w:t>
      </w:r>
    </w:p>
    <w:p>
      <w:pPr>
        <w:spacing w:before="0" w:after="120" w:line="360" w:lineRule="auto"/>
        <w:jc w:val="both"/>
      </w:pPr>
      <w:r>
        <w:rPr>
          <w:rFonts w:ascii="Times New Roman" w:hAnsi="Times New Roman"/>
          <w:b w:val="0"/>
          <w:i w:val="0"/>
          <w:color w:val="000000"/>
          <w:sz w:val="24"/>
        </w:rPr>
        <w:t>Across the 500-request benchmark suite:</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Mean Execution Latency per Request</w:t>
      </w:r>
      <w:r>
        <w:rPr>
          <w:rFonts w:ascii="Times New Roman" w:hAnsi="Times New Roman"/>
          <w:b w:val="0"/>
          <w:i w:val="0"/>
          <w:color w:val="000000"/>
          <w:sz w:val="24"/>
        </w:rPr>
        <w:t xml:space="preserve">: </w:t>
      </w:r>
      <w:r>
        <w:rPr>
          <w:rFonts w:ascii="Times New Roman" w:hAnsi="Times New Roman"/>
          <w:b/>
          <w:i w:val="0"/>
          <w:color w:val="000000"/>
          <w:sz w:val="24"/>
        </w:rPr>
        <w:t>2.8 milliseconds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Maximum Peak Latency</w:t>
      </w:r>
      <w:r>
        <w:rPr>
          <w:rFonts w:ascii="Times New Roman" w:hAnsi="Times New Roman"/>
          <w:b w:val="0"/>
          <w:i w:val="0"/>
          <w:color w:val="000000"/>
          <w:sz w:val="24"/>
        </w:rPr>
        <w:t xml:space="preserve">: </w:t>
      </w:r>
      <w:r>
        <w:rPr>
          <w:rFonts w:ascii="Times New Roman" w:hAnsi="Times New Roman"/>
          <w:b/>
          <w:i w:val="0"/>
          <w:color w:val="000000"/>
          <w:sz w:val="24"/>
        </w:rPr>
        <w:t>8.2 milliseconds</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Database Write Latency</w:t>
      </w:r>
      <w:r>
        <w:rPr>
          <w:rFonts w:ascii="Times New Roman" w:hAnsi="Times New Roman"/>
          <w:b w:val="0"/>
          <w:i w:val="0"/>
          <w:color w:val="000000"/>
          <w:sz w:val="24"/>
        </w:rPr>
        <w:t xml:space="preserve">: </w:t>
      </w:r>
      <w:r>
        <w:rPr>
          <w:rFonts w:ascii="Times New Roman" w:hAnsi="Times New Roman"/>
          <w:b/>
          <w:i w:val="0"/>
          <w:color w:val="000000"/>
          <w:sz w:val="24"/>
        </w:rPr>
        <w:t>1.1 milliseconds</w:t>
      </w:r>
      <w:r>
        <w:rPr>
          <w:rFonts w:ascii="Times New Roman" w:hAnsi="Times New Roman"/>
          <w:b w:val="0"/>
          <w:i w:val="0"/>
          <w:color w:val="000000"/>
          <w:sz w:val="24"/>
        </w:rPr>
        <w:t xml:space="preserve"> (SQLite insert commit)</w:t>
      </w:r>
    </w:p>
    <w:p>
      <w:pPr>
        <w:spacing w:before="0" w:after="120" w:line="360" w:lineRule="auto"/>
        <w:jc w:val="both"/>
      </w:pPr>
      <w:r>
        <w:rPr>
          <w:rFonts w:ascii="Times New Roman" w:hAnsi="Times New Roman"/>
          <w:b w:val="0"/>
          <w:i w:val="0"/>
          <w:color w:val="000000"/>
          <w:sz w:val="24"/>
        </w:rPr>
        <w:t xml:space="preserve">- </w:t>
      </w:r>
      <w:r>
        <w:rPr>
          <w:rFonts w:ascii="Times New Roman" w:hAnsi="Times New Roman"/>
          <w:b/>
          <w:i w:val="0"/>
          <w:color w:val="000000"/>
          <w:sz w:val="24"/>
        </w:rPr>
        <w:t>Host Memory Consumption</w:t>
      </w:r>
      <w:r>
        <w:rPr>
          <w:rFonts w:ascii="Times New Roman" w:hAnsi="Times New Roman"/>
          <w:b w:val="0"/>
          <w:i w:val="0"/>
          <w:color w:val="000000"/>
          <w:sz w:val="24"/>
        </w:rPr>
        <w:t xml:space="preserve">: </w:t>
      </w:r>
      <w:r>
        <w:rPr>
          <w:rFonts w:ascii="Times New Roman" w:hAnsi="Times New Roman"/>
          <w:b/>
          <w:i w:val="0"/>
          <w:color w:val="000000"/>
          <w:sz w:val="24"/>
        </w:rPr>
        <w:t>~85 MB</w:t>
      </w:r>
      <w:r>
        <w:rPr>
          <w:rFonts w:ascii="Times New Roman" w:hAnsi="Times New Roman"/>
          <w:b w:val="0"/>
          <w:i w:val="0"/>
          <w:color w:val="000000"/>
          <w:sz w:val="24"/>
        </w:rPr>
        <w:t xml:space="preserve"> RSS during peak Streamlit rendering</w:t>
      </w:r>
    </w:p>
    <w:p>
      <w:pPr>
        <w:spacing w:before="0" w:after="120" w:line="360" w:lineRule="auto"/>
        <w:jc w:val="both"/>
      </w:pPr>
      <w:r>
        <w:rPr>
          <w:rFonts w:ascii="Times New Roman" w:hAnsi="Times New Roman"/>
          <w:b w:val="0"/>
          <w:i w:val="0"/>
          <w:color w:val="000000"/>
          <w:sz w:val="24"/>
        </w:rPr>
        <w:t>These metrics confirm that dual-objective Min-Max scoring adds negligible computational overhead and is suitable for real-time cloud management platforms.</w:t>
      </w:r>
    </w:p>
    <w:p>
      <w:pPr>
        <w:keepNext/>
        <w:spacing w:before="240" w:after="80" w:line="360" w:lineRule="auto"/>
        <w:jc w:val="both"/>
      </w:pPr>
      <w:r>
        <w:rPr>
          <w:rFonts w:ascii="Times New Roman" w:hAnsi="Times New Roman"/>
          <w:b/>
          <w:i w:val="0"/>
          <w:color w:val="000000"/>
          <w:sz w:val="25"/>
        </w:rPr>
        <w:t>4.10.2 Trade-off Sensitivity Analysis (α vs β)</w:t>
      </w:r>
    </w:p>
    <w:p>
      <w:pPr>
        <w:spacing w:before="0" w:after="120" w:line="360" w:lineRule="auto"/>
        <w:jc w:val="both"/>
      </w:pPr>
      <w:r>
        <w:rPr>
          <w:rFonts w:ascii="Times New Roman" w:hAnsi="Times New Roman"/>
          <w:b w:val="0"/>
          <w:i w:val="0"/>
          <w:color w:val="000000"/>
          <w:sz w:val="24"/>
        </w:rPr>
        <w:t>Table 4.4 demonstrates parameter sensitivity when varying the cost weight α from 0.0 to 1.0 in increments of 0.2 across identical benchmark workloads.</w:t>
      </w:r>
    </w:p>
    <w:p>
      <w:pPr>
        <w:keepNext/>
        <w:spacing w:before="240" w:after="80" w:line="360" w:lineRule="auto"/>
        <w:jc w:val="both"/>
      </w:pPr>
      <w:r>
        <w:rPr>
          <w:rFonts w:ascii="Times New Roman" w:hAnsi="Times New Roman"/>
          <w:b/>
          <w:i w:val="0"/>
          <w:color w:val="000000"/>
          <w:sz w:val="25"/>
        </w:rPr>
        <w:t>Table 4.4: Parameter Sensitivity Analysis Across Trade-off Weights (α, β)</w:t>
      </w:r>
    </w:p>
    <w:p>
      <w:pPr>
        <w:spacing w:after="120" w:line="360" w:lineRule="auto"/>
        <w:jc w:val="both"/>
      </w:pPr>
    </w:p>
    <w:p>
      <w:pPr>
        <w:keepNext/>
        <w:spacing w:before="280" w:after="120" w:line="360" w:lineRule="auto"/>
        <w:jc w:val="both"/>
      </w:pPr>
      <w:r>
        <w:rPr>
          <w:rFonts w:ascii="Times New Roman" w:hAnsi="Times New Roman"/>
          <w:b/>
          <w:i w:val="0"/>
          <w:color w:val="000000"/>
          <w:sz w:val="28"/>
        </w:rPr>
        <w:t>4.11 Evaluation of the System</w:t>
      </w:r>
    </w:p>
    <w:p>
      <w:pPr>
        <w:spacing w:before="0" w:after="120" w:line="360" w:lineRule="auto"/>
        <w:jc w:val="both"/>
      </w:pPr>
      <w:r>
        <w:rPr>
          <w:rFonts w:ascii="Times New Roman" w:hAnsi="Times New Roman"/>
          <w:b w:val="0"/>
          <w:i w:val="0"/>
          <w:color w:val="000000"/>
          <w:sz w:val="24"/>
        </w:rPr>
        <w:t>The completed system was evaluated against the research objectives formulated in Chapter One (Section 1.4). Table 4.5 details the objective verification mapping.</w:t>
      </w:r>
    </w:p>
    <w:p>
      <w:pPr>
        <w:keepNext/>
        <w:spacing w:before="240" w:after="80" w:line="360" w:lineRule="auto"/>
        <w:jc w:val="both"/>
      </w:pPr>
      <w:r>
        <w:rPr>
          <w:rFonts w:ascii="Times New Roman" w:hAnsi="Times New Roman"/>
          <w:b/>
          <w:i w:val="0"/>
          <w:color w:val="000000"/>
          <w:sz w:val="25"/>
        </w:rPr>
        <w:t>Table 4.5: Objective Verification Matrix</w:t>
      </w:r>
    </w:p>
    <w:p>
      <w:pPr>
        <w:spacing w:after="120" w:line="360" w:lineRule="auto"/>
        <w:jc w:val="both"/>
      </w:pPr>
    </w:p>
    <w:p>
      <w:pPr>
        <w:spacing w:before="160" w:after="160" w:line="360" w:lineRule="auto"/>
        <w:jc w:val="both"/>
      </w:pPr>
    </w:p>
    <w:p>
      <w:pPr>
        <w:keepNext/>
        <w:spacing w:before="280" w:after="120" w:line="360" w:lineRule="auto"/>
        <w:jc w:val="both"/>
      </w:pPr>
      <w:r>
        <w:rPr>
          <w:rFonts w:ascii="Times New Roman" w:hAnsi="Times New Roman"/>
          <w:b/>
          <w:i w:val="0"/>
          <w:color w:val="000000"/>
          <w:sz w:val="28"/>
        </w:rPr>
        <w:t>4.12 Chapter Summary</w:t>
      </w:r>
    </w:p>
    <w:p>
      <w:pPr>
        <w:spacing w:before="0" w:after="120" w:line="360" w:lineRule="auto"/>
        <w:jc w:val="both"/>
      </w:pPr>
      <w:r>
        <w:rPr>
          <w:rFonts w:ascii="Times New Roman" w:hAnsi="Times New Roman"/>
          <w:b w:val="0"/>
          <w:i w:val="0"/>
          <w:color w:val="000000"/>
          <w:sz w:val="24"/>
        </w:rPr>
        <w:t xml:space="preserve">This chapter presented the development environment, programming languages, software tools, database implementation, modular system architecture, interface design, code walkthroughs, test plan, empirical benchmark results, and system evaluation for the cloud storage allocation optimization platform. The dual-objective heuristic model, combined with automated workload storage sizing and SQLite persistence, achieved a </w:t>
      </w:r>
      <w:r>
        <w:rPr>
          <w:rFonts w:ascii="Times New Roman" w:hAnsi="Times New Roman"/>
          <w:b/>
          <w:i w:val="0"/>
          <w:color w:val="000000"/>
          <w:sz w:val="24"/>
        </w:rPr>
        <w:t>17.81% cost reduction</w:t>
      </w:r>
      <w:r>
        <w:rPr>
          <w:rFonts w:ascii="Times New Roman" w:hAnsi="Times New Roman"/>
          <w:b w:val="0"/>
          <w:i w:val="0"/>
          <w:color w:val="000000"/>
          <w:sz w:val="24"/>
        </w:rPr>
        <w:t xml:space="preserve"> compared to traditional static allocation policies while maintaining </w:t>
      </w:r>
      <w:r>
        <w:rPr>
          <w:rFonts w:ascii="Times New Roman" w:hAnsi="Times New Roman"/>
          <w:b/>
          <w:i w:val="0"/>
          <w:color w:val="000000"/>
          <w:sz w:val="24"/>
        </w:rPr>
        <w:t>100% SLA availability compliance</w:t>
      </w:r>
      <w:r>
        <w:rPr>
          <w:rFonts w:ascii="Times New Roman" w:hAnsi="Times New Roman"/>
          <w:b w:val="0"/>
          <w:i w:val="0"/>
          <w:color w:val="000000"/>
          <w:sz w:val="24"/>
        </w:rPr>
        <w:t xml:space="preserve"> (0% violation rate) across 500 benchmark requests.</w:t>
      </w:r>
    </w:p>
    <w:p>
      <w:pPr>
        <w:spacing w:before="0" w:after="120" w:line="360" w:lineRule="auto"/>
        <w:jc w:val="both"/>
      </w:pPr>
      <w:r>
        <w:rPr>
          <w:rFonts w:ascii="Times New Roman" w:hAnsi="Times New Roman"/>
          <w:b w:val="0"/>
          <w:i w:val="0"/>
          <w:color w:val="000000"/>
          <w:sz w:val="24"/>
        </w:rPr>
        <w:t>The next chapter (Chapter Five) provides the discussion of findings, theoretical conclusions, study limitations, contributions, and practical recommendations for future research.</w:t>
      </w:r>
    </w:p>
    <w:p>
      <w:pPr>
        <w:spacing w:line="360" w:lineRule="auto"/>
        <w:jc w:val="both"/>
      </w:pPr>
    </w:p>
    <w:p>
      <w:pPr>
        <w:spacing w:line="360" w:lineRule="auto"/>
      </w:pPr>
      <w:r>
        <w:rPr>
          <w:rFonts w:ascii="Times New Roman" w:hAnsi="Times New Roman"/>
          <w:color w:val="000000"/>
          <w:sz w:val="24"/>
        </w:rP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