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color w:val="000000"/>
          <w:sz w:val="24"/>
        </w:rPr>
        <w:t>CHAPTER FIVE</w:t>
      </w:r>
      <w:r>
        <w:rPr>
          <w:rFonts w:ascii="Times New Roman" w:hAnsi="Times New Roman"/>
          <w:color w:val="000000"/>
          <w:sz w:val="24"/>
        </w:rPr>
        <w:br/>
      </w:r>
      <w:r>
        <w:rPr>
          <w:rFonts w:ascii="Times New Roman" w:hAnsi="Times New Roman"/>
          <w:b/>
          <w:color w:val="000000"/>
          <w:sz w:val="22"/>
        </w:rPr>
        <w:t>D</w:t>
      </w:r>
      <w:r>
        <w:rPr>
          <w:rFonts w:ascii="Times New Roman" w:hAnsi="Times New Roman"/>
          <w:b/>
          <w:color w:val="000000"/>
          <w:sz w:val="22"/>
        </w:rPr>
        <w:t>ISCUSSION, CONCLUSION AND RECOMMENDATIONS</w:t>
      </w:r>
    </w:p>
    <w:p>
      <w:pPr>
        <w:keepNext/>
        <w:spacing w:before="280" w:after="120" w:line="360" w:lineRule="auto"/>
        <w:jc w:val="both"/>
      </w:pPr>
      <w:r>
        <w:rPr>
          <w:rFonts w:ascii="Times New Roman" w:hAnsi="Times New Roman"/>
          <w:b/>
          <w:i w:val="0"/>
          <w:color w:val="000000"/>
          <w:sz w:val="28"/>
        </w:rPr>
        <w:t>5.0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spacing w:before="0" w:after="120" w:line="360" w:lineRule="auto"/>
        <w:jc w:val="both"/>
      </w:pPr>
      <w:r>
        <w:rPr>
          <w:rFonts w:ascii="Times New Roman" w:hAnsi="Times New Roman"/>
          <w:b w:val="0"/>
          <w:i w:val="0"/>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5.1 Summary of Findings</w:t>
      </w:r>
    </w:p>
    <w:p>
      <w:pPr>
        <w:spacing w:before="0" w:after="120" w:line="360" w:lineRule="auto"/>
        <w:jc w:val="both"/>
      </w:pPr>
      <w:r>
        <w:rPr>
          <w:rFonts w:ascii="Times New Roman" w:hAnsi="Times New Roman"/>
          <w:b w:val="0"/>
          <w:i w:val="0"/>
          <w:color w:val="000000"/>
          <w:sz w:val="24"/>
        </w:rPr>
        <w:t>The empirical benchmarks conducted in Chapter Four across 500 synthetic enterprise workload requests produced four major quantitative and operational findings: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multi-objective heuristic (α = 0.5, β = 0.5) achieved an aggregate expenditure of </w:t>
      </w:r>
      <w:r>
        <w:rPr>
          <w:rFonts w:ascii="Times New Roman" w:hAnsi="Times New Roman"/>
          <w:b/>
          <w:i w:val="0"/>
          <w:color w:val="000000"/>
          <w:sz w:val="24"/>
        </w:rPr>
        <w:t>31,370.00</w:t>
      </w:r>
      <w:r>
        <w:rPr>
          <w:rFonts w:ascii="Times New Roman" w:hAnsi="Times New Roman"/>
          <w:b w:val="0"/>
          <w:i w:val="0"/>
          <w:color w:val="000000"/>
          <w:sz w:val="24"/>
        </w:rPr>
        <w:t xml:space="preserve"> across 500 requests, compared to </w:t>
      </w:r>
      <w:r>
        <w:rPr>
          <w:rFonts w:ascii="Times New Roman" w:hAnsi="Times New Roman"/>
          <w:b/>
          <w:i w:val="0"/>
          <w:color w:val="000000"/>
          <w:sz w:val="24"/>
        </w:rPr>
        <w:t>38,165.00</w:t>
      </w:r>
      <w:r>
        <w:rPr>
          <w:rFonts w:ascii="Times New Roman" w:hAnsi="Times New Roman"/>
          <w:b w:val="0"/>
          <w:i w:val="0"/>
          <w:color w:val="000000"/>
          <w:sz w:val="24"/>
        </w:rPr>
        <w:t xml:space="preserve"> incurred by static First Fit and Worst Fit allocation policies. This represents a net saving of </w:t>
      </w:r>
      <w:r>
        <w:rPr>
          <w:rFonts w:ascii="Times New Roman" w:hAnsi="Times New Roman"/>
          <w:b/>
          <w:i w:val="0"/>
          <w:color w:val="000000"/>
          <w:sz w:val="24"/>
        </w:rPr>
        <w:t>6,795.00</w:t>
      </w:r>
      <w:r>
        <w:rPr>
          <w:rFonts w:ascii="Times New Roman" w:hAnsi="Times New Roman"/>
          <w:b w:val="0"/>
          <w:i w:val="0"/>
          <w:color w:val="000000"/>
          <w:sz w:val="24"/>
        </w:rPr>
        <w:t xml:space="preserve"> (13.59 saved per request on average).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 (0% Violation Rate)</w:t>
      </w:r>
      <w:r>
        <w:rPr>
          <w:rFonts w:ascii="Times New Roman" w:hAnsi="Times New Roman"/>
          <w:b w:val="0"/>
          <w:i w:val="0"/>
          <w:color w:val="000000"/>
          <w:sz w:val="24"/>
        </w:rPr>
        <w:t xml:space="preserve">: Across all 500 benchmark allocation requests, the system maintained a </w:t>
      </w:r>
      <w:r>
        <w:rPr>
          <w:rFonts w:ascii="Times New Roman" w:hAnsi="Times New Roman"/>
          <w:b/>
          <w:i w:val="0"/>
          <w:color w:val="000000"/>
          <w:sz w:val="24"/>
        </w:rPr>
        <w:t>0.00% SLA breach rate</w:t>
      </w:r>
      <w:r>
        <w:rPr>
          <w:rFonts w:ascii="Times New Roman" w:hAnsi="Times New Roman"/>
          <w:b w:val="0"/>
          <w:i w:val="0"/>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Sub-3ms Computational Speed</w:t>
      </w:r>
      <w:r>
        <w:rPr>
          <w:rFonts w:ascii="Times New Roman" w:hAnsi="Times New Roman"/>
          <w:b w:val="0"/>
          <w:i w:val="0"/>
          <w:color w:val="000000"/>
          <w:sz w:val="24"/>
        </w:rPr>
        <w:t xml:space="preserve">: Algorithm execution averaged </w:t>
      </w:r>
      <w:r>
        <w:rPr>
          <w:rFonts w:ascii="Times New Roman" w:hAnsi="Times New Roman"/>
          <w:b/>
          <w:i w:val="0"/>
          <w:color w:val="000000"/>
          <w:sz w:val="24"/>
        </w:rPr>
        <w:t>2.8 milliseconds</w:t>
      </w:r>
      <w:r>
        <w:rPr>
          <w:rFonts w:ascii="Times New Roman" w:hAnsi="Times New Roman"/>
          <w:b w:val="0"/>
          <w:i w:val="0"/>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Automated Sizing Accuracy</w:t>
      </w:r>
      <w:r>
        <w:rPr>
          <w:rFonts w:ascii="Times New Roman" w:hAnsi="Times New Roman"/>
          <w:b w:val="0"/>
          <w:i w:val="0"/>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5.2 Interpretation of Results</w:t>
      </w:r>
    </w:p>
    <w:p>
      <w:pPr>
        <w:spacing w:before="0" w:after="120" w:line="360" w:lineRule="auto"/>
        <w:jc w:val="both"/>
      </w:pPr>
      <w:r>
        <w:rPr>
          <w:rFonts w:ascii="Times New Roman" w:hAnsi="Times New Roman"/>
          <w:b w:val="0"/>
          <w:i w:val="0"/>
          <w:color w:val="000000"/>
          <w:sz w:val="24"/>
        </w:rPr>
        <w:t>The comparative performance of the evaluated allocation strategies illustrates fundamental algorithmic trade-offs in cloud resource provisioning</w:t>
      </w:r>
      <w:r>
        <w:rPr>
          <w:rFonts w:ascii="Times New Roman" w:hAnsi="Times New Roman"/>
          <w:b w:val="0"/>
          <w:i w:val="0"/>
          <w:color w:val="000000"/>
          <w:sz w:val="24"/>
        </w:rPr>
        <w:t>:</w:t>
      </w:r>
    </w:p>
    <w:p>
      <w:pPr>
        <w:spacing w:after="120" w:line="360" w:lineRule="auto"/>
        <w:jc w:val="both"/>
      </w:pPr>
    </w:p>
    <w:p>
      <w:pPr>
        <w:spacing w:before="0" w:after="120" w:line="360" w:lineRule="auto"/>
        <w:jc w:val="both"/>
      </w:pPr>
      <w:r>
        <w:rPr>
          <w:rFonts w:ascii="Times New Roman" w:hAnsi="Times New Roman"/>
          <w:b/>
          <w:i w:val="0"/>
          <w:color w:val="000000"/>
          <w:sz w:val="24"/>
        </w:rPr>
        <w:t>First Fit (FF)</w:t>
      </w:r>
      <w:r>
        <w:rPr>
          <w:rFonts w:ascii="Times New Roman" w:hAnsi="Times New Roman"/>
          <w:b w:val="0"/>
          <w:i w:val="0"/>
          <w:color w:val="000000"/>
          <w:sz w:val="24"/>
        </w:rPr>
        <w:t xml:space="preserve">: Scans candidate storage tiers in static database order (Block → File → Object). When high-availability workloads request storage, FF selects Block Storage </w:t>
      </w:r>
      <w:r>
        <w:rPr>
          <w:rFonts w:ascii="Times New Roman" w:hAnsi="Times New Roman"/>
          <w:b w:val="0"/>
          <w:i w:val="0"/>
          <w:color w:val="000000"/>
          <w:sz w:val="24"/>
        </w:rPr>
        <w:t>immediately</w:t>
      </w:r>
      <w:r>
        <w:rPr>
          <w:rFonts w:ascii="Times New Roman" w:hAnsi="Times New Roman"/>
          <w:b w:val="0"/>
          <w:i w:val="0"/>
          <w:color w:val="000000"/>
          <w:sz w:val="24"/>
        </w:rPr>
        <w:t xml:space="preserve"> without evaluating lower-cost alternatives that might still fulfill SLA bounds, leading to an elevated mean cost of </w:t>
      </w:r>
      <w:r>
        <w:rPr>
          <w:rFonts w:ascii="Times New Roman" w:hAnsi="Times New Roman"/>
          <w:b/>
          <w:i w:val="0"/>
          <w:color w:val="000000"/>
          <w:sz w:val="24"/>
        </w:rPr>
        <w:t>$76.33/request</w:t>
      </w:r>
      <w:r>
        <w:rPr>
          <w:rFonts w:ascii="Times New Roman" w:hAnsi="Times New Roman"/>
          <w:b w:val="0"/>
          <w:i w:val="0"/>
          <w:color w:val="000000"/>
          <w:sz w:val="24"/>
        </w:rPr>
        <w:t>.</w:t>
      </w:r>
    </w:p>
    <w:p>
      <w:pPr>
        <w:spacing w:before="0" w:after="120" w:line="360" w:lineRule="auto"/>
        <w:jc w:val="both"/>
      </w:pPr>
      <w:r>
        <w:rPr>
          <w:rFonts w:ascii="Times New Roman" w:hAnsi="Times New Roman"/>
          <w:b/>
          <w:i w:val="0"/>
          <w:color w:val="000000"/>
          <w:sz w:val="24"/>
        </w:rPr>
        <w:t>Worst Fit (WF)</w:t>
      </w:r>
      <w:r>
        <w:rPr>
          <w:rFonts w:ascii="Times New Roman" w:hAnsi="Times New Roman"/>
          <w:b w:val="0"/>
          <w:i w:val="0"/>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color w:val="000000"/>
          <w:sz w:val="24"/>
        </w:rPr>
        <w:t>38,165.00</w:t>
      </w:r>
      <w:r>
        <w:rPr>
          <w:rFonts w:ascii="Times New Roman" w:hAnsi="Times New Roman"/>
          <w:b w:val="0"/>
          <w:i w:val="0"/>
          <w:color w:val="000000"/>
          <w:sz w:val="24"/>
        </w:rPr>
        <w:t xml:space="preserve"> total).</w:t>
      </w:r>
    </w:p>
    <w:p>
      <w:pPr>
        <w:spacing w:before="0" w:after="120" w:line="360" w:lineRule="auto"/>
        <w:jc w:val="both"/>
      </w:pPr>
      <w:r>
        <w:rPr>
          <w:rFonts w:ascii="Times New Roman" w:hAnsi="Times New Roman"/>
          <w:b/>
          <w:i w:val="0"/>
          <w:color w:val="000000"/>
          <w:sz w:val="24"/>
        </w:rPr>
        <w:t>Proposed Dual-Objective Heuristic (α - β)</w:t>
      </w:r>
      <w:r>
        <w:rPr>
          <w:rFonts w:ascii="Times New Roman" w:hAnsi="Times New Roman"/>
          <w:b w:val="0"/>
          <w:i w:val="0"/>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5.3 Achievement of Project Objectives</w:t>
      </w:r>
    </w:p>
    <w:p>
      <w:pPr>
        <w:spacing w:before="0" w:after="120" w:line="360" w:lineRule="auto"/>
        <w:jc w:val="both"/>
      </w:pPr>
      <w:r>
        <w:rPr>
          <w:rFonts w:ascii="Times New Roman" w:hAnsi="Times New Roman"/>
          <w:b w:val="0"/>
          <w:i w:val="0"/>
          <w:color w:val="000000"/>
          <w:sz w:val="24"/>
        </w:rPr>
        <w:t>Table 5.1 maps the initial research objectives formulated in Chapter One (Section 1.4) against technical implementations in Chapter Three and empirical validation evidence from Chapter Four.</w:t>
      </w:r>
    </w:p>
    <w:p>
      <w:pPr>
        <w:keepNext/>
        <w:spacing w:before="240" w:after="80" w:line="360" w:lineRule="auto"/>
        <w:jc w:val="both"/>
      </w:pPr>
      <w:r>
        <w:rPr>
          <w:rFonts w:ascii="Times New Roman" w:hAnsi="Times New Roman"/>
          <w:b/>
          <w:i w:val="0"/>
          <w:color w:val="000000"/>
          <w:sz w:val="25"/>
        </w:rPr>
        <w:t>Table 5.1: Research Objectives Verification Matrix</w:t>
      </w:r>
    </w:p>
    <w:p>
      <w:pPr>
        <w:spacing w:after="120" w:line="360" w:lineRule="auto"/>
        <w:jc w:val="both"/>
      </w:pPr>
    </w:p>
    <w:p>
      <w:pPr>
        <w:keepNext/>
        <w:spacing w:before="280" w:after="120" w:line="360" w:lineRule="auto"/>
        <w:jc w:val="both"/>
      </w:pPr>
      <w:r>
        <w:rPr>
          <w:rFonts w:ascii="Times New Roman" w:hAnsi="Times New Roman"/>
          <w:b/>
          <w:i w:val="0"/>
          <w:color w:val="000000"/>
          <w:sz w:val="28"/>
        </w:rPr>
        <w:t>5.4 Comparison with Existing Systems</w:t>
      </w:r>
    </w:p>
    <w:p>
      <w:pPr>
        <w:spacing w:before="0" w:after="120" w:line="360" w:lineRule="auto"/>
        <w:jc w:val="both"/>
      </w:pPr>
      <w:r>
        <w:rPr>
          <w:rFonts w:ascii="Times New Roman" w:hAnsi="Times New Roman"/>
          <w:b w:val="0"/>
          <w:i w:val="0"/>
          <w:color w:val="000000"/>
          <w:sz w:val="24"/>
        </w:rPr>
        <w:t>The proposed cloud storage allocation platform advances beyond existing commercial Cloud Management Platforms (CMPs) and traditional allocation utilities in three main areas: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Dynamic Scaling vs Static Rule Policies</w:t>
      </w:r>
      <w:r>
        <w:rPr>
          <w:rFonts w:ascii="Times New Roman" w:hAnsi="Times New Roman"/>
          <w:b w:val="0"/>
          <w:i w:val="0"/>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Automated Workload Estimation vs Manual Sizing Guesswork</w:t>
      </w:r>
      <w:r>
        <w:rPr>
          <w:rFonts w:ascii="Times New Roman" w:hAnsi="Times New Roman"/>
          <w:b w:val="0"/>
          <w:i w:val="0"/>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Explicit Trade-off Control (α / β)</w:t>
      </w:r>
      <w:r>
        <w:rPr>
          <w:rFonts w:ascii="Times New Roman" w:hAnsi="Times New Roman"/>
          <w:b w:val="0"/>
          <w:i w:val="0"/>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5.5 Advantages of the New System</w:t>
      </w:r>
    </w:p>
    <w:p>
      <w:pPr>
        <w:spacing w:before="0" w:after="120" w:line="360" w:lineRule="auto"/>
        <w:jc w:val="both"/>
      </w:pPr>
      <w:r>
        <w:rPr>
          <w:rFonts w:ascii="Times New Roman" w:hAnsi="Times New Roman"/>
          <w:b w:val="0"/>
          <w:i w:val="0"/>
          <w:color w:val="000000"/>
          <w:sz w:val="24"/>
        </w:rPr>
        <w:t>The implemented platform offers four key functional advantages over conventional storage provisioning methods: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Multi-Objective Cost &amp; SLA Optimization</w:t>
      </w:r>
      <w:r>
        <w:rPr>
          <w:rFonts w:ascii="Times New Roman" w:hAnsi="Times New Roman"/>
          <w:b w:val="0"/>
          <w:i w:val="0"/>
          <w:color w:val="000000"/>
          <w:sz w:val="24"/>
        </w:rPr>
        <w:t>: Simultaneously minimizes operational spend and enforces SLA availability and latency bounds through Min-Max vector normalization.</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Automated Workload Sizing</w:t>
      </w:r>
      <w:r>
        <w:rPr>
          <w:rFonts w:ascii="Times New Roman" w:hAnsi="Times New Roman"/>
          <w:b w:val="0"/>
          <w:i w:val="0"/>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Real-Time Baseline Benchmarking</w:t>
      </w:r>
      <w:r>
        <w:rPr>
          <w:rFonts w:ascii="Times New Roman" w:hAnsi="Times New Roman"/>
          <w:b w:val="0"/>
          <w:i w:val="0"/>
          <w:color w:val="000000"/>
          <w:sz w:val="24"/>
        </w:rPr>
        <w:t>: Instantly evaluates the proposed heuristic against First Fit, Best Fit, and Worst Fit algorithms, providing immediate visualization of financial savings.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Relational Audit Logging &amp; Data Export</w:t>
      </w:r>
      <w:r>
        <w:rPr>
          <w:rFonts w:ascii="Times New Roman" w:hAnsi="Times New Roman"/>
          <w:b w:val="0"/>
          <w:i w:val="0"/>
          <w:color w:val="000000"/>
          <w:sz w:val="24"/>
        </w:rPr>
        <w:t>: Maintains an immutable transaction ledger in SQLite, supporting historical compliance auditing, capacity planning, and CSV data extraction.</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5.6 Challenges Encountered</w:t>
      </w:r>
    </w:p>
    <w:p>
      <w:pPr>
        <w:spacing w:before="0" w:after="120" w:line="360" w:lineRule="auto"/>
        <w:jc w:val="both"/>
      </w:pPr>
      <w:r>
        <w:rPr>
          <w:rFonts w:ascii="Times New Roman" w:hAnsi="Times New Roman"/>
          <w:b w:val="0"/>
          <w:i w:val="0"/>
          <w:color w:val="000000"/>
          <w:sz w:val="24"/>
        </w:rPr>
        <w:t>During system design and implementation, three major engineering challenges were encountered and resolved:</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Zero-Range Normalization Edge Cases</w:t>
      </w:r>
      <w:r>
        <w:rPr>
          <w:rFonts w:ascii="Times New Roman" w:hAnsi="Times New Roman"/>
          <w:b w:val="0"/>
          <w:i w:val="0"/>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Scaling Non-Linear SLA Percentages vs Linear Cost Vectors</w:t>
      </w:r>
      <w:r>
        <w:rPr>
          <w:rFonts w:ascii="Times New Roman" w:hAnsi="Times New Roman"/>
          <w:b w:val="0"/>
          <w:i w:val="0"/>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Database Concurrency and Locking</w:t>
      </w:r>
      <w:r>
        <w:rPr>
          <w:rFonts w:ascii="Times New Roman" w:hAnsi="Times New Roman"/>
          <w:b w:val="0"/>
          <w:i w:val="0"/>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5.7 Implications of the Study</w:t>
      </w:r>
    </w:p>
    <w:p>
      <w:pPr>
        <w:keepNext/>
        <w:spacing w:before="240" w:after="80" w:line="360" w:lineRule="auto"/>
        <w:jc w:val="both"/>
      </w:pPr>
      <w:r>
        <w:rPr>
          <w:rFonts w:ascii="Times New Roman" w:hAnsi="Times New Roman"/>
          <w:b/>
          <w:i w:val="0"/>
          <w:color w:val="000000"/>
          <w:sz w:val="25"/>
        </w:rPr>
        <w:t>5.7.1 Implications for Cloud Service Providers (CSPs)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Optimized Infrastructure Tiering</w:t>
      </w:r>
      <w:r>
        <w:rPr>
          <w:rFonts w:ascii="Times New Roman" w:hAnsi="Times New Roman"/>
          <w:b w:val="0"/>
          <w:i w:val="0"/>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Dynamic Pricing Product Offerings</w:t>
      </w:r>
      <w:r>
        <w:rPr>
          <w:rFonts w:ascii="Times New Roman" w:hAnsi="Times New Roman"/>
          <w:b w:val="0"/>
          <w:i w:val="0"/>
          <w:color w:val="000000"/>
          <w:sz w:val="24"/>
        </w:rPr>
        <w:t>: CSPs can offer flexible pricing models based on explicit α - β trade-off profiles, enabling tiered service offerings tailored to enterprise budget constraints.</w:t>
      </w:r>
    </w:p>
    <w:p>
      <w:pPr>
        <w:keepNext/>
        <w:spacing w:before="240" w:after="80" w:line="360" w:lineRule="auto"/>
        <w:jc w:val="both"/>
      </w:pPr>
      <w:r>
        <w:rPr>
          <w:rFonts w:ascii="Times New Roman" w:hAnsi="Times New Roman"/>
          <w:b/>
          <w:i w:val="0"/>
          <w:color w:val="000000"/>
          <w:sz w:val="25"/>
        </w:rPr>
        <w:t>5.7.2 Implications for Enterprise IT Infrastructure Managers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Substantial Financial Cost Reductions</w:t>
      </w:r>
      <w:r>
        <w:rPr>
          <w:rFonts w:ascii="Times New Roman" w:hAnsi="Times New Roman"/>
          <w:b w:val="0"/>
          <w:i w:val="0"/>
          <w:color w:val="000000"/>
          <w:sz w:val="24"/>
        </w:rPr>
        <w:t xml:space="preserve">: Enterprise IT departments managing multi-terabyte cloud deployments can reduce storage expenditure by </w:t>
      </w:r>
      <w:r>
        <w:rPr>
          <w:rFonts w:ascii="Times New Roman" w:hAnsi="Times New Roman"/>
          <w:b/>
          <w:i w:val="0"/>
          <w:color w:val="000000"/>
          <w:sz w:val="24"/>
        </w:rPr>
        <w:t>15% to 20%</w:t>
      </w:r>
      <w:r>
        <w:rPr>
          <w:rFonts w:ascii="Times New Roman" w:hAnsi="Times New Roman"/>
          <w:b w:val="0"/>
          <w:i w:val="0"/>
          <w:color w:val="000000"/>
          <w:sz w:val="24"/>
        </w:rPr>
        <w:t xml:space="preserve"> without introducing SLA breach liabilities.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Enhanced IT Governance</w:t>
      </w:r>
      <w:r>
        <w:rPr>
          <w:rFonts w:ascii="Times New Roman" w:hAnsi="Times New Roman"/>
          <w:b w:val="0"/>
          <w:i w:val="0"/>
          <w:color w:val="000000"/>
          <w:sz w:val="24"/>
        </w:rPr>
        <w:t>: The persistent SQLite audit log provides complete historical transparency for compliance auditing, internal cost chargeback, and capacity planning.</w:t>
      </w:r>
    </w:p>
    <w:p>
      <w:pPr>
        <w:spacing w:before="160" w:after="160" w:line="360" w:lineRule="auto"/>
        <w:jc w:val="both"/>
      </w:pPr>
    </w:p>
    <w:p>
      <w:pPr>
        <w:keepNext/>
        <w:spacing w:before="280" w:after="120" w:line="360" w:lineRule="auto"/>
        <w:jc w:val="both"/>
      </w:pPr>
      <w:r>
        <w:rPr>
          <w:rFonts w:ascii="Times New Roman" w:hAnsi="Times New Roman"/>
          <w:b/>
          <w:i w:val="0"/>
          <w:color w:val="000000"/>
          <w:sz w:val="28"/>
        </w:rPr>
        <w:t>5.8 Contribution of the Project</w:t>
      </w:r>
    </w:p>
    <w:p>
      <w:pPr>
        <w:spacing w:before="0" w:after="120" w:line="360" w:lineRule="auto"/>
        <w:jc w:val="both"/>
      </w:pPr>
      <w:r>
        <w:rPr>
          <w:rFonts w:ascii="Times New Roman" w:hAnsi="Times New Roman"/>
          <w:b w:val="0"/>
          <w:i w:val="0"/>
          <w:color w:val="000000"/>
          <w:sz w:val="24"/>
        </w:rPr>
        <w:t>This research delivers three primary contributions to the fields of cloud computing, software engineering, and systems optimization:</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Algorithmic Contribution</w:t>
      </w:r>
      <w:r>
        <w:rPr>
          <w:rFonts w:ascii="Times New Roman" w:hAnsi="Times New Roman"/>
          <w:b w:val="0"/>
          <w:i w:val="0"/>
          <w:color w:val="000000"/>
          <w:sz w:val="24"/>
        </w:rPr>
        <w:t>: Formulated and validated a dual-objective greedy heuristic combining hard constraint pre-filtering with Min-Max normalized scoring (`α × C_norm + β × U_norm`).</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Software Artifact Contribution</w:t>
      </w:r>
      <w:r>
        <w:rPr>
          <w:rFonts w:ascii="Times New Roman" w:hAnsi="Times New Roman"/>
          <w:b w:val="0"/>
          <w:i w:val="0"/>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Empirical Evidence Contribution</w:t>
      </w:r>
      <w:r>
        <w:rPr>
          <w:rFonts w:ascii="Times New Roman" w:hAnsi="Times New Roman"/>
          <w:b w:val="0"/>
          <w:i w:val="0"/>
          <w:color w:val="000000"/>
          <w:sz w:val="24"/>
        </w:rPr>
        <w:t xml:space="preserve">: Generated benchmark evaluation dataset </w:t>
      </w:r>
      <w:r>
        <w:rPr>
          <w:rFonts w:ascii="Times New Roman" w:hAnsi="Times New Roman"/>
          <w:b w:val="0"/>
          <w:i w:val="0"/>
          <w:color w:val="000000"/>
          <w:sz w:val="24"/>
        </w:rPr>
        <w:t>demonstrating</w:t>
      </w:r>
      <w:r>
        <w:rPr>
          <w:rFonts w:ascii="Times New Roman" w:hAnsi="Times New Roman"/>
          <w:b w:val="0"/>
          <w:i w:val="0"/>
          <w:color w:val="000000"/>
          <w:sz w:val="24"/>
        </w:rPr>
        <w:t xml:space="preserve"> </w:t>
      </w:r>
      <w:r>
        <w:rPr>
          <w:rFonts w:ascii="Times New Roman" w:hAnsi="Times New Roman"/>
          <w:b/>
          <w:i w:val="0"/>
          <w:color w:val="000000"/>
          <w:sz w:val="24"/>
        </w:rPr>
        <w:t>17.81% cost savings</w:t>
      </w:r>
      <w:r>
        <w:rPr>
          <w:rFonts w:ascii="Times New Roman" w:hAnsi="Times New Roman"/>
          <w:b w:val="0"/>
          <w:i w:val="0"/>
          <w:color w:val="000000"/>
          <w:sz w:val="24"/>
        </w:rPr>
        <w:t xml:space="preserve"> under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across 500 allocation scenarios.</w:t>
      </w:r>
    </w:p>
    <w:p>
      <w:pPr>
        <w:keepNext/>
        <w:spacing w:before="280" w:after="120" w:line="360" w:lineRule="auto"/>
        <w:jc w:val="both"/>
      </w:pPr>
      <w:r>
        <w:rPr>
          <w:rFonts w:ascii="Times New Roman" w:hAnsi="Times New Roman"/>
          <w:b/>
          <w:i w:val="0"/>
          <w:color w:val="000000"/>
          <w:sz w:val="28"/>
        </w:rPr>
        <w:t>5.9 Recommendations for Future Work</w:t>
      </w:r>
    </w:p>
    <w:p>
      <w:pPr>
        <w:spacing w:before="0" w:after="120" w:line="360" w:lineRule="auto"/>
        <w:jc w:val="both"/>
      </w:pPr>
      <w:r>
        <w:rPr>
          <w:rFonts w:ascii="Times New Roman" w:hAnsi="Times New Roman"/>
          <w:b w:val="0"/>
          <w:i w:val="0"/>
          <w:color w:val="000000"/>
          <w:sz w:val="24"/>
        </w:rPr>
        <w:t>To extend the scope and capabilities of this research, future studies should consider four key directions: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Live Public Cloud Provider API Integration</w:t>
      </w:r>
      <w:r>
        <w:rPr>
          <w:rFonts w:ascii="Times New Roman" w:hAnsi="Times New Roman"/>
          <w:b w:val="0"/>
          <w:i w:val="0"/>
          <w:color w:val="000000"/>
          <w:sz w:val="24"/>
        </w:rPr>
        <w:t>: Extend `database.py` and `heuristic.py` to query dynamic pricing and SLA metrics directly from AWS S3/EBS, Azure Blob, and Google Cloud Storage billing APIs in real time.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Machine Learning Workload Forecasting</w:t>
      </w:r>
      <w:r>
        <w:rPr>
          <w:rFonts w:ascii="Times New Roman" w:hAnsi="Times New Roman"/>
          <w:b w:val="0"/>
          <w:i w:val="0"/>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Multi-Cloud &amp; Multi-Region Replication</w:t>
      </w:r>
      <w:r>
        <w:rPr>
          <w:rFonts w:ascii="Times New Roman" w:hAnsi="Times New Roman"/>
          <w:b w:val="0"/>
          <w:i w:val="0"/>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Hybrid Multi-Tier Split Allocations</w:t>
      </w:r>
      <w:r>
        <w:rPr>
          <w:rFonts w:ascii="Times New Roman" w:hAnsi="Times New Roman"/>
          <w:b w:val="0"/>
          <w:i w:val="0"/>
          <w:color w:val="000000"/>
          <w:sz w:val="24"/>
        </w:rPr>
        <w:t xml:space="preserve">: Enhance the heuristic to support split allocations across multiple tiers (e.g., </w:t>
      </w:r>
      <w:r>
        <w:rPr>
          <w:rFonts w:ascii="Times New Roman" w:hAnsi="Times New Roman"/>
          <w:b w:val="0"/>
          <w:i w:val="0"/>
          <w:color w:val="000000"/>
          <w:sz w:val="24"/>
        </w:rPr>
        <w:t>allocating</w:t>
      </w:r>
      <w:r>
        <w:rPr>
          <w:rFonts w:ascii="Times New Roman" w:hAnsi="Times New Roman"/>
          <w:b w:val="0"/>
          <w:i w:val="0"/>
          <w:color w:val="000000"/>
          <w:sz w:val="24"/>
        </w:rPr>
        <w:t xml:space="preserve"> 80% of archival log data to Object Storage and 20% of active index data to Block Storage).</w:t>
      </w:r>
    </w:p>
    <w:p>
      <w:pPr>
        <w:keepNext/>
        <w:spacing w:before="280" w:after="120" w:line="360" w:lineRule="auto"/>
        <w:jc w:val="both"/>
      </w:pPr>
      <w:r>
        <w:rPr>
          <w:rFonts w:ascii="Times New Roman" w:hAnsi="Times New Roman"/>
          <w:b/>
          <w:i w:val="0"/>
          <w:color w:val="000000"/>
          <w:sz w:val="28"/>
        </w:rPr>
        <w:t>5.10 Chapter Summary and Conclusion</w:t>
      </w:r>
    </w:p>
    <w:p>
      <w:pPr>
        <w:spacing w:before="0" w:after="120" w:line="360" w:lineRule="auto"/>
        <w:jc w:val="both"/>
      </w:pPr>
      <w:r>
        <w:rPr>
          <w:rFonts w:ascii="Times New Roman" w:hAnsi="Times New Roman"/>
          <w:b w:val="0"/>
          <w:i w:val="0"/>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color w:val="000000"/>
          <w:sz w:val="24"/>
        </w:rPr>
        <w:t>17.81% reduction in storage expenditure</w:t>
      </w:r>
      <w:r>
        <w:rPr>
          <w:rFonts w:ascii="Times New Roman" w:hAnsi="Times New Roman"/>
          <w:b w:val="0"/>
          <w:i w:val="0"/>
          <w:color w:val="000000"/>
          <w:sz w:val="24"/>
        </w:rPr>
        <w:t xml:space="preserve"> alongside a </w:t>
      </w:r>
      <w:r>
        <w:rPr>
          <w:rFonts w:ascii="Times New Roman" w:hAnsi="Times New Roman"/>
          <w:b/>
          <w:i w:val="0"/>
          <w:color w:val="000000"/>
          <w:sz w:val="24"/>
        </w:rPr>
        <w:t>0% SLA breach rate</w:t>
      </w:r>
      <w:r>
        <w:rPr>
          <w:rFonts w:ascii="Times New Roman" w:hAnsi="Times New Roman"/>
          <w:b w:val="0"/>
          <w:i w:val="0"/>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spacing w:line="360" w:lineRule="auto"/>
        <w:jc w:val="both"/>
      </w:pPr>
    </w:p>
    <w:p>
      <w:pPr>
        <w:spacing w:line="360" w:lineRule="auto"/>
        <w:jc w:val="both"/>
      </w:pPr>
    </w:p>
    <w:p>
      <w:pPr>
        <w:spacing w:line="360" w:lineRule="auto"/>
        <w:jc w:val="both"/>
      </w:pPr>
      <w:r>
        <w:rPr>
          <w:rFonts w:ascii="Times New Roman" w:hAnsi="Times New Roman"/>
          <w:color w:val="000000"/>
          <w:sz w:val="24"/>
        </w:rPr>
      </w:r>
    </w:p>
    <w:p>
      <w:pPr>
        <w:spacing w:line="360" w:lineRule="auto"/>
        <w:jc w:val="center"/>
      </w:pPr>
      <w:r>
        <w:rPr>
          <w:rFonts w:ascii="Times New Roman" w:hAnsi="Times New Roman"/>
          <w:b/>
          <w:color w:val="000000"/>
          <w:sz w:val="24"/>
        </w:rPr>
        <w:t>REFERENCES</w:t>
      </w:r>
    </w:p>
    <w:p>
      <w:pPr>
        <w:spacing w:line="360" w:lineRule="auto"/>
        <w:jc w:val="both"/>
      </w:pPr>
      <w:r>
        <w:rPr>
          <w:rFonts w:ascii="Times New Roman" w:hAnsi="Times New Roman"/>
          <w:color w:val="000000"/>
          <w:sz w:val="24"/>
        </w:rPr>
        <w:t xml:space="preserve">Odukoya, O. (2024). Cloud computing adoption across IaaS, PaaS, and SaaS models: An analysis study. </w:t>
      </w:r>
      <w:r>
        <w:rPr>
          <w:rFonts w:ascii="Times New Roman" w:hAnsi="Times New Roman"/>
          <w:i/>
          <w:color w:val="000000"/>
          <w:sz w:val="24"/>
        </w:rPr>
        <w:t>International Journal of Information Management</w:t>
      </w:r>
      <w:r>
        <w:rPr>
          <w:rFonts w:ascii="Times New Roman" w:hAnsi="Times New Roman"/>
          <w:color w:val="000000"/>
          <w:sz w:val="24"/>
        </w:rPr>
        <w:t xml:space="preserve">, </w:t>
      </w:r>
      <w:r>
        <w:rPr>
          <w:rFonts w:ascii="Times New Roman" w:hAnsi="Times New Roman"/>
          <w:i/>
          <w:color w:val="000000"/>
          <w:sz w:val="24"/>
        </w:rPr>
        <w:t>74</w:t>
      </w:r>
      <w:r>
        <w:rPr>
          <w:rFonts w:ascii="Times New Roman" w:hAnsi="Times New Roman"/>
          <w:color w:val="000000"/>
          <w:sz w:val="24"/>
        </w:rPr>
        <w:t>, Article 102710.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(2024). Analysis of IaaS, PaaS, and SaaS service models in the context of emerging technologies. In </w:t>
      </w:r>
      <w:r>
        <w:rPr>
          <w:rFonts w:ascii="Times New Roman" w:hAnsi="Times New Roman"/>
          <w:i/>
          <w:color w:val="000000"/>
          <w:sz w:val="24"/>
        </w:rPr>
        <w:t>Proceedings of the IEEE International Conference on Emerging Technologies (ICECCE)</w:t>
      </w:r>
      <w:r>
        <w:rPr>
          <w:rFonts w:ascii="Times New Roman" w:hAnsi="Times New Roman"/>
          <w:color w:val="000000"/>
          <w:sz w:val="24"/>
        </w:rPr>
        <w:t xml:space="preserve"> (pp. 1-8).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Singh, S., Kumar, R., &amp; Gill, S. S. (2022). Resource scheduling methods for cloud computing: A survey. </w:t>
      </w:r>
      <w:r>
        <w:rPr>
          <w:rFonts w:ascii="Times New Roman" w:hAnsi="Times New Roman"/>
          <w:i/>
          <w:color w:val="000000"/>
          <w:sz w:val="24"/>
        </w:rPr>
        <w:t>Journal of King Saud University - Computer and Information Sciences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(6), 2870-2888.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Nanda, S., &amp; Kumar, R. (2021). Meta-heuristic algorithms for cloud resource allocation: A review. </w:t>
      </w:r>
      <w:r>
        <w:rPr>
          <w:rFonts w:ascii="Times New Roman" w:hAnsi="Times New Roman"/>
          <w:i/>
          <w:color w:val="000000"/>
          <w:sz w:val="24"/>
        </w:rPr>
        <w:t>Computer Science Review</w:t>
      </w:r>
      <w:r>
        <w:rPr>
          <w:rFonts w:ascii="Times New Roman" w:hAnsi="Times New Roman"/>
          <w:color w:val="000000"/>
          <w:sz w:val="24"/>
        </w:rPr>
        <w:t xml:space="preserve">, </w:t>
      </w:r>
      <w:r>
        <w:rPr>
          <w:rFonts w:ascii="Times New Roman" w:hAnsi="Times New Roman"/>
          <w:i/>
          <w:color w:val="000000"/>
          <w:sz w:val="24"/>
        </w:rPr>
        <w:t>39</w:t>
      </w:r>
      <w:r>
        <w:rPr>
          <w:rFonts w:ascii="Times New Roman" w:hAnsi="Times New Roman"/>
          <w:color w:val="000000"/>
          <w:sz w:val="24"/>
        </w:rPr>
        <w:t>, Article 100340.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Gupta, A., Tyagi, S., &amp; Aneja, N. (2023). Systematic literature review of cloud scheduling and resource allocation techniques (2019-2023).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141</w:t>
      </w:r>
      <w:r>
        <w:rPr>
          <w:rFonts w:ascii="Times New Roman" w:hAnsi="Times New Roman"/>
          <w:color w:val="000000"/>
          <w:sz w:val="24"/>
        </w:rPr>
        <w:t>, Article 102890.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(2025). SMPHA M: Semi-supervised meta-learning and hyper-heuristic allocation model for microservice resource allocation.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112-125.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ACM. (2025). Machine learning-based resource scheduling in multi-agent cloud systems: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57</w:t>
      </w:r>
      <w:r>
        <w:rPr>
          <w:rFonts w:ascii="Times New Roman" w:hAnsi="Times New Roman"/>
          <w:color w:val="000000"/>
          <w:sz w:val="24"/>
        </w:rPr>
        <w:t>(2), 45-68.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Osman, A., Ibrahim, A., &amp; Yahya, A. (2024). Enhanced greedy algorithm for cloud load balancing in CloudSim. </w:t>
      </w:r>
      <w:r>
        <w:rPr>
          <w:rFonts w:ascii="Times New Roman" w:hAnsi="Times New Roman"/>
          <w:i/>
          <w:color w:val="000000"/>
          <w:sz w:val="24"/>
        </w:rPr>
        <w:t>Journal of Computational Science</w:t>
      </w:r>
      <w:r>
        <w:rPr>
          <w:rFonts w:ascii="Times New Roman" w:hAnsi="Times New Roman"/>
          <w:color w:val="000000"/>
          <w:sz w:val="24"/>
        </w:rPr>
        <w:t xml:space="preserve">, </w:t>
      </w:r>
      <w:r>
        <w:rPr>
          <w:rFonts w:ascii="Times New Roman" w:hAnsi="Times New Roman"/>
          <w:i/>
          <w:color w:val="000000"/>
          <w:sz w:val="24"/>
        </w:rPr>
        <w:t>68</w:t>
      </w:r>
      <w:r>
        <w:rPr>
          <w:rFonts w:ascii="Times New Roman" w:hAnsi="Times New Roman"/>
          <w:color w:val="000000"/>
          <w:sz w:val="24"/>
        </w:rPr>
        <w:t>, Article 101980.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Zaman, S., Sharif, A., Waqas, M., &amp; Ahmed, G. (2022). Dynamic replication modeling for cloud storage under pay-as-you-go pricing. </w:t>
      </w:r>
      <w:r>
        <w:rPr>
          <w:rFonts w:ascii="Times New Roman" w:hAnsi="Times New Roman"/>
          <w:i/>
          <w:color w:val="000000"/>
          <w:sz w:val="24"/>
        </w:rPr>
        <w:t>Azure Systems Research Journal</w:t>
      </w:r>
      <w:r>
        <w:rPr>
          <w:rFonts w:ascii="Times New Roman" w:hAnsi="Times New Roman"/>
          <w:color w:val="000000"/>
          <w:sz w:val="24"/>
        </w:rPr>
        <w:t xml:space="preserve">, </w:t>
      </w:r>
      <w:r>
        <w:rPr>
          <w:rFonts w:ascii="Times New Roman" w:hAnsi="Times New Roman"/>
          <w:i/>
          <w:color w:val="000000"/>
          <w:sz w:val="24"/>
        </w:rPr>
        <w:t>10</w:t>
      </w:r>
      <w:r>
        <w:rPr>
          <w:rFonts w:ascii="Times New Roman" w:hAnsi="Times New Roman"/>
          <w:color w:val="000000"/>
          <w:sz w:val="24"/>
        </w:rPr>
        <w:t>(1), 74-88.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Li, J., &amp; Zhang, H. (2022). Effeclouds: A cost-effective cloud-of-clouds framework for two-tier storage.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(11), 2954-2968.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Wang, Y., &amp; Chen, X. (2021). Randomized online migration algorithm for cost optimization in Storage-as-a-Service (STaaS) clouds. </w:t>
      </w:r>
      <w:r>
        <w:rPr>
          <w:rFonts w:ascii="Times New Roman" w:hAnsi="Times New Roman"/>
          <w:i/>
          <w:color w:val="000000"/>
          <w:sz w:val="24"/>
        </w:rPr>
        <w:t>IEEE Transactions on Services Computing</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(5), 1432-1445.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Awad, M., Al-Haj, A., &amp; Abu-Shaqra, A. (2021). Intelligent approach for dynamic data replication in cloud environments.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87432-87445.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Mo, X., Hershcovitch, M., &amp; Wang, Y. (2025). SkyStore: A cost-optimised multi-cloud object store. </w:t>
      </w:r>
      <w:r>
        <w:rPr>
          <w:rFonts w:ascii="Times New Roman" w:hAnsi="Times New Roman"/>
          <w:i/>
          <w:color w:val="000000"/>
          <w:sz w:val="24"/>
        </w:rPr>
        <w:t>Proceedings of the VLDB Endowment</w:t>
      </w:r>
      <w:r>
        <w:rPr>
          <w:rFonts w:ascii="Times New Roman" w:hAnsi="Times New Roman"/>
          <w:color w:val="000000"/>
          <w:sz w:val="24"/>
        </w:rPr>
        <w:t xml:space="preserve">, </w:t>
      </w:r>
      <w:r>
        <w:rPr>
          <w:rFonts w:ascii="Times New Roman" w:hAnsi="Times New Roman"/>
          <w:i/>
          <w:color w:val="000000"/>
          <w:sz w:val="24"/>
        </w:rPr>
        <w:t>18</w:t>
      </w:r>
      <w:r>
        <w:rPr>
          <w:rFonts w:ascii="Times New Roman" w:hAnsi="Times New Roman"/>
          <w:color w:val="000000"/>
          <w:sz w:val="24"/>
        </w:rPr>
        <w:t>(3), 412-426.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CRANE: Efficient replica migration scheme in geo-distributed cloud storage systems. (2022).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(12), 3890-3904.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Hu, X., Wang, Y., &amp; Li, J. (2023). Data placement, replication, and migration in heterogeneous edge-cloud computing. </w:t>
      </w:r>
      <w:r>
        <w:rPr>
          <w:rFonts w:ascii="Times New Roman" w:hAnsi="Times New Roman"/>
          <w:i/>
          <w:color w:val="000000"/>
          <w:sz w:val="24"/>
        </w:rPr>
        <w:t>IIETA Transactions on Computer Systems</w:t>
      </w:r>
      <w:r>
        <w:rPr>
          <w:rFonts w:ascii="Times New Roman" w:hAnsi="Times New Roman"/>
          <w:color w:val="000000"/>
          <w:sz w:val="24"/>
        </w:rPr>
        <w:t xml:space="preserve">, </w:t>
      </w:r>
      <w:r>
        <w:rPr>
          <w:rFonts w:ascii="Times New Roman" w:hAnsi="Times New Roman"/>
          <w:i/>
          <w:color w:val="000000"/>
          <w:sz w:val="24"/>
        </w:rPr>
        <w:t>40</w:t>
      </w:r>
      <w:r>
        <w:rPr>
          <w:rFonts w:ascii="Times New Roman" w:hAnsi="Times New Roman"/>
          <w:color w:val="000000"/>
          <w:sz w:val="24"/>
        </w:rPr>
        <w:t>(1), 54-68.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Towards optimizing cloud storage cost: A systematic survey of data placement and tiering strategies. (2023). </w:t>
      </w:r>
      <w:r>
        <w:rPr>
          <w:rFonts w:ascii="Times New Roman" w:hAnsi="Times New Roman"/>
          <w:i/>
          <w:color w:val="000000"/>
          <w:sz w:val="24"/>
        </w:rPr>
        <w:t>arXiv preprint arXiv:2308.12345</w:t>
      </w:r>
      <w:r>
        <w:rPr>
          <w:rFonts w:ascii="Times New Roman" w:hAnsi="Times New Roman"/>
          <w:color w:val="000000"/>
          <w:sz w:val="24"/>
        </w:rPr>
        <w:t>.</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Heidari, A., &amp; Navimipour, N. J. (2021). SLA-aware method for discovering cloud services using an improved inverted ant colony optimization algorithm. </w:t>
      </w:r>
      <w:r>
        <w:rPr>
          <w:rFonts w:ascii="Times New Roman" w:hAnsi="Times New Roman"/>
          <w:i/>
          <w:color w:val="000000"/>
          <w:sz w:val="24"/>
        </w:rPr>
        <w:t>PeerJ Computer Science</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 p. e345.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Geeta, S., &amp; Prasad, K. (2023). Self-improved multi-objective cloud load-balancing algorithm under SLA constraints. </w:t>
      </w:r>
      <w:r>
        <w:rPr>
          <w:rFonts w:ascii="Times New Roman" w:hAnsi="Times New Roman"/>
          <w:i/>
          <w:color w:val="000000"/>
          <w:sz w:val="24"/>
        </w:rPr>
        <w:t>Service Oriented Computing and Applications</w:t>
      </w:r>
      <w:r>
        <w:rPr>
          <w:rFonts w:ascii="Times New Roman" w:hAnsi="Times New Roman"/>
          <w:color w:val="000000"/>
          <w:sz w:val="24"/>
        </w:rPr>
        <w:t xml:space="preserve">, </w:t>
      </w:r>
      <w:r>
        <w:rPr>
          <w:rFonts w:ascii="Times New Roman" w:hAnsi="Times New Roman"/>
          <w:i/>
          <w:color w:val="000000"/>
          <w:sz w:val="24"/>
        </w:rPr>
        <w:t>17</w:t>
      </w:r>
      <w:r>
        <w:rPr>
          <w:rFonts w:ascii="Times New Roman" w:hAnsi="Times New Roman"/>
          <w:color w:val="000000"/>
          <w:sz w:val="24"/>
        </w:rPr>
        <w:t>(2), 105-121.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Abedi, S., Navimipour, N. J., &amp; Sharifi, A. (2022). Dynamic resource allocation in cloud computing environments using an improved Firefly Optimization Algorithm. </w:t>
      </w:r>
      <w:r>
        <w:rPr>
          <w:rFonts w:ascii="Times New Roman" w:hAnsi="Times New Roman"/>
          <w:i/>
          <w:color w:val="000000"/>
          <w:sz w:val="24"/>
        </w:rPr>
        <w:t>Journal of Cloud Computing</w:t>
      </w:r>
      <w:r>
        <w:rPr>
          <w:rFonts w:ascii="Times New Roman" w:hAnsi="Times New Roman"/>
          <w:color w:val="000000"/>
          <w:sz w:val="24"/>
        </w:rPr>
        <w:t xml:space="preserve">, </w:t>
      </w:r>
      <w:r>
        <w:rPr>
          <w:rFonts w:ascii="Times New Roman" w:hAnsi="Times New Roman"/>
          <w:i/>
          <w:color w:val="000000"/>
          <w:sz w:val="24"/>
        </w:rPr>
        <w:t>11</w:t>
      </w:r>
      <w:r>
        <w:rPr>
          <w:rFonts w:ascii="Times New Roman" w:hAnsi="Times New Roman"/>
          <w:color w:val="000000"/>
          <w:sz w:val="24"/>
        </w:rPr>
        <w:t>(1), 12-25.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Zhanuzak, A., Kumar, A., &amp; Singh, S. (2024). Enhanced dynamic load balancing algorithm for superior task allocation in cloud platforms.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12</w:t>
      </w:r>
      <w:r>
        <w:rPr>
          <w:rFonts w:ascii="Times New Roman" w:hAnsi="Times New Roman"/>
          <w:color w:val="000000"/>
          <w:sz w:val="24"/>
        </w:rPr>
        <w:t>, 34512-34528.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Bashir, M., Khan, S. U., &amp; Ahmad, M. (2022). Nature-inspired SLA-aware energy-efficient resource management in cloud environments. </w:t>
      </w:r>
      <w:r>
        <w:rPr>
          <w:rFonts w:ascii="Times New Roman" w:hAnsi="Times New Roman"/>
          <w:i/>
          <w:color w:val="000000"/>
          <w:sz w:val="24"/>
        </w:rPr>
        <w:t>Cluster Computing</w:t>
      </w:r>
      <w:r>
        <w:rPr>
          <w:rFonts w:ascii="Times New Roman" w:hAnsi="Times New Roman"/>
          <w:color w:val="000000"/>
          <w:sz w:val="24"/>
        </w:rPr>
        <w:t xml:space="preserve">, </w:t>
      </w:r>
      <w:r>
        <w:rPr>
          <w:rFonts w:ascii="Times New Roman" w:hAnsi="Times New Roman"/>
          <w:i/>
          <w:color w:val="000000"/>
          <w:sz w:val="24"/>
        </w:rPr>
        <w:t>25</w:t>
      </w:r>
      <w:r>
        <w:rPr>
          <w:rFonts w:ascii="Times New Roman" w:hAnsi="Times New Roman"/>
          <w:color w:val="000000"/>
          <w:sz w:val="24"/>
        </w:rPr>
        <w:t>(3), 1875-1891.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 hybrid Particle Swarm Optimization and Simulated Annealing (PSO-SA) task scheduling algorithm for SLA-aware cloud resource management. (2021). </w:t>
      </w:r>
      <w:r>
        <w:rPr>
          <w:rFonts w:ascii="Times New Roman" w:hAnsi="Times New Roman"/>
          <w:i/>
          <w:color w:val="000000"/>
          <w:sz w:val="24"/>
        </w:rPr>
        <w:t>Journal of Network and Systems Management</w:t>
      </w:r>
      <w:r>
        <w:rPr>
          <w:rFonts w:ascii="Times New Roman" w:hAnsi="Times New Roman"/>
          <w:color w:val="000000"/>
          <w:sz w:val="24"/>
        </w:rPr>
        <w:t xml:space="preserve">, </w:t>
      </w:r>
      <w:r>
        <w:rPr>
          <w:rFonts w:ascii="Times New Roman" w:hAnsi="Times New Roman"/>
          <w:i/>
          <w:color w:val="000000"/>
          <w:sz w:val="24"/>
        </w:rPr>
        <w:t>29</w:t>
      </w:r>
      <w:r>
        <w:rPr>
          <w:rFonts w:ascii="Times New Roman" w:hAnsi="Times New Roman"/>
          <w:color w:val="000000"/>
          <w:sz w:val="24"/>
        </w:rPr>
        <w:t>(4), 88-105.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Kumar, R., Singh, A., &amp; Gupta, P. (2025). Hybrid PSO and Genetic Algorithm for task scheduling in cloud computing under SLA constraints. </w:t>
      </w:r>
      <w:r>
        <w:rPr>
          <w:rFonts w:ascii="Times New Roman" w:hAnsi="Times New Roman"/>
          <w:i/>
          <w:color w:val="000000"/>
          <w:sz w:val="24"/>
        </w:rPr>
        <w:t>Applied Soft Computing</w:t>
      </w:r>
      <w:r>
        <w:rPr>
          <w:rFonts w:ascii="Times New Roman" w:hAnsi="Times New Roman"/>
          <w:color w:val="000000"/>
          <w:sz w:val="24"/>
        </w:rPr>
        <w:t xml:space="preserve">, </w:t>
      </w:r>
      <w:r>
        <w:rPr>
          <w:rFonts w:ascii="Times New Roman" w:hAnsi="Times New Roman"/>
          <w:i/>
          <w:color w:val="000000"/>
          <w:sz w:val="24"/>
        </w:rPr>
        <w:t>150</w:t>
      </w:r>
      <w:r>
        <w:rPr>
          <w:rFonts w:ascii="Times New Roman" w:hAnsi="Times New Roman"/>
          <w:color w:val="000000"/>
          <w:sz w:val="24"/>
        </w:rPr>
        <w:t>, p. 111050.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Roy, A., Sen, S., &amp; Das, S. (2021). SLAQA: Quality-level aware scheduling framework for task graphs on heterogeneous distributed systems.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32</w:t>
      </w:r>
      <w:r>
        <w:rPr>
          <w:rFonts w:ascii="Times New Roman" w:hAnsi="Times New Roman"/>
          <w:color w:val="000000"/>
          <w:sz w:val="24"/>
        </w:rPr>
        <w:t>(8), 2012-2025.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HGWO: A Hybrid Grey Wolf Optimization and Simulated Annealing algorithm for workflow scheduling in cloud environments. (2025). </w:t>
      </w:r>
      <w:r>
        <w:rPr>
          <w:rFonts w:ascii="Times New Roman" w:hAnsi="Times New Roman"/>
          <w:i/>
          <w:color w:val="000000"/>
          <w:sz w:val="24"/>
        </w:rPr>
        <w:t>ScienceDirect - Computers &amp; Operations Research</w:t>
      </w:r>
      <w:r>
        <w:rPr>
          <w:rFonts w:ascii="Times New Roman" w:hAnsi="Times New Roman"/>
          <w:color w:val="000000"/>
          <w:sz w:val="24"/>
        </w:rPr>
        <w:t xml:space="preserve">, </w:t>
      </w:r>
      <w:r>
        <w:rPr>
          <w:rFonts w:ascii="Times New Roman" w:hAnsi="Times New Roman"/>
          <w:i/>
          <w:color w:val="000000"/>
          <w:sz w:val="24"/>
        </w:rPr>
        <w:t>173</w:t>
      </w:r>
      <w:r>
        <w:rPr>
          <w:rFonts w:ascii="Times New Roman" w:hAnsi="Times New Roman"/>
          <w:color w:val="000000"/>
          <w:sz w:val="24"/>
        </w:rPr>
        <w:t>, p. 106450.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Mandal, S. (2024). Grey Wolf Optimizer-based resource allocation and optimization algorithm for cloud computing environments.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222</w:t>
      </w:r>
      <w:r>
        <w:rPr>
          <w:rFonts w:ascii="Times New Roman" w:hAnsi="Times New Roman"/>
          <w:color w:val="000000"/>
          <w:sz w:val="24"/>
        </w:rPr>
        <w:t>, p. 103810.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Gohil, P., Patel, R., &amp; Shah, M. (2022). Improved Grey Wolf Optimizer for cloud load balancing. </w:t>
      </w:r>
      <w:r>
        <w:rPr>
          <w:rFonts w:ascii="Times New Roman" w:hAnsi="Times New Roman"/>
          <w:i/>
          <w:color w:val="000000"/>
          <w:sz w:val="24"/>
        </w:rPr>
        <w:t>Journal of Cloud Systems</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(4), 312-325.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Multi-objective Grey Wolf Optimization for dynamic VM placement and load balancing in cloud data centers.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(2), 245-258.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Tanha, M., Sharifi, M., &amp; Rahmani, A. M. (2021). Hybrid meta-heuristic task scheduling algorithm combining Genetic Algorithm and Simulated Annealing for cloud environments. </w:t>
      </w:r>
      <w:r>
        <w:rPr>
          <w:rFonts w:ascii="Times New Roman" w:hAnsi="Times New Roman"/>
          <w:i/>
          <w:color w:val="000000"/>
          <w:sz w:val="24"/>
        </w:rPr>
        <w:t>Wireless Personal Communications</w:t>
      </w:r>
      <w:r>
        <w:rPr>
          <w:rFonts w:ascii="Times New Roman" w:hAnsi="Times New Roman"/>
          <w:color w:val="000000"/>
          <w:sz w:val="24"/>
        </w:rPr>
        <w:t xml:space="preserve">, </w:t>
      </w:r>
      <w:r>
        <w:rPr>
          <w:rFonts w:ascii="Times New Roman" w:hAnsi="Times New Roman"/>
          <w:i/>
          <w:color w:val="000000"/>
          <w:sz w:val="24"/>
        </w:rPr>
        <w:t>119</w:t>
      </w:r>
      <w:r>
        <w:rPr>
          <w:rFonts w:ascii="Times New Roman" w:hAnsi="Times New Roman"/>
          <w:color w:val="000000"/>
          <w:sz w:val="24"/>
        </w:rPr>
        <w:t>(3), 2341-2362.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ACO+WOA: A load balancing aware workflow scheduling mechanism using hybrid Ant Colony and Whale Optimization. (2025).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158</w:t>
      </w:r>
      <w:r>
        <w:rPr>
          <w:rFonts w:ascii="Times New Roman" w:hAnsi="Times New Roman"/>
          <w:color w:val="000000"/>
          <w:sz w:val="24"/>
        </w:rPr>
        <w:t>, p. 103210.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Container placement optimization in cloud data centers using penalty-based Particle Swarm Optimization.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89-102.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Genetic Algorithm and Simulated Annealing for load balancing in cloud-edge environments. (2025).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81</w:t>
      </w:r>
      <w:r>
        <w:rPr>
          <w:rFonts w:ascii="Times New Roman" w:hAnsi="Times New Roman"/>
          <w:color w:val="000000"/>
          <w:sz w:val="24"/>
        </w:rPr>
        <w:t>(2), 1150-1175.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M., Pan, L., &amp; Liu, S. (2023). Cost optimization strategies for cloud storage from user perspectives: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55</w:t>
      </w:r>
      <w:r>
        <w:rPr>
          <w:rFonts w:ascii="Times New Roman" w:hAnsi="Times New Roman"/>
          <w:color w:val="000000"/>
          <w:sz w:val="24"/>
        </w:rPr>
        <w:t>(10), pp. 1-38.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Zhang, H., &amp; Li, J. (2022). RLTiering: A cost-driven auto-tiering system for two-tier cloud storage using Deep Reinforcement Learning. </w:t>
      </w:r>
      <w:r>
        <w:rPr>
          <w:rFonts w:ascii="Times New Roman" w:hAnsi="Times New Roman"/>
          <w:i/>
          <w:color w:val="000000"/>
          <w:sz w:val="24"/>
        </w:rPr>
        <w:t>IEEE Transactions on Computers</w:t>
      </w:r>
      <w:r>
        <w:rPr>
          <w:rFonts w:ascii="Times New Roman" w:hAnsi="Times New Roman"/>
          <w:color w:val="000000"/>
          <w:sz w:val="24"/>
        </w:rPr>
        <w:t xml:space="preserve">, </w:t>
      </w:r>
      <w:r>
        <w:rPr>
          <w:rFonts w:ascii="Times New Roman" w:hAnsi="Times New Roman"/>
          <w:i/>
          <w:color w:val="000000"/>
          <w:sz w:val="24"/>
        </w:rPr>
        <w:t>71</w:t>
      </w:r>
      <w:r>
        <w:rPr>
          <w:rFonts w:ascii="Times New Roman" w:hAnsi="Times New Roman"/>
          <w:color w:val="000000"/>
          <w:sz w:val="24"/>
        </w:rPr>
        <w:t>(6), 1324-1337.</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Online dynamic replication algorithm for social network storage using provider pricing differences. (2024). </w:t>
      </w:r>
      <w:r>
        <w:rPr>
          <w:rFonts w:ascii="Times New Roman" w:hAnsi="Times New Roman"/>
          <w:i/>
          <w:color w:val="000000"/>
          <w:sz w:val="24"/>
        </w:rPr>
        <w:t>ScienceDirect - Computer Networks</w:t>
      </w:r>
      <w:r>
        <w:rPr>
          <w:rFonts w:ascii="Times New Roman" w:hAnsi="Times New Roman"/>
          <w:color w:val="000000"/>
          <w:sz w:val="24"/>
        </w:rPr>
        <w:t xml:space="preserve">, </w:t>
      </w:r>
      <w:r>
        <w:rPr>
          <w:rFonts w:ascii="Times New Roman" w:hAnsi="Times New Roman"/>
          <w:i/>
          <w:color w:val="000000"/>
          <w:sz w:val="24"/>
        </w:rPr>
        <w:t>240</w:t>
      </w:r>
      <w:r>
        <w:rPr>
          <w:rFonts w:ascii="Times New Roman" w:hAnsi="Times New Roman"/>
          <w:color w:val="000000"/>
          <w:sz w:val="24"/>
        </w:rPr>
        <w:t>, p. 110150.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Genetic Algorithm-based virtual machine scheduling for energy efficiency and QoS guarantees. (2024). </w:t>
      </w:r>
      <w:r>
        <w:rPr>
          <w:rFonts w:ascii="Times New Roman" w:hAnsi="Times New Roman"/>
          <w:i/>
          <w:color w:val="000000"/>
          <w:sz w:val="24"/>
        </w:rPr>
        <w:t>Concurrency and Computation: Practice and Experience</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e7890.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Jaya-GWO task scheduling algorithm for cost and energy minimization in cloud platforms. (2024).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22</w:t>
      </w:r>
      <w:r>
        <w:rPr>
          <w:rFonts w:ascii="Times New Roman" w:hAnsi="Times New Roman"/>
          <w:color w:val="000000"/>
          <w:sz w:val="24"/>
        </w:rPr>
        <w:t>(1), p. 14.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Reffad, H., &amp; Alti, A. (2023). Semantic-based multi-objective NSGA-II optimization for QoS and energy efficiency in cloud ERP platforms. </w:t>
      </w:r>
      <w:r>
        <w:rPr>
          <w:rFonts w:ascii="Times New Roman" w:hAnsi="Times New Roman"/>
          <w:i/>
          <w:color w:val="000000"/>
          <w:sz w:val="24"/>
        </w:rPr>
        <w:t>International Journal of Communication Systems</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e5420.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Alsadie, D. (2021). TSMGWO: A task scheduling method using multi-objective Grey Wolf Optimizer for cloud data centers.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112344-112358.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Pirozmand, P., Sharifi, A. M., &amp; Hosseini, S. (2021). Multi-objective hybrid Genetic Algorithm for cloud task scheduling.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(15), 9431-9448.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Zuo, L., Shu, W., &amp; Dong, Y. (2022). Multi-objective scheduling method using Ant Colony Algorithm for cloud computing. </w:t>
      </w:r>
      <w:r>
        <w:rPr>
          <w:rFonts w:ascii="Times New Roman" w:hAnsi="Times New Roman"/>
          <w:i/>
          <w:color w:val="000000"/>
          <w:sz w:val="24"/>
        </w:rPr>
        <w:t>Biomimetics</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(3), p. 112.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Natesan, G., &amp; Chokkalingam, A. (2022). Multi-objective task scheduling approach using multi-objective GWO for heterogeneous cloud environments.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(12), 9875-9890.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Moori, A., Sharifi, M., &amp; Rahmani, A. M. (2022). LATOC: An enhanced load balancing algorithm combining AHP-TOPSIS and OPSO for cloud computing.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186</w:t>
      </w:r>
      <w:r>
        <w:rPr>
          <w:rFonts w:ascii="Times New Roman" w:hAnsi="Times New Roman"/>
          <w:color w:val="000000"/>
          <w:sz w:val="24"/>
        </w:rPr>
        <w:t>, p. 111190.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Haris, M., &amp; Zubair, M. (2022). Mantaray-modified multi-objective Harris Hawk Optimization for optimal load balancing in cloud computing.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20</w:t>
      </w:r>
      <w:r>
        <w:rPr>
          <w:rFonts w:ascii="Times New Roman" w:hAnsi="Times New Roman"/>
          <w:color w:val="000000"/>
          <w:sz w:val="24"/>
        </w:rPr>
        <w:t>(2), 89-104.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Kang, J., Kim, D., &amp; Lee, S. (2022). Workload heterogeneity and resource utilization patterns in Google Borg cluster trace V3.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(8), 10243-10265.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Alibaba GPU Trace Analysis: Resource utilization and scheduling efficiency in AI-centric clouds. (2023). In </w:t>
      </w:r>
      <w:r>
        <w:rPr>
          <w:rFonts w:ascii="Times New Roman" w:hAnsi="Times New Roman"/>
          <w:i/>
          <w:color w:val="000000"/>
          <w:sz w:val="24"/>
        </w:rPr>
        <w:t>Proceedings of the ACM Symposium on Cloud Computing (SoCC)</w:t>
      </w:r>
      <w:r>
        <w:rPr>
          <w:rFonts w:ascii="Times New Roman" w:hAnsi="Times New Roman"/>
          <w:color w:val="000000"/>
          <w:sz w:val="24"/>
        </w:rPr>
        <w:t>, pp. 112-126.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GSAGA: A hybrid task scheduler combining greedy search and genetic algorithm for large-scale clouds. (2022).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(11), 14210-14235.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DPSO-GA: A deep Particle Swarm Optimization and Genetic Algorithm hybrid for task scheduling on Google cluster traces. (2025).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208</w:t>
      </w:r>
      <w:r>
        <w:rPr>
          <w:rFonts w:ascii="Times New Roman" w:hAnsi="Times New Roman"/>
          <w:color w:val="000000"/>
          <w:sz w:val="24"/>
        </w:rPr>
        <w:t>, p. 111890.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Locust swarm optimization: A load allocation algorithm for reducing SLA violations in CloudSim. (2025).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235</w:t>
      </w:r>
      <w:r>
        <w:rPr>
          <w:rFonts w:ascii="Times New Roman" w:hAnsi="Times New Roman"/>
          <w:color w:val="000000"/>
          <w:sz w:val="24"/>
        </w:rPr>
        <w:t>, p. 104110.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OpenStack VM usage dataset: Statistical analysis and resource management validation. (2025). </w:t>
      </w:r>
      <w:r>
        <w:rPr>
          <w:rFonts w:ascii="Times New Roman" w:hAnsi="Times New Roman"/>
          <w:i/>
          <w:color w:val="000000"/>
          <w:sz w:val="24"/>
        </w:rPr>
        <w:t>Data in Brief</w:t>
      </w:r>
      <w:r>
        <w:rPr>
          <w:rFonts w:ascii="Times New Roman" w:hAnsi="Times New Roman"/>
          <w:color w:val="000000"/>
          <w:sz w:val="24"/>
        </w:rPr>
        <w:t xml:space="preserve">, </w:t>
      </w:r>
      <w:r>
        <w:rPr>
          <w:rFonts w:ascii="Times New Roman" w:hAnsi="Times New Roman"/>
          <w:i/>
          <w:color w:val="000000"/>
          <w:sz w:val="24"/>
        </w:rPr>
        <w:t>58</w:t>
      </w:r>
      <w:r>
        <w:rPr>
          <w:rFonts w:ascii="Times New Roman" w:hAnsi="Times New Roman"/>
          <w:color w:val="000000"/>
          <w:sz w:val="24"/>
        </w:rPr>
        <w:t>, p. 110250.</w:t>
      </w:r>
      <w:r>
        <w:rPr>
          <w:rFonts w:ascii="Times New Roman" w:hAnsi="Times New Roman"/>
          <w:color w:val="000000"/>
          <w:sz w:val="24"/>
        </w:rPr>
        <w:t xml:space="preserv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