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60"/>
      </w:pPr>
      <w:r>
        <w:rPr>
          <w:rFonts w:ascii="Times New Roman" w:hAnsi="Times New Roman"/>
          <w:b/>
          <w:color w:val="0F172A"/>
          <w:sz w:val="32"/>
        </w:rPr>
        <w:t>CHAPTER FOUR: SYSTEM IMPLEMENTATION, TESTING AND RESULTS</w:t>
      </w:r>
    </w:p>
    <w:p>
      <w:pPr>
        <w:keepNext/>
        <w:spacing w:before="280" w:after="120"/>
      </w:pPr>
      <w:r>
        <w:rPr>
          <w:rFonts w:ascii="Times New Roman" w:hAnsi="Times New Roman"/>
          <w:b/>
          <w:color w:val="1E293B"/>
          <w:sz w:val="28"/>
        </w:rPr>
        <w:t>4.0 Introduction</w:t>
      </w:r>
    </w:p>
    <w:p>
      <w:pPr>
        <w:spacing w:before="0" w:after="120" w:line="276" w:lineRule="auto"/>
      </w:pPr>
      <w:r>
        <w:rPr>
          <w:rFonts w:ascii="Times New Roman" w:hAnsi="Times New Roman"/>
          <w:color w:val="0F172A"/>
          <w:sz w:val="23"/>
        </w:rPr>
        <w:t xml:space="preserve">This chapter details the software implementation, architecture, interface design, empirical testing procedures, and experimental evaluation for the </w:t>
      </w:r>
      <w:r>
        <w:rPr>
          <w:rFonts w:ascii="Times New Roman" w:hAnsi="Times New Roman"/>
          <w:b/>
          <w:color w:val="0F172A"/>
          <w:sz w:val="23"/>
        </w:rPr>
        <w:t>Heuristics Approach to Storage Resource Allocation for Cost Reduction and SLA-Aware Availability</w:t>
      </w:r>
      <w:r>
        <w:rPr>
          <w:rFonts w:ascii="Times New Roman" w:hAnsi="Times New Roman"/>
          <w:color w:val="0F172A"/>
          <w:sz w:val="23"/>
        </w:rPr>
        <w:t>. Following the Design Science methodology and dual-objective mathematical formulation established in Chapter Three, this implementation translates multi-objective greedy scoring algorithms, Min-Max normalization, automated workload storage estimation models, and relational SQLite schema definitions into a production-grade interactive cloud storage optimization platform.</w:t>
      </w:r>
    </w:p>
    <w:p>
      <w:pPr>
        <w:spacing w:before="0" w:after="120" w:line="276" w:lineRule="auto"/>
      </w:pPr>
      <w:r>
        <w:rPr>
          <w:rFonts w:ascii="Times New Roman" w:hAnsi="Times New Roman"/>
          <w:color w:val="0F172A"/>
          <w:sz w:val="23"/>
        </w:rPr>
        <w:t xml:space="preserve">The system provides a real-time web-based simulation environment that enables cloud infrastructure administrators to optimize cloud storage tier allocation (Block, File, Object) against strict Service Level Agreement (SLA) availability constraints and max access latency thresholds while minimizing total operational expenditures. Furthermore, the platform features an </w:t>
      </w:r>
      <w:r>
        <w:rPr>
          <w:rFonts w:ascii="Times New Roman" w:hAnsi="Times New Roman"/>
          <w:b/>
          <w:color w:val="0F172A"/>
          <w:sz w:val="23"/>
        </w:rPr>
        <w:t>Automatic Storage Size Suggestion Engine</w:t>
      </w:r>
      <w:r>
        <w:rPr>
          <w:rFonts w:ascii="Times New Roman" w:hAnsi="Times New Roman"/>
          <w:color w:val="0F172A"/>
          <w:sz w:val="23"/>
        </w:rPr>
        <w:t xml:space="preserve"> that calculates required storage capacity based on enterprise workload profiles.</w:t>
      </w:r>
    </w:p>
    <w:p>
      <w:pPr>
        <w:spacing w:before="160" w:after="160"/>
      </w:pPr>
    </w:p>
    <w:p>
      <w:pPr>
        <w:keepNext/>
        <w:spacing w:before="280" w:after="120"/>
      </w:pPr>
      <w:r>
        <w:rPr>
          <w:rFonts w:ascii="Times New Roman" w:hAnsi="Times New Roman"/>
          <w:b/>
          <w:color w:val="1E293B"/>
          <w:sz w:val="28"/>
        </w:rPr>
        <w:t>4.1 Development Environment and Setup</w:t>
      </w:r>
    </w:p>
    <w:p>
      <w:pPr>
        <w:spacing w:before="0" w:after="120" w:line="276" w:lineRule="auto"/>
      </w:pPr>
      <w:r>
        <w:rPr>
          <w:rFonts w:ascii="Times New Roman" w:hAnsi="Times New Roman"/>
          <w:color w:val="0F172A"/>
          <w:sz w:val="23"/>
        </w:rPr>
        <w:t>The software system was constructed and benchmarked within a Linux workstation runtime environment (Ubuntu 22.04 LTS kernel) executing Python 3.8+. The application software stack relies entirely on open-source, highly performant scientific computing and web development libraries.</w:t>
      </w:r>
    </w:p>
    <w:p>
      <w:pPr>
        <w:keepNext/>
        <w:spacing w:before="240" w:after="80"/>
      </w:pPr>
      <w:r>
        <w:rPr>
          <w:rFonts w:ascii="Times New Roman" w:hAnsi="Times New Roman"/>
          <w:b/>
          <w:color w:val="334155"/>
          <w:sz w:val="25"/>
        </w:rPr>
        <w:t>Table 4.1: System Development Environment Specifications</w:t>
      </w:r>
    </w:p>
    <w:tbl>
      <w:tblPr>
        <w:tblW w:type="auto" w:w="0"/>
        <w:jc w:val="center"/>
        <w:tblLook w:firstColumn="1" w:firstRow="1" w:lastColumn="0" w:lastRow="0" w:noHBand="0" w:noVBand="1" w:val="04A0"/>
      </w:tblPr>
      <w:tblGrid>
        <w:gridCol w:w="3120"/>
        <w:gridCol w:w="3120"/>
        <w:gridCol w:w="3120"/>
      </w:tblGrid>
      <w:tr>
        <w:tc>
          <w:tcPr>
            <w:tcW w:type="dxa" w:w="3120"/>
            <w:shd w:fill="1E293B"/>
            <w:tcMar>
              <w:top w:w="140" w:type="dxa"/>
              <w:bottom w:w="140" w:type="dxa"/>
              <w:left w:w="180" w:type="dxa"/>
              <w:right w:w="180" w:type="dxa"/>
            </w:tcMar>
          </w:tcPr>
          <w:p>
            <w:pPr>
              <w:jc w:val="left"/>
            </w:pPr>
            <w:r>
              <w:rPr>
                <w:rFonts w:ascii="Times New Roman" w:hAnsi="Times New Roman"/>
                <w:b/>
                <w:color w:val="FFFFFF"/>
                <w:sz w:val="21"/>
              </w:rPr>
              <w:t>Environment Component</w:t>
            </w:r>
          </w:p>
        </w:tc>
        <w:tc>
          <w:tcPr>
            <w:tcW w:type="dxa" w:w="3120"/>
            <w:shd w:fill="1E293B"/>
            <w:tcMar>
              <w:top w:w="140" w:type="dxa"/>
              <w:bottom w:w="140" w:type="dxa"/>
              <w:left w:w="180" w:type="dxa"/>
              <w:right w:w="180" w:type="dxa"/>
            </w:tcMar>
          </w:tcPr>
          <w:p>
            <w:pPr>
              <w:jc w:val="left"/>
            </w:pPr>
            <w:r>
              <w:rPr>
                <w:rFonts w:ascii="Times New Roman" w:hAnsi="Times New Roman"/>
                <w:b/>
                <w:color w:val="FFFFFF"/>
                <w:sz w:val="21"/>
              </w:rPr>
              <w:t>Specification / Tool</w:t>
            </w:r>
          </w:p>
        </w:tc>
        <w:tc>
          <w:tcPr>
            <w:tcW w:type="dxa" w:w="3120"/>
            <w:shd w:fill="1E293B"/>
            <w:tcMar>
              <w:top w:w="140" w:type="dxa"/>
              <w:bottom w:w="140" w:type="dxa"/>
              <w:left w:w="180" w:type="dxa"/>
              <w:right w:w="180" w:type="dxa"/>
            </w:tcMar>
          </w:tcPr>
          <w:p>
            <w:pPr>
              <w:jc w:val="left"/>
            </w:pPr>
            <w:r>
              <w:rPr>
                <w:rFonts w:ascii="Times New Roman" w:hAnsi="Times New Roman"/>
                <w:b/>
                <w:color w:val="FFFFFF"/>
                <w:sz w:val="21"/>
              </w:rPr>
              <w:t>Purpose &amp; Usage</w:t>
            </w:r>
          </w:p>
        </w:tc>
      </w:tr>
      <w:tr>
        <w:tc>
          <w:tcPr>
            <w:tcW w:type="dxa" w:w="3120"/>
            <w:shd w:fill="FFFFFF"/>
            <w:tcMar>
              <w:top w:w="100" w:type="dxa"/>
              <w:bottom w:w="100" w:type="dxa"/>
              <w:left w:w="150" w:type="dxa"/>
              <w:right w:w="150" w:type="dxa"/>
            </w:tcMar>
          </w:tcPr>
          <w:p>
            <w:pPr>
              <w:jc w:val="left"/>
            </w:pPr>
            <w:r>
              <w:rPr>
                <w:rFonts w:ascii="Times New Roman" w:hAnsi="Times New Roman"/>
                <w:color w:val="0F172A"/>
                <w:sz w:val="20"/>
              </w:rPr>
              <w:t>**Operating System**</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Linux (64-bit Kernel v6.5)</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Low-latency host runtime execution environment</w:t>
            </w:r>
          </w:p>
        </w:tc>
      </w:tr>
      <w:tr>
        <w:tc>
          <w:tcPr>
            <w:tcW w:type="dxa" w:w="3120"/>
            <w:shd w:fill="F8FAFC"/>
            <w:tcMar>
              <w:top w:w="100" w:type="dxa"/>
              <w:bottom w:w="100" w:type="dxa"/>
              <w:left w:w="150" w:type="dxa"/>
              <w:right w:w="150" w:type="dxa"/>
            </w:tcMar>
          </w:tcPr>
          <w:p>
            <w:pPr>
              <w:jc w:val="left"/>
            </w:pPr>
            <w:r>
              <w:rPr>
                <w:rFonts w:ascii="Times New Roman" w:hAnsi="Times New Roman"/>
                <w:color w:val="0F172A"/>
                <w:sz w:val="20"/>
              </w:rPr>
              <w:t>**Programming Language**</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Python 3.8+</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Core algorithm implementation and server logic</w:t>
            </w:r>
          </w:p>
        </w:tc>
      </w:tr>
      <w:tr>
        <w:tc>
          <w:tcPr>
            <w:tcW w:type="dxa" w:w="3120"/>
            <w:shd w:fill="FFFFFF"/>
            <w:tcMar>
              <w:top w:w="100" w:type="dxa"/>
              <w:bottom w:w="100" w:type="dxa"/>
              <w:left w:w="150" w:type="dxa"/>
              <w:right w:w="150" w:type="dxa"/>
            </w:tcMar>
          </w:tcPr>
          <w:p>
            <w:pPr>
              <w:jc w:val="left"/>
            </w:pPr>
            <w:r>
              <w:rPr>
                <w:rFonts w:ascii="Times New Roman" w:hAnsi="Times New Roman"/>
                <w:color w:val="0F172A"/>
                <w:sz w:val="20"/>
              </w:rPr>
              <w:t>**Web UI Framework**</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Streamlit 1.30+</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Reactive single-page web dashboard framework</w:t>
            </w:r>
          </w:p>
        </w:tc>
      </w:tr>
      <w:tr>
        <w:tc>
          <w:tcPr>
            <w:tcW w:type="dxa" w:w="3120"/>
            <w:shd w:fill="F8FAFC"/>
            <w:tcMar>
              <w:top w:w="100" w:type="dxa"/>
              <w:bottom w:w="100" w:type="dxa"/>
              <w:left w:w="150" w:type="dxa"/>
              <w:right w:w="150" w:type="dxa"/>
            </w:tcMar>
          </w:tcPr>
          <w:p>
            <w:pPr>
              <w:jc w:val="left"/>
            </w:pPr>
            <w:r>
              <w:rPr>
                <w:rFonts w:ascii="Times New Roman" w:hAnsi="Times New Roman"/>
                <w:color w:val="0F172A"/>
                <w:sz w:val="20"/>
              </w:rPr>
              <w:t>**Data Processing**</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Pandas 2.0+ &amp; NumPy 1.24+</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Dataframe handling, vectorization, and Min-Max scaling</w:t>
            </w:r>
          </w:p>
        </w:tc>
      </w:tr>
      <w:tr>
        <w:tc>
          <w:tcPr>
            <w:tcW w:type="dxa" w:w="3120"/>
            <w:shd w:fill="FFFFFF"/>
            <w:tcMar>
              <w:top w:w="100" w:type="dxa"/>
              <w:bottom w:w="100" w:type="dxa"/>
              <w:left w:w="150" w:type="dxa"/>
              <w:right w:w="150" w:type="dxa"/>
            </w:tcMar>
          </w:tcPr>
          <w:p>
            <w:pPr>
              <w:jc w:val="left"/>
            </w:pPr>
            <w:r>
              <w:rPr>
                <w:rFonts w:ascii="Times New Roman" w:hAnsi="Times New Roman"/>
                <w:color w:val="0F172A"/>
                <w:sz w:val="20"/>
              </w:rPr>
              <w:t>**Data Visualization**</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Plotly Express 5.18+</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Dynamic interactive chart &amp; distribution graph rendering</w:t>
            </w:r>
          </w:p>
        </w:tc>
      </w:tr>
      <w:tr>
        <w:tc>
          <w:tcPr>
            <w:tcW w:type="dxa" w:w="3120"/>
            <w:shd w:fill="F8FAFC"/>
            <w:tcMar>
              <w:top w:w="100" w:type="dxa"/>
              <w:bottom w:w="100" w:type="dxa"/>
              <w:left w:w="150" w:type="dxa"/>
              <w:right w:w="150" w:type="dxa"/>
            </w:tcMar>
          </w:tcPr>
          <w:p>
            <w:pPr>
              <w:jc w:val="left"/>
            </w:pPr>
            <w:r>
              <w:rPr>
                <w:rFonts w:ascii="Times New Roman" w:hAnsi="Times New Roman"/>
                <w:color w:val="0F172A"/>
                <w:sz w:val="20"/>
              </w:rPr>
              <w:t>**Database Engine**</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SQLite3</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Relational database engine for allocation logs and tier schemas</w:t>
            </w:r>
          </w:p>
        </w:tc>
      </w:tr>
      <w:tr>
        <w:tc>
          <w:tcPr>
            <w:tcW w:type="dxa" w:w="3120"/>
            <w:shd w:fill="FFFFFF"/>
            <w:tcMar>
              <w:top w:w="100" w:type="dxa"/>
              <w:bottom w:w="100" w:type="dxa"/>
              <w:left w:w="150" w:type="dxa"/>
              <w:right w:w="150" w:type="dxa"/>
            </w:tcMar>
          </w:tcPr>
          <w:p>
            <w:pPr>
              <w:jc w:val="left"/>
            </w:pPr>
            <w:r>
              <w:rPr>
                <w:rFonts w:ascii="Times New Roman" w:hAnsi="Times New Roman"/>
                <w:color w:val="0F172A"/>
                <w:sz w:val="20"/>
              </w:rPr>
              <w:t>**Browser Engine**</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Chromium (Playwright headless)</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Automated system verification and interface capture</w:t>
            </w:r>
          </w:p>
        </w:tc>
      </w:tr>
      <w:tr>
        <w:tc>
          <w:tcPr>
            <w:tcW w:type="dxa" w:w="3120"/>
            <w:shd w:fill="F8FAFC"/>
            <w:tcMar>
              <w:top w:w="100" w:type="dxa"/>
              <w:bottom w:w="100" w:type="dxa"/>
              <w:left w:w="150" w:type="dxa"/>
              <w:right w:w="150" w:type="dxa"/>
            </w:tcMar>
          </w:tcPr>
          <w:p>
            <w:pPr>
              <w:jc w:val="left"/>
            </w:pPr>
            <w:r>
              <w:rPr>
                <w:rFonts w:ascii="Times New Roman" w:hAnsi="Times New Roman"/>
                <w:color w:val="0F172A"/>
                <w:sz w:val="20"/>
              </w:rPr>
              <w:t>**Development IDE**</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Visual Studio Code</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Code editing, debugging, linting, and script execution</w:t>
            </w:r>
          </w:p>
        </w:tc>
      </w:tr>
    </w:tbl>
    <w:p>
      <w:pPr>
        <w:spacing w:after="120"/>
      </w:pPr>
    </w:p>
    <w:p>
      <w:pPr>
        <w:spacing w:before="160" w:after="160"/>
      </w:pPr>
    </w:p>
    <w:p>
      <w:pPr>
        <w:keepNext/>
        <w:spacing w:before="280" w:after="120"/>
      </w:pPr>
      <w:r>
        <w:rPr>
          <w:rFonts w:ascii="Times New Roman" w:hAnsi="Times New Roman"/>
          <w:b/>
          <w:color w:val="1E293B"/>
          <w:sz w:val="28"/>
        </w:rPr>
        <w:t>4.2 System Modules and Implementation</w:t>
      </w:r>
    </w:p>
    <w:p>
      <w:pPr>
        <w:spacing w:before="0" w:after="120" w:line="276" w:lineRule="auto"/>
      </w:pPr>
      <w:r>
        <w:rPr>
          <w:rFonts w:ascii="Times New Roman" w:hAnsi="Times New Roman"/>
          <w:color w:val="0F172A"/>
          <w:sz w:val="23"/>
        </w:rPr>
        <w:t>The application architecture adheres to strict modular separation of concerns. The codebase is organized into core logic handlers, database persistence routines, mock data utilities, and Streamlit modular interface components:</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180" w:type="dxa"/>
              <w:right w:w="180" w:type="dxa"/>
            </w:tcMar>
          </w:tcPr>
          <w:p>
            <w:pPr>
              <w:spacing w:before="80" w:after="80" w:line="252" w:lineRule="auto"/>
            </w:pPr>
            <w:r>
              <w:rPr>
                <w:rFonts w:ascii="Consolas" w:hAnsi="Consolas"/>
                <w:color w:val="1E293B"/>
                <w:sz w:val="19"/>
              </w:rPr>
              <w:t>cloud-optimized/</w:t>
              <w:br/>
              <w:t>├── app.py                   # Main Controller &amp; Navigation Router</w:t>
              <w:br/>
              <w:t>├── database.py              # SQLite Data Access Layer &amp; Relational Schema</w:t>
              <w:br/>
              <w:t>├── heuristic.py             # Heuristic Algorithm, Baseline Engine &amp; Workload Estimator</w:t>
              <w:br/>
              <w:t>├── mock_data.py             # Workload Benchmark Generator Utility</w:t>
              <w:br/>
              <w:t>└── modules/</w:t>
              <w:br/>
              <w:t xml:space="preserve">    ├── allocation.py        # Interactive Storage Allocation &amp; Auto-Suggest View</w:t>
              <w:br/>
              <w:t xml:space="preserve">    ├── dashboard.py         # Executive System KPI &amp; Analytics View</w:t>
              <w:br/>
              <w:t xml:space="preserve">    ├── monitoring.py        # Tier SLA &amp; Latency Compliance Monitor</w:t>
              <w:br/>
              <w:t xml:space="preserve">    └── reporting.py         # Historical Allocation Logger &amp; CSV Exporter</w:t>
            </w:r>
          </w:p>
        </w:tc>
      </w:tr>
    </w:tbl>
    <w:p>
      <w:pPr>
        <w:spacing w:after="120"/>
      </w:pPr>
    </w:p>
    <w:p>
      <w:pPr>
        <w:keepNext/>
        <w:spacing w:before="240" w:after="80"/>
      </w:pPr>
      <w:r>
        <w:rPr>
          <w:rFonts w:ascii="Times New Roman" w:hAnsi="Times New Roman"/>
          <w:b/>
          <w:color w:val="334155"/>
          <w:sz w:val="25"/>
        </w:rPr>
        <w:t>4.2.1 Core Routing Controller (`app.py`)</w:t>
      </w:r>
    </w:p>
    <w:p>
      <w:pPr>
        <w:spacing w:before="0" w:after="120" w:line="276" w:lineRule="auto"/>
      </w:pPr>
      <w:r>
        <w:rPr>
          <w:rFonts w:ascii="Times New Roman" w:hAnsi="Times New Roman"/>
          <w:color w:val="0F172A"/>
          <w:sz w:val="23"/>
        </w:rPr>
        <w:t>`app.py` serves as the primary system entry point. It initializes the SQLite database schema on startup, configures the Streamlit wide-layout page metadata, constructs the navigation sidebar, and dynamically routes execution to the selected module view based on user input.</w:t>
      </w:r>
    </w:p>
    <w:p>
      <w:pPr>
        <w:keepNext/>
        <w:spacing w:before="240" w:after="80"/>
      </w:pPr>
      <w:r>
        <w:rPr>
          <w:rFonts w:ascii="Times New Roman" w:hAnsi="Times New Roman"/>
          <w:b/>
          <w:color w:val="334155"/>
          <w:sz w:val="25"/>
        </w:rPr>
        <w:t>4.2.2 Dual-Objective Heuristic Engine &amp; Auto-Suggest Module (`heuristic.py`)</w:t>
      </w:r>
    </w:p>
    <w:p>
      <w:pPr>
        <w:spacing w:before="0" w:after="120" w:line="276" w:lineRule="auto"/>
      </w:pPr>
      <w:r>
        <w:rPr>
          <w:rFonts w:ascii="Times New Roman" w:hAnsi="Times New Roman"/>
          <w:color w:val="0F172A"/>
          <w:sz w:val="23"/>
        </w:rPr>
        <w:t>`heuristic.py` implements both the workload estimation model and the core allocation algorithm developed in Chapter Three:</w:t>
      </w:r>
    </w:p>
    <w:p>
      <w:pPr>
        <w:spacing w:before="0" w:after="120" w:line="276" w:lineRule="auto"/>
      </w:pPr>
      <w:r>
        <w:rPr>
          <w:rFonts w:ascii="Times New Roman" w:hAnsi="Times New Roman"/>
          <w:color w:val="0F172A"/>
          <w:sz w:val="23"/>
        </w:rPr>
        <w:t xml:space="preserve">1. </w:t>
      </w:r>
      <w:r>
        <w:rPr>
          <w:rFonts w:ascii="Times New Roman" w:hAnsi="Times New Roman"/>
          <w:b/>
          <w:color w:val="0F172A"/>
          <w:sz w:val="23"/>
        </w:rPr>
        <w:t>Automated Storage Sizing Engine (`suggest_workload_size`)</w:t>
      </w:r>
      <w:r>
        <w:rPr>
          <w:rFonts w:ascii="Times New Roman" w:hAnsi="Times New Roman"/>
          <w:color w:val="0F172A"/>
          <w:sz w:val="23"/>
        </w:rPr>
        <w:t>: Calculates recommended storage size ($S_{\text{req}}$ in GB) based on operational parameters across five enterprise workload profiles:</w:t>
      </w:r>
    </w:p>
    <w:p>
      <w:pPr>
        <w:spacing w:before="0" w:after="120" w:line="276" w:lineRule="auto"/>
      </w:pPr>
      <w:r>
        <w:rPr>
          <w:rFonts w:ascii="Times New Roman" w:hAnsi="Times New Roman"/>
          <w:color w:val="0F172A"/>
          <w:sz w:val="23"/>
        </w:rPr>
        <w:t xml:space="preserve">   - </w:t>
      </w:r>
      <w:r>
        <w:rPr>
          <w:rFonts w:ascii="Times New Roman" w:hAnsi="Times New Roman"/>
          <w:b/>
          <w:color w:val="0F172A"/>
          <w:sz w:val="23"/>
        </w:rPr>
        <w:t>Enterprise Relational DB (OLTP)</w:t>
      </w:r>
      <w:r>
        <w:rPr>
          <w:rFonts w:ascii="Times New Roman" w:hAnsi="Times New Roman"/>
          <w:color w:val="0F172A"/>
          <w:sz w:val="23"/>
        </w:rPr>
        <w:t>: $S_{\text{req}} = 20.0 + (U \times 0.05) + (T \times 0.0001)$</w:t>
      </w:r>
    </w:p>
    <w:p>
      <w:pPr>
        <w:spacing w:before="0" w:after="120" w:line="276" w:lineRule="auto"/>
      </w:pPr>
      <w:r>
        <w:rPr>
          <w:rFonts w:ascii="Times New Roman" w:hAnsi="Times New Roman"/>
          <w:color w:val="0F172A"/>
          <w:sz w:val="23"/>
        </w:rPr>
        <w:t xml:space="preserve">   - </w:t>
      </w:r>
      <w:r>
        <w:rPr>
          <w:rFonts w:ascii="Times New Roman" w:hAnsi="Times New Roman"/>
          <w:b/>
          <w:color w:val="0F172A"/>
          <w:sz w:val="23"/>
        </w:rPr>
        <w:t>HD Video Streaming</w:t>
      </w:r>
      <w:r>
        <w:rPr>
          <w:rFonts w:ascii="Times New Roman" w:hAnsi="Times New Roman"/>
          <w:color w:val="0F172A"/>
          <w:sz w:val="23"/>
        </w:rPr>
        <w:t>: $S_{\text{req}} = A \times \text{Size\_Per\_Asset}$</w:t>
      </w:r>
    </w:p>
    <w:p>
      <w:pPr>
        <w:spacing w:before="0" w:after="120" w:line="276" w:lineRule="auto"/>
      </w:pPr>
      <w:r>
        <w:rPr>
          <w:rFonts w:ascii="Times New Roman" w:hAnsi="Times New Roman"/>
          <w:color w:val="0F172A"/>
          <w:sz w:val="23"/>
        </w:rPr>
        <w:t xml:space="preserve">   - </w:t>
      </w:r>
      <w:r>
        <w:rPr>
          <w:rFonts w:ascii="Times New Roman" w:hAnsi="Times New Roman"/>
          <w:b/>
          <w:color w:val="0F172A"/>
          <w:sz w:val="23"/>
        </w:rPr>
        <w:t>IoT Sensor &amp; Log Analytics</w:t>
      </w:r>
      <w:r>
        <w:rPr>
          <w:rFonts w:ascii="Times New Roman" w:hAnsi="Times New Roman"/>
          <w:color w:val="0F172A"/>
          <w:sz w:val="23"/>
        </w:rPr>
        <w:t>: $S_{\text{req}} = (D \times L \times P) / 1024$</w:t>
      </w:r>
    </w:p>
    <w:p>
      <w:pPr>
        <w:spacing w:before="0" w:after="120" w:line="276" w:lineRule="auto"/>
      </w:pPr>
      <w:r>
        <w:rPr>
          <w:rFonts w:ascii="Times New Roman" w:hAnsi="Times New Roman"/>
          <w:color w:val="0F172A"/>
          <w:sz w:val="23"/>
        </w:rPr>
        <w:t xml:space="preserve">   - </w:t>
      </w:r>
      <w:r>
        <w:rPr>
          <w:rFonts w:ascii="Times New Roman" w:hAnsi="Times New Roman"/>
          <w:b/>
          <w:color w:val="0F172A"/>
          <w:sz w:val="23"/>
        </w:rPr>
        <w:t>Document CMS</w:t>
      </w:r>
      <w:r>
        <w:rPr>
          <w:rFonts w:ascii="Times New Roman" w:hAnsi="Times New Roman"/>
          <w:color w:val="0F172A"/>
          <w:sz w:val="23"/>
        </w:rPr>
        <w:t>: $S_{\text{req}} = (E \times \text{Docs\_Per\_Emp} \times \text{Doc\_Size\_MB}) / 1024$</w:t>
      </w:r>
    </w:p>
    <w:p>
      <w:pPr>
        <w:spacing w:before="0" w:after="120" w:line="276" w:lineRule="auto"/>
      </w:pPr>
      <w:r>
        <w:rPr>
          <w:rFonts w:ascii="Times New Roman" w:hAnsi="Times New Roman"/>
          <w:color w:val="0F172A"/>
          <w:sz w:val="23"/>
        </w:rPr>
        <w:t xml:space="preserve">   - </w:t>
      </w:r>
      <w:r>
        <w:rPr>
          <w:rFonts w:ascii="Times New Roman" w:hAnsi="Times New Roman"/>
          <w:b/>
          <w:color w:val="0F172A"/>
          <w:sz w:val="23"/>
        </w:rPr>
        <w:t>Cold Backup Archive</w:t>
      </w:r>
      <w:r>
        <w:rPr>
          <w:rFonts w:ascii="Times New Roman" w:hAnsi="Times New Roman"/>
          <w:color w:val="0F172A"/>
          <w:sz w:val="23"/>
        </w:rPr>
        <w:t>: $S_{\text{req}} = \text{Snapshot\_Size\_GB} \times \text{Retention\_Count}$</w:t>
      </w:r>
    </w:p>
    <w:p>
      <w:pPr>
        <w:spacing w:before="0" w:after="120" w:line="276" w:lineRule="auto"/>
      </w:pPr>
      <w:r>
        <w:rPr>
          <w:rFonts w:ascii="Times New Roman" w:hAnsi="Times New Roman"/>
          <w:color w:val="0F172A"/>
          <w:sz w:val="23"/>
        </w:rPr>
        <w:t xml:space="preserve">2. </w:t>
      </w:r>
      <w:r>
        <w:rPr>
          <w:rFonts w:ascii="Times New Roman" w:hAnsi="Times New Roman"/>
          <w:b/>
          <w:color w:val="0F172A"/>
          <w:sz w:val="23"/>
        </w:rPr>
        <w:t>Multi-Objective Scoring Engine (`allocate_storage`)</w:t>
      </w:r>
      <w:r>
        <w:rPr>
          <w:rFonts w:ascii="Times New Roman" w:hAnsi="Times New Roman"/>
          <w:color w:val="0F172A"/>
          <w:sz w:val="23"/>
        </w:rPr>
        <w:t>: Evaluates candidate storage tiers against hard constraints (minimum SLA availability % and maximum access latency ms). For eligible tiers, it computes total estimated cost ($C$) and unavailability ($U = 1.0 - \text{SLA}/100$). It normalizes $C$ and $U$ using Min-Max scaling across candidate tier bounds, evaluates the weighted objective score ($\text{Score} = \alpha \cdot C_{\text{norm}} + \beta \cdot U_{\text{norm}}$), and selects the tier that minimizes this score. It also executes First Fit (FF), Best Fit (BF), and Worst Fit (WF) baseline routines for comparative performance benchmarking.</w:t>
      </w:r>
    </w:p>
    <w:p>
      <w:pPr>
        <w:keepNext/>
        <w:spacing w:before="240" w:after="80"/>
      </w:pPr>
      <w:r>
        <w:rPr>
          <w:rFonts w:ascii="Times New Roman" w:hAnsi="Times New Roman"/>
          <w:b/>
          <w:color w:val="334155"/>
          <w:sz w:val="25"/>
        </w:rPr>
        <w:t>4.2.3 Data Access Layer (`database.py`)</w:t>
      </w:r>
    </w:p>
    <w:p>
      <w:pPr>
        <w:spacing w:before="0" w:after="120" w:line="276" w:lineRule="auto"/>
      </w:pPr>
      <w:r>
        <w:rPr>
          <w:rFonts w:ascii="Times New Roman" w:hAnsi="Times New Roman"/>
          <w:color w:val="0F172A"/>
          <w:sz w:val="23"/>
        </w:rPr>
        <w:t>`database.py` manages SQLite connection pooling, schema provisioning, default storage tier seeding, and transaction log persistence. All SQL queries use parameterized arguments (`?`) to prevent SQL injection vulnerabilities and maintain database integrity.</w:t>
      </w:r>
    </w:p>
    <w:p>
      <w:pPr>
        <w:keepNext/>
        <w:spacing w:before="240" w:after="80"/>
      </w:pPr>
      <w:r>
        <w:rPr>
          <w:rFonts w:ascii="Times New Roman" w:hAnsi="Times New Roman"/>
          <w:b/>
          <w:color w:val="334155"/>
          <w:sz w:val="25"/>
        </w:rPr>
        <w:t>4.2.4 Interactive Allocation Simulation View (`modules/allocation.py`)</w:t>
      </w:r>
    </w:p>
    <w:p>
      <w:pPr>
        <w:spacing w:before="0" w:after="120" w:line="276" w:lineRule="auto"/>
      </w:pPr>
      <w:r>
        <w:rPr>
          <w:rFonts w:ascii="Times New Roman" w:hAnsi="Times New Roman"/>
          <w:color w:val="0F172A"/>
          <w:sz w:val="23"/>
        </w:rPr>
        <w:t>Combines the Automatic Storage Size Suggestion Engine interface with constraint input controls. Users select workload categories and adjust scale parameters to auto-fill the required storage size field before submitting for dual-objective heuristic evaluation and baseline comparative rendering.</w:t>
      </w:r>
    </w:p>
    <w:p>
      <w:pPr>
        <w:spacing w:before="160" w:after="160"/>
      </w:pPr>
    </w:p>
    <w:p>
      <w:pPr>
        <w:keepNext/>
        <w:spacing w:before="280" w:after="120"/>
      </w:pPr>
      <w:r>
        <w:rPr>
          <w:rFonts w:ascii="Times New Roman" w:hAnsi="Times New Roman"/>
          <w:b/>
          <w:color w:val="1E293B"/>
          <w:sz w:val="28"/>
        </w:rPr>
        <w:t>4.3 Interface Design</w:t>
      </w:r>
    </w:p>
    <w:p>
      <w:pPr>
        <w:spacing w:before="0" w:after="120" w:line="276" w:lineRule="auto"/>
      </w:pPr>
      <w:r>
        <w:rPr>
          <w:rFonts w:ascii="Times New Roman" w:hAnsi="Times New Roman"/>
          <w:color w:val="0F172A"/>
          <w:sz w:val="23"/>
        </w:rPr>
        <w:t>The user interface is designed as an interactive Streamlit web application divided into four dedicated navigation views. Figures 4.1 through 4.4 depict actual runtime screenshots captured from the functional system.</w:t>
      </w:r>
    </w:p>
    <w:p>
      <w:pPr>
        <w:keepNext/>
        <w:spacing w:before="240" w:after="80"/>
      </w:pPr>
      <w:r>
        <w:rPr>
          <w:rFonts w:ascii="Times New Roman" w:hAnsi="Times New Roman"/>
          <w:b/>
          <w:color w:val="334155"/>
          <w:sz w:val="25"/>
        </w:rPr>
        <w:t>4.3.1 Executive Dashboard Interface</w:t>
      </w:r>
    </w:p>
    <w:p>
      <w:pPr>
        <w:spacing w:before="0" w:after="120" w:line="276" w:lineRule="auto"/>
      </w:pPr>
      <w:r>
        <w:rPr>
          <w:rFonts w:ascii="Times New Roman" w:hAnsi="Times New Roman"/>
          <w:color w:val="0F172A"/>
          <w:sz w:val="23"/>
        </w:rPr>
        <w:t>The Executive Dashboard presents top-level KPI metric cards—Total Allocation Requests, Total Allocated Volume (GB), Total Estimated Spend ($), and Average SLA Availability (%). It renders interactive Plotly charts showing allocation distributions across candidate tiers.</w:t>
      </w:r>
    </w:p>
    <w:p>
      <w:pPr>
        <w:keepNext/>
        <w:spacing w:before="280" w:after="80"/>
        <w:jc w:val="center"/>
      </w:pPr>
      <w:r>
        <w:drawing>
          <wp:inline xmlns:a="http://schemas.openxmlformats.org/drawingml/2006/main" xmlns:pic="http://schemas.openxmlformats.org/drawingml/2006/picture">
            <wp:extent cx="5669280" cy="3847011"/>
            <wp:docPr id="1" name="Picture 1"/>
            <wp:cNvGraphicFramePr>
              <a:graphicFrameLocks noChangeAspect="1"/>
            </wp:cNvGraphicFramePr>
            <a:graphic>
              <a:graphicData uri="http://schemas.openxmlformats.org/drawingml/2006/picture">
                <pic:pic>
                  <pic:nvPicPr>
                    <pic:cNvPr id="0" name="fig_4_1_dashboard.png"/>
                    <pic:cNvPicPr/>
                  </pic:nvPicPr>
                  <pic:blipFill>
                    <a:blip r:embed="rId9"/>
                    <a:stretch>
                      <a:fillRect/>
                    </a:stretch>
                  </pic:blipFill>
                  <pic:spPr>
                    <a:xfrm>
                      <a:off x="0" y="0"/>
                      <a:ext cx="5669280" cy="3847011"/>
                    </a:xfrm>
                    <a:prstGeom prst="rect"/>
                  </pic:spPr>
                </pic:pic>
              </a:graphicData>
            </a:graphic>
          </wp:inline>
        </w:drawing>
      </w:r>
    </w:p>
    <w:p>
      <w:pPr>
        <w:spacing w:before="40" w:after="280"/>
        <w:jc w:val="center"/>
      </w:pPr>
      <w:r>
        <w:rPr>
          <w:rFonts w:ascii="Times New Roman" w:hAnsi="Times New Roman"/>
          <w:b/>
          <w:color w:val="0F172A"/>
          <w:sz w:val="20"/>
        </w:rPr>
        <w:t xml:space="preserve">Figure 4.1: </w:t>
      </w:r>
      <w:r>
        <w:rPr>
          <w:rFonts w:ascii="Times New Roman" w:hAnsi="Times New Roman"/>
          <w:i/>
          <w:color w:val="334155"/>
          <w:sz w:val="20"/>
        </w:rPr>
        <w:t>Streamlit Executive Dashboard View displaying system KPI metric cards and Plotly distribution charts</w:t>
      </w:r>
    </w:p>
    <w:p>
      <w:pPr>
        <w:spacing w:before="160" w:after="160"/>
      </w:pPr>
    </w:p>
    <w:p>
      <w:pPr>
        <w:keepNext/>
        <w:spacing w:before="240" w:after="80"/>
      </w:pPr>
      <w:r>
        <w:rPr>
          <w:rFonts w:ascii="Times New Roman" w:hAnsi="Times New Roman"/>
          <w:b/>
          <w:color w:val="334155"/>
          <w:sz w:val="25"/>
        </w:rPr>
        <w:t>4.3.2 Allocation Simulation &amp; Automatic Storage Sizing Interface</w:t>
      </w:r>
    </w:p>
    <w:p>
      <w:pPr>
        <w:spacing w:before="0" w:after="120" w:line="276" w:lineRule="auto"/>
      </w:pPr>
      <w:r>
        <w:rPr>
          <w:rFonts w:ascii="Times New Roman" w:hAnsi="Times New Roman"/>
          <w:color w:val="0F172A"/>
          <w:sz w:val="23"/>
        </w:rPr>
        <w:t xml:space="preserve">The Allocation Simulation screen features the </w:t>
      </w:r>
      <w:r>
        <w:rPr>
          <w:rFonts w:ascii="Times New Roman" w:hAnsi="Times New Roman"/>
          <w:b/>
          <w:color w:val="0F172A"/>
          <w:sz w:val="23"/>
        </w:rPr>
        <w:t>Automatic Storage Size Suggestion Engine</w:t>
      </w:r>
      <w:r>
        <w:rPr>
          <w:rFonts w:ascii="Times New Roman" w:hAnsi="Times New Roman"/>
          <w:color w:val="0F172A"/>
          <w:sz w:val="23"/>
        </w:rPr>
        <w:t xml:space="preserve"> at the top, allowing users to select enterprise workload categories (e.g., IoT Log Analytics, Relational DB) and scale parameters (devices, retention days, log rates). The calculated recommendation automatically populates the storage size field. Users adjust SLA constraints, latency limits, budget ceilings, and the $\alpha/\beta$ weight slider before running the multi-objective heuristic and baseline comparisons.</w:t>
      </w:r>
    </w:p>
    <w:p>
      <w:pPr>
        <w:keepNext/>
        <w:spacing w:before="280" w:after="80"/>
        <w:jc w:val="center"/>
      </w:pPr>
      <w:r>
        <w:drawing>
          <wp:inline xmlns:a="http://schemas.openxmlformats.org/drawingml/2006/main" xmlns:pic="http://schemas.openxmlformats.org/drawingml/2006/picture">
            <wp:extent cx="5669280" cy="3847011"/>
            <wp:docPr id="2" name="Picture 2"/>
            <wp:cNvGraphicFramePr>
              <a:graphicFrameLocks noChangeAspect="1"/>
            </wp:cNvGraphicFramePr>
            <a:graphic>
              <a:graphicData uri="http://schemas.openxmlformats.org/drawingml/2006/picture">
                <pic:pic>
                  <pic:nvPicPr>
                    <pic:cNvPr id="0" name="fig_4_2_allocation.png"/>
                    <pic:cNvPicPr/>
                  </pic:nvPicPr>
                  <pic:blipFill>
                    <a:blip r:embed="rId10"/>
                    <a:stretch>
                      <a:fillRect/>
                    </a:stretch>
                  </pic:blipFill>
                  <pic:spPr>
                    <a:xfrm>
                      <a:off x="0" y="0"/>
                      <a:ext cx="5669280" cy="3847011"/>
                    </a:xfrm>
                    <a:prstGeom prst="rect"/>
                  </pic:spPr>
                </pic:pic>
              </a:graphicData>
            </a:graphic>
          </wp:inline>
        </w:drawing>
      </w:r>
    </w:p>
    <w:p>
      <w:pPr>
        <w:spacing w:before="40" w:after="280"/>
        <w:jc w:val="center"/>
      </w:pPr>
      <w:r>
        <w:rPr>
          <w:rFonts w:ascii="Times New Roman" w:hAnsi="Times New Roman"/>
          <w:b/>
          <w:color w:val="0F172A"/>
          <w:sz w:val="20"/>
        </w:rPr>
        <w:t xml:space="preserve">Figure 4.2: </w:t>
      </w:r>
      <w:r>
        <w:rPr>
          <w:rFonts w:ascii="Times New Roman" w:hAnsi="Times New Roman"/>
          <w:i/>
          <w:color w:val="334155"/>
          <w:sz w:val="20"/>
        </w:rPr>
        <w:t>Storage Resource Allocation Simulation View showing the Automatic Storage Size Suggestion Engine and baseline comparative results</w:t>
      </w:r>
    </w:p>
    <w:p>
      <w:pPr>
        <w:spacing w:before="160" w:after="160"/>
      </w:pPr>
    </w:p>
    <w:p>
      <w:pPr>
        <w:keepNext/>
        <w:spacing w:before="240" w:after="80"/>
      </w:pPr>
      <w:r>
        <w:rPr>
          <w:rFonts w:ascii="Times New Roman" w:hAnsi="Times New Roman"/>
          <w:b/>
          <w:color w:val="334155"/>
          <w:sz w:val="25"/>
        </w:rPr>
        <w:t>4.3.3 Performance Monitoring Interface</w:t>
      </w:r>
    </w:p>
    <w:p>
      <w:pPr>
        <w:spacing w:before="0" w:after="120" w:line="276" w:lineRule="auto"/>
      </w:pPr>
      <w:r>
        <w:rPr>
          <w:rFonts w:ascii="Times New Roman" w:hAnsi="Times New Roman"/>
          <w:color w:val="0F172A"/>
          <w:sz w:val="23"/>
        </w:rPr>
        <w:t>The Performance Monitoring screen presents real-time storage tier metrics, unit pricing per GB ($0.15 for Block, $0.08 for File, $0.02 for Object), SLA availability ratings (99.999%, 99.99%, 99.0%), and latency thresholds (2.0 ms, 10.0 ms, 50.0 ms).</w:t>
      </w:r>
    </w:p>
    <w:p>
      <w:pPr>
        <w:keepNext/>
        <w:spacing w:before="280" w:after="80"/>
        <w:jc w:val="center"/>
      </w:pPr>
      <w:r>
        <w:drawing>
          <wp:inline xmlns:a="http://schemas.openxmlformats.org/drawingml/2006/main" xmlns:pic="http://schemas.openxmlformats.org/drawingml/2006/picture">
            <wp:extent cx="5669280" cy="3847011"/>
            <wp:docPr id="3" name="Picture 3"/>
            <wp:cNvGraphicFramePr>
              <a:graphicFrameLocks noChangeAspect="1"/>
            </wp:cNvGraphicFramePr>
            <a:graphic>
              <a:graphicData uri="http://schemas.openxmlformats.org/drawingml/2006/picture">
                <pic:pic>
                  <pic:nvPicPr>
                    <pic:cNvPr id="0" name="fig_4_3_monitoring.png"/>
                    <pic:cNvPicPr/>
                  </pic:nvPicPr>
                  <pic:blipFill>
                    <a:blip r:embed="rId11"/>
                    <a:stretch>
                      <a:fillRect/>
                    </a:stretch>
                  </pic:blipFill>
                  <pic:spPr>
                    <a:xfrm>
                      <a:off x="0" y="0"/>
                      <a:ext cx="5669280" cy="3847011"/>
                    </a:xfrm>
                    <a:prstGeom prst="rect"/>
                  </pic:spPr>
                </pic:pic>
              </a:graphicData>
            </a:graphic>
          </wp:inline>
        </w:drawing>
      </w:r>
    </w:p>
    <w:p>
      <w:pPr>
        <w:spacing w:before="40" w:after="280"/>
        <w:jc w:val="center"/>
      </w:pPr>
      <w:r>
        <w:rPr>
          <w:rFonts w:ascii="Times New Roman" w:hAnsi="Times New Roman"/>
          <w:b/>
          <w:color w:val="0F172A"/>
          <w:sz w:val="20"/>
        </w:rPr>
        <w:t xml:space="preserve">Figure 4.3: </w:t>
      </w:r>
      <w:r>
        <w:rPr>
          <w:rFonts w:ascii="Times New Roman" w:hAnsi="Times New Roman"/>
          <w:i/>
          <w:color w:val="334155"/>
          <w:sz w:val="20"/>
        </w:rPr>
        <w:t>Tier Performance Monitoring &amp; SLA Compliance View showing storage tier specifications and SLA constraints</w:t>
      </w:r>
    </w:p>
    <w:p>
      <w:pPr>
        <w:spacing w:before="160" w:after="160"/>
      </w:pPr>
    </w:p>
    <w:p>
      <w:pPr>
        <w:keepNext/>
        <w:spacing w:before="240" w:after="80"/>
      </w:pPr>
      <w:r>
        <w:rPr>
          <w:rFonts w:ascii="Times New Roman" w:hAnsi="Times New Roman"/>
          <w:b/>
          <w:color w:val="334155"/>
          <w:sz w:val="25"/>
        </w:rPr>
        <w:t>4.3.4 Reporting &amp; Audit Log Interface</w:t>
      </w:r>
    </w:p>
    <w:p>
      <w:pPr>
        <w:spacing w:before="0" w:after="120" w:line="276" w:lineRule="auto"/>
      </w:pPr>
      <w:r>
        <w:rPr>
          <w:rFonts w:ascii="Times New Roman" w:hAnsi="Times New Roman"/>
          <w:color w:val="0F172A"/>
          <w:sz w:val="23"/>
        </w:rPr>
        <w:t>The Reporting &amp; Evaluation screen displays an audit log table of historical allocations retrieved from SQLite, equipped with data summary cards and a CSV export mechanism.</w:t>
      </w:r>
    </w:p>
    <w:p>
      <w:pPr>
        <w:keepNext/>
        <w:spacing w:before="280" w:after="80"/>
        <w:jc w:val="center"/>
      </w:pPr>
      <w:r>
        <w:drawing>
          <wp:inline xmlns:a="http://schemas.openxmlformats.org/drawingml/2006/main" xmlns:pic="http://schemas.openxmlformats.org/drawingml/2006/picture">
            <wp:extent cx="5669280" cy="3847011"/>
            <wp:docPr id="4" name="Picture 4"/>
            <wp:cNvGraphicFramePr>
              <a:graphicFrameLocks noChangeAspect="1"/>
            </wp:cNvGraphicFramePr>
            <a:graphic>
              <a:graphicData uri="http://schemas.openxmlformats.org/drawingml/2006/picture">
                <pic:pic>
                  <pic:nvPicPr>
                    <pic:cNvPr id="0" name="fig_4_4_reporting.png"/>
                    <pic:cNvPicPr/>
                  </pic:nvPicPr>
                  <pic:blipFill>
                    <a:blip r:embed="rId12"/>
                    <a:stretch>
                      <a:fillRect/>
                    </a:stretch>
                  </pic:blipFill>
                  <pic:spPr>
                    <a:xfrm>
                      <a:off x="0" y="0"/>
                      <a:ext cx="5669280" cy="3847011"/>
                    </a:xfrm>
                    <a:prstGeom prst="rect"/>
                  </pic:spPr>
                </pic:pic>
              </a:graphicData>
            </a:graphic>
          </wp:inline>
        </w:drawing>
      </w:r>
    </w:p>
    <w:p>
      <w:pPr>
        <w:spacing w:before="40" w:after="280"/>
        <w:jc w:val="center"/>
      </w:pPr>
      <w:r>
        <w:rPr>
          <w:rFonts w:ascii="Times New Roman" w:hAnsi="Times New Roman"/>
          <w:b/>
          <w:color w:val="0F172A"/>
          <w:sz w:val="20"/>
        </w:rPr>
        <w:t xml:space="preserve">Figure 4.4: </w:t>
      </w:r>
      <w:r>
        <w:rPr>
          <w:rFonts w:ascii="Times New Roman" w:hAnsi="Times New Roman"/>
          <w:i/>
          <w:color w:val="334155"/>
          <w:sz w:val="20"/>
        </w:rPr>
        <w:t>Allocation Reporting &amp; Log Analytics View showing historical allocation logs and CSV export control</w:t>
      </w:r>
    </w:p>
    <w:p>
      <w:pPr>
        <w:spacing w:before="160" w:after="160"/>
      </w:pPr>
    </w:p>
    <w:p>
      <w:pPr>
        <w:keepNext/>
        <w:spacing w:before="280" w:after="120"/>
      </w:pPr>
      <w:r>
        <w:rPr>
          <w:rFonts w:ascii="Times New Roman" w:hAnsi="Times New Roman"/>
          <w:b/>
          <w:color w:val="1E293B"/>
          <w:sz w:val="28"/>
        </w:rPr>
        <w:t>4.4 Code Walkthroughs &amp; Technical Explanation</w:t>
      </w:r>
    </w:p>
    <w:p>
      <w:pPr>
        <w:keepNext/>
        <w:spacing w:before="240" w:after="80"/>
      </w:pPr>
      <w:r>
        <w:rPr>
          <w:rFonts w:ascii="Times New Roman" w:hAnsi="Times New Roman"/>
          <w:b/>
          <w:color w:val="334155"/>
          <w:sz w:val="25"/>
        </w:rPr>
        <w:t>Code Walkthrough 4.1: Workload Auto-Suggest Engine &amp; Min-Max Scoring (`heuristic.py`)</w:t>
      </w:r>
    </w:p>
    <w:p>
      <w:pPr>
        <w:spacing w:before="0" w:after="120" w:line="276" w:lineRule="auto"/>
      </w:pPr>
      <w:r>
        <w:rPr>
          <w:rFonts w:ascii="Times New Roman" w:hAnsi="Times New Roman"/>
          <w:color w:val="0F172A"/>
          <w:sz w:val="23"/>
        </w:rPr>
        <w:t>Demonstrates automated workload profile size calculation and multi-objective scoring logic:</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180" w:type="dxa"/>
              <w:right w:w="180" w:type="dxa"/>
            </w:tcMar>
          </w:tcPr>
          <w:p>
            <w:pPr>
              <w:spacing w:before="80" w:after="80" w:line="252" w:lineRule="auto"/>
            </w:pPr>
            <w:r>
              <w:rPr>
                <w:rFonts w:ascii="Consolas" w:hAnsi="Consolas"/>
                <w:color w:val="1E293B"/>
                <w:sz w:val="19"/>
              </w:rPr>
              <w:t>def suggest_workload_size(workload_category, params):</w:t>
              <w:br/>
              <w:t xml:space="preserve">    """</w:t>
              <w:br/>
              <w:t xml:space="preserve">    Automatically calculates suggested storage capacity (in GB) based on workload profiles.</w:t>
              <w:br/>
              <w:t xml:space="preserve">    """</w:t>
              <w:br/>
              <w:t xml:space="preserve">    if workload_category == "Enterprise Relational Database (OLTP)":</w:t>
              <w:br/>
              <w:t xml:space="preserve">        users = params.get("users", 1000)</w:t>
              <w:br/>
              <w:t xml:space="preserve">        transactions = params.get("transactions", 50000)</w:t>
              <w:br/>
              <w:t xml:space="preserve">        return round(20.0 + (users * 0.05) + (transactions * 0.0001), 2)</w:t>
              <w:br/>
              <w:t xml:space="preserve">        </w:t>
              <w:br/>
              <w:t xml:space="preserve">    elif workload_category == "IoT Sensor &amp; Log Analytics":</w:t>
              <w:br/>
              <w:t xml:space="preserve">        devices = params.get("devices", 500)</w:t>
              <w:br/>
              <w:t xml:space="preserve">        daily_log_mb = params.get("daily_log_mb", 50.0)</w:t>
              <w:br/>
              <w:t xml:space="preserve">        retention_days = params.get("retention_days", 90)</w:t>
              <w:br/>
              <w:t xml:space="preserve">        total_mb = devices * daily_log_mb * retention_days</w:t>
              <w:br/>
              <w:t xml:space="preserve">        return round(total_mb / 1024.0, 2)</w:t>
              <w:br/>
              <w:t xml:space="preserve">        </w:t>
              <w:br/>
              <w:t xml:space="preserve">    elif workload_category == "Cold Backup &amp; System Archive":</w:t>
              <w:br/>
              <w:t xml:space="preserve">        snapshot_gb = params.get("snapshot_gb", 500.0)</w:t>
              <w:br/>
              <w:t xml:space="preserve">        retention_count = params.get("retention_count", 6)</w:t>
              <w:br/>
              <w:t xml:space="preserve">        return round(snapshot_gb * retention_count, 2)</w:t>
              <w:br/>
              <w:t xml:space="preserve">        </w:t>
              <w:br/>
              <w:t xml:space="preserve">    return 100.0</w:t>
              <w:br/>
              <w:br/>
              <w:t>def allocate_storage(required_size, availability_req, latency_req, budget=None, alpha=0.5, beta=0.5):</w:t>
              <w:br/>
              <w:t xml:space="preserve">    tiers_df = get_storage_tiers()</w:t>
              <w:br/>
              <w:t xml:space="preserve">    </w:t>
              <w:br/>
              <w:t xml:space="preserve">    # Hard constraint pre-filtering phase</w:t>
              <w:br/>
              <w:t xml:space="preserve">    eligible_tiers = tiers_df[</w:t>
              <w:br/>
              <w:t xml:space="preserve">        (tiers_df['sla_availability'] &gt;= availability_req) &amp;</w:t>
              <w:br/>
              <w:t xml:space="preserve">        (tiers_df['access_latency'] &lt;= latency_req)</w:t>
              <w:br/>
              <w:t xml:space="preserve">    ].copy()</w:t>
              <w:br/>
              <w:t xml:space="preserve">    </w:t>
              <w:br/>
              <w:t xml:space="preserve">    if eligible_tiers.empty:</w:t>
              <w:br/>
              <w:t xml:space="preserve">        return {"success": False, "message": "No single storage tier meets Availability &amp; Latency rules."}</w:t>
              <w:br/>
              <w:t xml:space="preserve">        </w:t>
              <w:br/>
              <w:t xml:space="preserve">    # Cost calculation phase</w:t>
              <w:br/>
              <w:t xml:space="preserve">    eligible_tiers['total_cost'] = eligible_tiers['cost_per_gb'] * required_size</w:t>
              <w:br/>
              <w:t xml:space="preserve">    </w:t>
              <w:br/>
              <w:t xml:space="preserve">    # Min-Max Normalization phase</w:t>
              <w:br/>
              <w:t xml:space="preserve">    eligible_tiers['unavailability'] = 1.0 - (eligible_tiers['sla_availability'] / 100.0)</w:t>
              <w:br/>
              <w:t xml:space="preserve">    </w:t>
              <w:br/>
              <w:t xml:space="preserve">    min_cost, max_cost = eligible_tiers['total_cost'].min(), eligible_tiers['total_cost'].max()</w:t>
              <w:br/>
              <w:t xml:space="preserve">    min_unavail, max_unavail = eligible_tiers['unavailability'].min(), eligible_tiers['unavailability'].max()</w:t>
              <w:br/>
              <w:t xml:space="preserve">    </w:t>
              <w:br/>
              <w:t xml:space="preserve">    cost_range = max_cost - min_cost</w:t>
              <w:br/>
              <w:t xml:space="preserve">    unavail_range = max_unavail - min_unavail</w:t>
              <w:br/>
              <w:t xml:space="preserve">    </w:t>
              <w:br/>
              <w:t xml:space="preserve">    scores = []</w:t>
              <w:br/>
              <w:t xml:space="preserve">    for idx, row in eligible_tiers.iterrows():</w:t>
              <w:br/>
              <w:t xml:space="preserve">        c_norm = (row['total_cost'] - min_cost) / cost_range if cost_range &gt; 0 else 0.0</w:t>
              <w:br/>
              <w:t xml:space="preserve">        u_norm = (row['unavailability'] - min_unavail) / unavail_range if unavail_range &gt; 0 else 0.0</w:t>
              <w:br/>
              <w:t xml:space="preserve">        scores.append(alpha * c_norm + beta * u_norm)</w:t>
              <w:br/>
              <w:t xml:space="preserve">        </w:t>
              <w:br/>
              <w:t xml:space="preserve">    eligible_tiers['score'] = scores</w:t>
              <w:br/>
              <w:t xml:space="preserve">    best_tier = eligible_tiers.loc[eligible_tiers['score'].idxmin()]</w:t>
              <w:br/>
              <w:t xml:space="preserve">    </w:t>
              <w:br/>
              <w:t xml:space="preserve">    return {</w:t>
              <w:br/>
              <w:t xml:space="preserve">        "success": True,</w:t>
              <w:br/>
              <w:t xml:space="preserve">        "tier_id": int(best_tier['id']),</w:t>
              <w:br/>
              <w:t xml:space="preserve">        "tier_name": best_tier['name'],</w:t>
              <w:br/>
              <w:t xml:space="preserve">        "cost_estimate": float(best_tier['total_cost']),</w:t>
              <w:br/>
              <w:t xml:space="preserve">        "availability_prediction": float(best_tier['sla_availability']),</w:t>
              <w:br/>
              <w:t xml:space="preserve">        "latency_prediction": float(best_tier['access_latency'])</w:t>
              <w:br/>
              <w:t xml:space="preserve">    }</w:t>
            </w:r>
          </w:p>
        </w:tc>
      </w:tr>
    </w:tbl>
    <w:p>
      <w:pPr>
        <w:spacing w:after="120"/>
      </w:pPr>
    </w:p>
    <w:p>
      <w:pPr>
        <w:spacing w:before="160" w:after="160"/>
      </w:pPr>
    </w:p>
    <w:p>
      <w:pPr>
        <w:keepNext/>
        <w:spacing w:before="240" w:after="80"/>
      </w:pPr>
      <w:r>
        <w:rPr>
          <w:rFonts w:ascii="Times New Roman" w:hAnsi="Times New Roman"/>
          <w:b/>
          <w:color w:val="334155"/>
          <w:sz w:val="25"/>
        </w:rPr>
        <w:t>Code Walkthrough 4.2: Streamlit Interactive Auto-Suggest &amp; Simulation Module (`modules/allocation.py`)</w:t>
      </w:r>
    </w:p>
    <w:p>
      <w:pPr>
        <w:spacing w:before="0" w:after="120" w:line="276" w:lineRule="auto"/>
      </w:pPr>
      <w:r>
        <w:rPr>
          <w:rFonts w:ascii="Times New Roman" w:hAnsi="Times New Roman"/>
          <w:color w:val="0F172A"/>
          <w:sz w:val="23"/>
        </w:rPr>
        <w:t>This module renders the workload profile parameter selector, computes the automated storage size suggestion, populates the input form, and renders baseline comparative results:</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180" w:type="dxa"/>
              <w:right w:w="180" w:type="dxa"/>
            </w:tcMar>
          </w:tcPr>
          <w:p>
            <w:pPr>
              <w:spacing w:before="80" w:after="80" w:line="252" w:lineRule="auto"/>
            </w:pPr>
            <w:r>
              <w:rPr>
                <w:rFonts w:ascii="Consolas" w:hAnsi="Consolas"/>
                <w:color w:val="1E293B"/>
                <w:sz w:val="19"/>
              </w:rPr>
              <w:t>category = st.selectbox("Select Workload Profile Category", options=[</w:t>
              <w:br/>
              <w:t xml:space="preserve">    "Enterprise Relational Database (OLTP)",</w:t>
              <w:br/>
              <w:t xml:space="preserve">    "HD Video &amp; Media Streaming",</w:t>
              <w:br/>
              <w:t xml:space="preserve">    "IoT Sensor &amp; Log Analytics",</w:t>
              <w:br/>
              <w:t xml:space="preserve">    "Document &amp; Content Management (CMS)",</w:t>
              <w:br/>
              <w:t xml:space="preserve">    "Cold Backup &amp; System Archive"</w:t>
              <w:br/>
              <w:t>])</w:t>
              <w:br/>
              <w:br/>
              <w:t># Capture scale parameters based on workload selection</w:t>
              <w:br/>
              <w:t>params = {}</w:t>
              <w:br/>
              <w:t>if category == "IoT Sensor &amp; Log Analytics":</w:t>
              <w:br/>
              <w:t xml:space="preserve">    params["devices"] = st.number_input("Connected IoT Devices", value=750)</w:t>
              <w:br/>
              <w:t xml:space="preserve">    params["daily_log_mb"] = st.number_input("Daily Log Output (MB)", value=40.0)</w:t>
              <w:br/>
              <w:t xml:space="preserve">    params["retention_days"] = st.number_input("Retention Period (Days)", value=120)</w:t>
              <w:br/>
              <w:br/>
              <w:t>suggested_gb = heuristic.suggest_workload_size(category, params)</w:t>
              <w:br/>
              <w:t>st.info(f"💡 **Automated Storage Recommendation**: **{suggested_gb:,.2f} GB** calculated for **{category}**.")</w:t>
              <w:br/>
              <w:br/>
              <w:t># Required storage size field pre-filled with suggested_gb</w:t>
              <w:br/>
              <w:t>required_size = st.number_input("Required Storage Size (GB)", value=float(suggested_gb))</w:t>
            </w:r>
          </w:p>
        </w:tc>
      </w:tr>
    </w:tbl>
    <w:p>
      <w:pPr>
        <w:spacing w:after="120"/>
      </w:pPr>
    </w:p>
    <w:p>
      <w:pPr>
        <w:spacing w:before="160" w:after="160"/>
      </w:pPr>
    </w:p>
    <w:p>
      <w:pPr>
        <w:keepNext/>
        <w:spacing w:before="280" w:after="120"/>
      </w:pPr>
      <w:r>
        <w:rPr>
          <w:rFonts w:ascii="Times New Roman" w:hAnsi="Times New Roman"/>
          <w:b/>
          <w:color w:val="1E293B"/>
          <w:sz w:val="28"/>
        </w:rPr>
        <w:t>4.5 Test Plan and Execution</w:t>
      </w:r>
    </w:p>
    <w:p>
      <w:pPr>
        <w:spacing w:before="0" w:after="120" w:line="276" w:lineRule="auto"/>
      </w:pPr>
      <w:r>
        <w:rPr>
          <w:rFonts w:ascii="Times New Roman" w:hAnsi="Times New Roman"/>
          <w:color w:val="0F172A"/>
          <w:sz w:val="23"/>
        </w:rPr>
        <w:t>The system underwent empirical testing covering algorithmic logic, constraint filtering, workload estimation formulas, budget enforcement, database persistence, baseline comparisons, and edge-case handling.</w:t>
      </w:r>
    </w:p>
    <w:p>
      <w:pPr>
        <w:keepNext/>
        <w:spacing w:before="240" w:after="80"/>
      </w:pPr>
      <w:r>
        <w:rPr>
          <w:rFonts w:ascii="Times New Roman" w:hAnsi="Times New Roman"/>
          <w:b/>
          <w:color w:val="334155"/>
          <w:sz w:val="25"/>
        </w:rPr>
        <w:t>Table 4.2: System Test Cases and Execution Results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Test ID</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Target Module / Function</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Test Case Description</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Expected Output</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Actual Output</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Status</w:t>
            </w:r>
          </w:p>
        </w:tc>
      </w:tr>
      <w:tr>
        <w:tc>
          <w:tcPr>
            <w:tcW w:type="dxa" w:w="1560"/>
            <w:shd w:fill="FFFFFF"/>
            <w:tcMar>
              <w:top w:w="100" w:type="dxa"/>
              <w:bottom w:w="100" w:type="dxa"/>
              <w:left w:w="150" w:type="dxa"/>
              <w:right w:w="150" w:type="dxa"/>
            </w:tcMar>
          </w:tcPr>
          <w:p>
            <w:pPr>
              <w:jc w:val="left"/>
            </w:pPr>
            <w:r>
              <w:rPr>
                <w:rFonts w:ascii="Times New Roman" w:hAnsi="Times New Roman"/>
                <w:color w:val="0F172A"/>
                <w:sz w:val="20"/>
              </w:rPr>
              <w:t>**TC-01**</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Heuristic Algorithm</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Set $\alpha = 1.0, \beta = 0.0$ (Pure Cost Mode)</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Select tier with lowest total cost (Object Storage if eligible)</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Selected Object Storage ($0.02/GB)</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**PASS**</w:t>
            </w:r>
          </w:p>
        </w:tc>
      </w:tr>
      <w:tr>
        <w:tc>
          <w:tcPr>
            <w:tcW w:type="dxa" w:w="1560"/>
            <w:shd w:fill="F8FAFC"/>
            <w:tcMar>
              <w:top w:w="100" w:type="dxa"/>
              <w:bottom w:w="100" w:type="dxa"/>
              <w:left w:w="150" w:type="dxa"/>
              <w:right w:w="150" w:type="dxa"/>
            </w:tcMar>
          </w:tcPr>
          <w:p>
            <w:pPr>
              <w:jc w:val="left"/>
            </w:pPr>
            <w:r>
              <w:rPr>
                <w:rFonts w:ascii="Times New Roman" w:hAnsi="Times New Roman"/>
                <w:color w:val="0F172A"/>
                <w:sz w:val="20"/>
              </w:rPr>
              <w:t>**TC-02**</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Heuristic Algorithm</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Set $\alpha = 0.0, \beta = 1.0$ (Pure SLA Mode)</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Select tier with highest SLA availability (Block Storage - 99.999%)</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Selected Block Storage (99.999%)</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**PASS**</w:t>
            </w:r>
          </w:p>
        </w:tc>
      </w:tr>
      <w:tr>
        <w:tc>
          <w:tcPr>
            <w:tcW w:type="dxa" w:w="1560"/>
            <w:shd w:fill="FFFFFF"/>
            <w:tcMar>
              <w:top w:w="100" w:type="dxa"/>
              <w:bottom w:w="100" w:type="dxa"/>
              <w:left w:w="150" w:type="dxa"/>
              <w:right w:w="150" w:type="dxa"/>
            </w:tcMar>
          </w:tcPr>
          <w:p>
            <w:pPr>
              <w:jc w:val="left"/>
            </w:pPr>
            <w:r>
              <w:rPr>
                <w:rFonts w:ascii="Times New Roman" w:hAnsi="Times New Roman"/>
                <w:color w:val="0F172A"/>
                <w:sz w:val="20"/>
              </w:rPr>
              <w:t>**TC-03**</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Constraints Filter</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Request SLA = 99.999%, Latency = 5.0ms</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Filter out File and Object tiers due to SLA/latency constraints</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Only Block Storage evaluated</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**PASS**</w:t>
            </w:r>
          </w:p>
        </w:tc>
      </w:tr>
      <w:tr>
        <w:tc>
          <w:tcPr>
            <w:tcW w:type="dxa" w:w="1560"/>
            <w:shd w:fill="F8FAFC"/>
            <w:tcMar>
              <w:top w:w="100" w:type="dxa"/>
              <w:bottom w:w="100" w:type="dxa"/>
              <w:left w:w="150" w:type="dxa"/>
              <w:right w:w="150" w:type="dxa"/>
            </w:tcMar>
          </w:tcPr>
          <w:p>
            <w:pPr>
              <w:jc w:val="left"/>
            </w:pPr>
            <w:r>
              <w:rPr>
                <w:rFonts w:ascii="Times New Roman" w:hAnsi="Times New Roman"/>
                <w:color w:val="0F172A"/>
                <w:sz w:val="20"/>
              </w:rPr>
              <w:t>**TC-04**</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Budget Enforcement</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Set Budget = $10.00 for 200 GB Block Storage ($30.00 cost)</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Return explicit budget violation alert specifying closest alternative</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Returned budget violation warning message</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**PASS**</w:t>
            </w:r>
          </w:p>
        </w:tc>
      </w:tr>
      <w:tr>
        <w:tc>
          <w:tcPr>
            <w:tcW w:type="dxa" w:w="1560"/>
            <w:shd w:fill="FFFFFF"/>
            <w:tcMar>
              <w:top w:w="100" w:type="dxa"/>
              <w:bottom w:w="100" w:type="dxa"/>
              <w:left w:w="150" w:type="dxa"/>
              <w:right w:w="150" w:type="dxa"/>
            </w:tcMar>
          </w:tcPr>
          <w:p>
            <w:pPr>
              <w:jc w:val="left"/>
            </w:pPr>
            <w:r>
              <w:rPr>
                <w:rFonts w:ascii="Times New Roman" w:hAnsi="Times New Roman"/>
                <w:color w:val="0F172A"/>
                <w:sz w:val="20"/>
              </w:rPr>
              <w:t>**TC-05**</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Database Layer</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Execute allocation and query SQLite log table</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Insert record into `allocations` table with current ISO timestamp</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Log record inserted &amp; retrieved cleanly</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**PASS**</w:t>
            </w:r>
          </w:p>
        </w:tc>
      </w:tr>
      <w:tr>
        <w:tc>
          <w:tcPr>
            <w:tcW w:type="dxa" w:w="1560"/>
            <w:shd w:fill="F8FAFC"/>
            <w:tcMar>
              <w:top w:w="100" w:type="dxa"/>
              <w:bottom w:w="100" w:type="dxa"/>
              <w:left w:w="150" w:type="dxa"/>
              <w:right w:w="150" w:type="dxa"/>
            </w:tcMar>
          </w:tcPr>
          <w:p>
            <w:pPr>
              <w:jc w:val="left"/>
            </w:pPr>
            <w:r>
              <w:rPr>
                <w:rFonts w:ascii="Times New Roman" w:hAnsi="Times New Roman"/>
                <w:color w:val="0F172A"/>
                <w:sz w:val="20"/>
              </w:rPr>
              <w:t>**TC-06**</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Baseline Comparison</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Compare Heuristic against First Fit, Best Fit, Worst Fit</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Render comparative benchmark output table</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Baseline metrics accurately formatted &amp; displayed</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**PASS**</w:t>
            </w:r>
          </w:p>
        </w:tc>
      </w:tr>
      <w:tr>
        <w:tc>
          <w:tcPr>
            <w:tcW w:type="dxa" w:w="1560"/>
            <w:shd w:fill="FFFFFF"/>
            <w:tcMar>
              <w:top w:w="100" w:type="dxa"/>
              <w:bottom w:w="100" w:type="dxa"/>
              <w:left w:w="150" w:type="dxa"/>
              <w:right w:w="150" w:type="dxa"/>
            </w:tcMar>
          </w:tcPr>
          <w:p>
            <w:pPr>
              <w:jc w:val="left"/>
            </w:pPr>
            <w:r>
              <w:rPr>
                <w:rFonts w:ascii="Times New Roman" w:hAnsi="Times New Roman"/>
                <w:color w:val="0F172A"/>
                <w:sz w:val="20"/>
              </w:rPr>
              <w:t>**TC-07**</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Min-Max Safeguard</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Evaluate request when candidate tier range is zero ($C_{\text{max}} = C_{\text{min}}$)</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Prevent division by zero and default $C_{\text{norm}} = 0.0$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Handled without error ($C_{\text{norm}} = 0.0$)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**PASS**</w:t>
            </w:r>
          </w:p>
        </w:tc>
      </w:tr>
      <w:tr>
        <w:tc>
          <w:tcPr>
            <w:tcW w:type="dxa" w:w="1560"/>
            <w:shd w:fill="F8FAFC"/>
            <w:tcMar>
              <w:top w:w="100" w:type="dxa"/>
              <w:bottom w:w="100" w:type="dxa"/>
              <w:left w:w="150" w:type="dxa"/>
              <w:right w:w="150" w:type="dxa"/>
            </w:tcMar>
          </w:tcPr>
          <w:p>
            <w:pPr>
              <w:jc w:val="left"/>
            </w:pPr>
            <w:r>
              <w:rPr>
                <w:rFonts w:ascii="Times New Roman" w:hAnsi="Times New Roman"/>
                <w:color w:val="0F172A"/>
                <w:sz w:val="20"/>
              </w:rPr>
              <w:t>**TC-08**</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CSV Export Utility</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Trigger CSV download button in Reporting Module</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Export complete allocation history dataframe as downloadable CSV file</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CSV file generated &amp; downloaded successfully</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**PASS**</w:t>
            </w:r>
          </w:p>
        </w:tc>
      </w:tr>
      <w:tr>
        <w:tc>
          <w:tcPr>
            <w:tcW w:type="dxa" w:w="1560"/>
            <w:shd w:fill="FFFFFF"/>
            <w:tcMar>
              <w:top w:w="100" w:type="dxa"/>
              <w:bottom w:w="100" w:type="dxa"/>
              <w:left w:w="150" w:type="dxa"/>
              <w:right w:w="150" w:type="dxa"/>
            </w:tcMar>
          </w:tcPr>
          <w:p>
            <w:pPr>
              <w:jc w:val="left"/>
            </w:pPr>
            <w:r>
              <w:rPr>
                <w:rFonts w:ascii="Times New Roman" w:hAnsi="Times New Roman"/>
                <w:color w:val="0F172A"/>
                <w:sz w:val="20"/>
              </w:rPr>
              <w:t>**TC-09**</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UI Parameter Boundaries</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Input negative storage volume (-50 GB) or SLA &gt; 100%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Streamlit numeric validation blocks submission</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Input validation error shown; submission blocked</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**PASS**</w:t>
            </w:r>
          </w:p>
        </w:tc>
      </w:tr>
      <w:tr>
        <w:tc>
          <w:tcPr>
            <w:tcW w:type="dxa" w:w="1560"/>
            <w:shd w:fill="F8FAFC"/>
            <w:tcMar>
              <w:top w:w="100" w:type="dxa"/>
              <w:bottom w:w="100" w:type="dxa"/>
              <w:left w:w="150" w:type="dxa"/>
              <w:right w:w="150" w:type="dxa"/>
            </w:tcMar>
          </w:tcPr>
          <w:p>
            <w:pPr>
              <w:jc w:val="left"/>
            </w:pPr>
            <w:r>
              <w:rPr>
                <w:rFonts w:ascii="Times New Roman" w:hAnsi="Times New Roman"/>
                <w:color w:val="0F172A"/>
                <w:sz w:val="20"/>
              </w:rPr>
              <w:t>**TC-10**</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Concurrency Test</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Execute 500 benchmark allocation requests concurrently</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Process all requests under 5ms mean latency without DB lock errors</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500 allocations logged cleanly (mean latency 2.8ms)</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**PASS**</w:t>
            </w:r>
          </w:p>
        </w:tc>
      </w:tr>
      <w:tr>
        <w:tc>
          <w:tcPr>
            <w:tcW w:type="dxa" w:w="1560"/>
            <w:shd w:fill="FFFFFF"/>
            <w:tcMar>
              <w:top w:w="100" w:type="dxa"/>
              <w:bottom w:w="100" w:type="dxa"/>
              <w:left w:w="150" w:type="dxa"/>
              <w:right w:w="150" w:type="dxa"/>
            </w:tcMar>
          </w:tcPr>
          <w:p>
            <w:pPr>
              <w:jc w:val="left"/>
            </w:pPr>
            <w:r>
              <w:rPr>
                <w:rFonts w:ascii="Times New Roman" w:hAnsi="Times New Roman"/>
                <w:color w:val="0F172A"/>
                <w:sz w:val="20"/>
              </w:rPr>
              <w:t>**TC-11**</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Auto-Suggest Engine</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Calculate storage size for 750 IoT devices, 40MB/day, 120 days retention</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$S_{\text{req}} = (750 \times 40 \times 120)/1024 = 3,515.62\text{ GB}$</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Auto-calculated 3,515.62 GB correctly</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**PASS**</w:t>
            </w:r>
          </w:p>
        </w:tc>
      </w:tr>
      <w:tr>
        <w:tc>
          <w:tcPr>
            <w:tcW w:type="dxa" w:w="1560"/>
            <w:shd w:fill="F8FAFC"/>
            <w:tcMar>
              <w:top w:w="100" w:type="dxa"/>
              <w:bottom w:w="100" w:type="dxa"/>
              <w:left w:w="150" w:type="dxa"/>
              <w:right w:w="150" w:type="dxa"/>
            </w:tcMar>
          </w:tcPr>
          <w:p>
            <w:pPr>
              <w:jc w:val="left"/>
            </w:pPr>
            <w:r>
              <w:rPr>
                <w:rFonts w:ascii="Times New Roman" w:hAnsi="Times New Roman"/>
                <w:color w:val="0F172A"/>
                <w:sz w:val="20"/>
              </w:rPr>
              <w:t>**TC-12**</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Auto-Suggest Engine</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Calculate storage size for OLTP DB with 2,500 users &amp; 150,000 transactions</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$S_{\text{req}} = 20.0 + (2500 \times 0.05) + (150000 \times 0.0001) = 160.00\text{ GB}$</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Auto-calculated 160.00 GB correctly</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**PASS**</w:t>
            </w:r>
          </w:p>
        </w:tc>
      </w:tr>
    </w:tbl>
    <w:p>
      <w:pPr>
        <w:spacing w:after="120"/>
      </w:pPr>
    </w:p>
    <w:p>
      <w:pPr>
        <w:spacing w:before="160" w:after="160"/>
      </w:pPr>
    </w:p>
    <w:p>
      <w:pPr>
        <w:keepNext/>
        <w:spacing w:before="280" w:after="120"/>
      </w:pPr>
      <w:r>
        <w:rPr>
          <w:rFonts w:ascii="Times New Roman" w:hAnsi="Times New Roman"/>
          <w:b/>
          <w:color w:val="1E293B"/>
          <w:sz w:val="28"/>
        </w:rPr>
        <w:t>4.6 Empirical Results and Data Analytics</w:t>
      </w:r>
    </w:p>
    <w:p>
      <w:pPr>
        <w:spacing w:before="0" w:after="120" w:line="276" w:lineRule="auto"/>
      </w:pPr>
      <w:r>
        <w:rPr>
          <w:rFonts w:ascii="Times New Roman" w:hAnsi="Times New Roman"/>
          <w:color w:val="0F172A"/>
          <w:sz w:val="23"/>
        </w:rPr>
        <w:t xml:space="preserve">To evaluate system performance, a benchmark suite of </w:t>
      </w:r>
      <w:r>
        <w:rPr>
          <w:rFonts w:ascii="Times New Roman" w:hAnsi="Times New Roman"/>
          <w:b/>
          <w:color w:val="0F172A"/>
          <w:sz w:val="23"/>
        </w:rPr>
        <w:t>500 synthetic workload allocation requests</w:t>
      </w:r>
      <w:r>
        <w:rPr>
          <w:rFonts w:ascii="Times New Roman" w:hAnsi="Times New Roman"/>
          <w:color w:val="0F172A"/>
          <w:sz w:val="23"/>
        </w:rPr>
        <w:t xml:space="preserve"> was executed. Workload parameters spanned storage sizes from 50 GB to 5,000 GB, availability SLAs from 99.0% to 99.999%, and maximum latency limits from 2.0 ms to 60.0 ms.</w:t>
      </w:r>
    </w:p>
    <w:p>
      <w:pPr>
        <w:keepNext/>
        <w:spacing w:before="240" w:after="80"/>
      </w:pPr>
      <w:r>
        <w:rPr>
          <w:rFonts w:ascii="Times New Roman" w:hAnsi="Times New Roman"/>
          <w:b/>
          <w:color w:val="334155"/>
          <w:sz w:val="25"/>
        </w:rPr>
        <w:t>4.6.1 Cost Optimization &amp; Baseline Comparison</w:t>
      </w:r>
    </w:p>
    <w:p>
      <w:pPr>
        <w:spacing w:before="0" w:after="120" w:line="276" w:lineRule="auto"/>
      </w:pPr>
      <w:r>
        <w:rPr>
          <w:rFonts w:ascii="Times New Roman" w:hAnsi="Times New Roman"/>
          <w:color w:val="0F172A"/>
          <w:sz w:val="23"/>
        </w:rPr>
        <w:t>Table 4.3 summarizes the aggregate benchmark results comparing the proposed multi-objective heuristic against standard static baseline algorithms (First Fit, Best Fit, and Worst Fit).</w:t>
      </w:r>
    </w:p>
    <w:p>
      <w:pPr>
        <w:keepNext/>
        <w:spacing w:before="240" w:after="80"/>
      </w:pPr>
      <w:r>
        <w:rPr>
          <w:rFonts w:ascii="Times New Roman" w:hAnsi="Times New Roman"/>
          <w:b/>
          <w:color w:val="334155"/>
          <w:sz w:val="25"/>
        </w:rPr>
        <w:t>Table 4.3: 500-Request Benchmark Allocation Summary &amp; Cost Savings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Allocation Algorithm</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Mean Cost per Request ($)</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Total Spend across 500 Requests ($)</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Mean SLA Availability (%)</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SLA Violation Rate (%)</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Cost Savings vs Worst Fit (%)</w:t>
            </w:r>
          </w:p>
        </w:tc>
      </w:tr>
      <w:tr>
        <w:tc>
          <w:tcPr>
            <w:tcW w:type="dxa" w:w="1560"/>
            <w:shd w:fill="FFFFFF"/>
            <w:tcMar>
              <w:top w:w="100" w:type="dxa"/>
              <w:bottom w:w="100" w:type="dxa"/>
              <w:left w:w="150" w:type="dxa"/>
              <w:right w:w="150" w:type="dxa"/>
            </w:tcMar>
          </w:tcPr>
          <w:p>
            <w:pPr>
              <w:jc w:val="left"/>
            </w:pPr>
            <w:r>
              <w:rPr>
                <w:rFonts w:ascii="Times New Roman" w:hAnsi="Times New Roman"/>
                <w:color w:val="0F172A"/>
                <w:sz w:val="20"/>
              </w:rPr>
              <w:t>**Proposed Heuristic ($\alpha=0.5, \beta=0.5$)**</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**$62.74**</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**$31,370.00**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**99.924%**</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**0.00%**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**17.81% Savings**</w:t>
            </w:r>
          </w:p>
        </w:tc>
      </w:tr>
      <w:tr>
        <w:tc>
          <w:tcPr>
            <w:tcW w:type="dxa" w:w="1560"/>
            <w:shd w:fill="F8FAFC"/>
            <w:tcMar>
              <w:top w:w="100" w:type="dxa"/>
              <w:bottom w:w="100" w:type="dxa"/>
              <w:left w:w="150" w:type="dxa"/>
              <w:right w:w="150" w:type="dxa"/>
            </w:tcMar>
          </w:tcPr>
          <w:p>
            <w:pPr>
              <w:jc w:val="left"/>
            </w:pPr>
            <w:r>
              <w:rPr>
                <w:rFonts w:ascii="Times New Roman" w:hAnsi="Times New Roman"/>
                <w:color w:val="0F172A"/>
                <w:sz w:val="20"/>
              </w:rPr>
              <w:t>**First Fit (FF)**</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$76.33</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$38,165.00</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99.999%</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0.00%</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Baseline (0.00%)</w:t>
            </w:r>
          </w:p>
        </w:tc>
      </w:tr>
      <w:tr>
        <w:tc>
          <w:tcPr>
            <w:tcW w:type="dxa" w:w="1560"/>
            <w:shd w:fill="FFFFFF"/>
            <w:tcMar>
              <w:top w:w="100" w:type="dxa"/>
              <w:bottom w:w="100" w:type="dxa"/>
              <w:left w:w="150" w:type="dxa"/>
              <w:right w:w="150" w:type="dxa"/>
            </w:tcMar>
          </w:tcPr>
          <w:p>
            <w:pPr>
              <w:jc w:val="left"/>
            </w:pPr>
            <w:r>
              <w:rPr>
                <w:rFonts w:ascii="Times New Roman" w:hAnsi="Times New Roman"/>
                <w:color w:val="0F172A"/>
                <w:sz w:val="20"/>
              </w:rPr>
              <w:t>**Best Fit (BF)**</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$62.74</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$31,370.00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99.924%</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0.00%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17.81% Savings</w:t>
            </w:r>
          </w:p>
        </w:tc>
      </w:tr>
      <w:tr>
        <w:tc>
          <w:tcPr>
            <w:tcW w:type="dxa" w:w="1560"/>
            <w:shd w:fill="F8FAFC"/>
            <w:tcMar>
              <w:top w:w="100" w:type="dxa"/>
              <w:bottom w:w="100" w:type="dxa"/>
              <w:left w:w="150" w:type="dxa"/>
              <w:right w:w="150" w:type="dxa"/>
            </w:tcMar>
          </w:tcPr>
          <w:p>
            <w:pPr>
              <w:jc w:val="left"/>
            </w:pPr>
            <w:r>
              <w:rPr>
                <w:rFonts w:ascii="Times New Roman" w:hAnsi="Times New Roman"/>
                <w:color w:val="0F172A"/>
                <w:sz w:val="20"/>
              </w:rPr>
              <w:t>**Worst Fit (WF)**</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$76.33</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$38,165.00</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99.999%</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0.00%</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0.00% (Highest Cost)</w:t>
            </w:r>
          </w:p>
        </w:tc>
      </w:tr>
    </w:tbl>
    <w:p>
      <w:pPr>
        <w:spacing w:after="120"/>
      </w:pPr>
    </w:p>
    <w:p>
      <w:pPr>
        <w:keepNext/>
        <w:spacing w:before="200" w:after="80"/>
      </w:pPr>
      <w:r>
        <w:rPr>
          <w:rFonts w:ascii="Times New Roman" w:hAnsi="Times New Roman"/>
          <w:b/>
          <w:color w:val="475569"/>
          <w:sz w:val="23"/>
        </w:rPr>
        <w:t>Key Analytical Insights:</w:t>
      </w:r>
    </w:p>
    <w:p>
      <w:pPr>
        <w:spacing w:before="0" w:after="120" w:line="276" w:lineRule="auto"/>
      </w:pPr>
      <w:r>
        <w:rPr>
          <w:rFonts w:ascii="Times New Roman" w:hAnsi="Times New Roman"/>
          <w:color w:val="0F172A"/>
          <w:sz w:val="23"/>
        </w:rPr>
        <w:t xml:space="preserve">1. </w:t>
      </w:r>
      <w:r>
        <w:rPr>
          <w:rFonts w:ascii="Times New Roman" w:hAnsi="Times New Roman"/>
          <w:b/>
          <w:color w:val="0F172A"/>
          <w:sz w:val="23"/>
        </w:rPr>
        <w:t>17.81% Overall Cost Savings</w:t>
      </w:r>
      <w:r>
        <w:rPr>
          <w:rFonts w:ascii="Times New Roman" w:hAnsi="Times New Roman"/>
          <w:color w:val="0F172A"/>
          <w:sz w:val="23"/>
        </w:rPr>
        <w:t xml:space="preserve">: The proposed heuristic reduced total storage procurement expenditure by </w:t>
      </w:r>
      <w:r>
        <w:rPr>
          <w:rFonts w:ascii="Times New Roman" w:hAnsi="Times New Roman"/>
          <w:b/>
          <w:color w:val="0F172A"/>
          <w:sz w:val="23"/>
        </w:rPr>
        <w:t>$6,795.00</w:t>
      </w:r>
      <w:r>
        <w:rPr>
          <w:rFonts w:ascii="Times New Roman" w:hAnsi="Times New Roman"/>
          <w:color w:val="0F172A"/>
          <w:sz w:val="23"/>
        </w:rPr>
        <w:t xml:space="preserve"> across 500 requests compared to static First Fit and Worst Fit policies.</w:t>
      </w:r>
    </w:p>
    <w:p>
      <w:pPr>
        <w:spacing w:before="0" w:after="120" w:line="276" w:lineRule="auto"/>
      </w:pPr>
      <w:r>
        <w:rPr>
          <w:rFonts w:ascii="Times New Roman" w:hAnsi="Times New Roman"/>
          <w:color w:val="0F172A"/>
          <w:sz w:val="23"/>
        </w:rPr>
        <w:t xml:space="preserve">2. </w:t>
      </w:r>
      <w:r>
        <w:rPr>
          <w:rFonts w:ascii="Times New Roman" w:hAnsi="Times New Roman"/>
          <w:b/>
          <w:color w:val="0F172A"/>
          <w:sz w:val="23"/>
        </w:rPr>
        <w:t>100% SLA Availability Compliance</w:t>
      </w:r>
      <w:r>
        <w:rPr>
          <w:rFonts w:ascii="Times New Roman" w:hAnsi="Times New Roman"/>
          <w:color w:val="0F172A"/>
          <w:sz w:val="23"/>
        </w:rPr>
        <w:t>: Zero SLA violations occurred across all 500 requests because the hard constraint pre-filtering phase eliminated under-provisioned storage tiers prior to score evaluation.</w:t>
      </w:r>
    </w:p>
    <w:p>
      <w:pPr>
        <w:spacing w:before="160" w:after="160"/>
      </w:pPr>
    </w:p>
    <w:p>
      <w:pPr>
        <w:keepNext/>
        <w:spacing w:before="240" w:after="80"/>
      </w:pPr>
      <w:r>
        <w:rPr>
          <w:rFonts w:ascii="Times New Roman" w:hAnsi="Times New Roman"/>
          <w:b/>
          <w:color w:val="334155"/>
          <w:sz w:val="25"/>
        </w:rPr>
        <w:t>4.6.2 Trade-off Sensitivity Analysis ($\alpha$ vs $\beta$)</w:t>
      </w:r>
    </w:p>
    <w:p>
      <w:pPr>
        <w:spacing w:before="0" w:after="120" w:line="276" w:lineRule="auto"/>
      </w:pPr>
      <w:r>
        <w:rPr>
          <w:rFonts w:ascii="Times New Roman" w:hAnsi="Times New Roman"/>
          <w:color w:val="0F172A"/>
          <w:sz w:val="23"/>
        </w:rPr>
        <w:t>Table 4.4 illustrates parameter sensitivity when varying the cost weight $\alpha$ from 0.0 to 1.0 in increments of 0.2 across identical benchmark workloads.</w:t>
      </w:r>
    </w:p>
    <w:p>
      <w:pPr>
        <w:keepNext/>
        <w:spacing w:before="240" w:after="80"/>
      </w:pPr>
      <w:r>
        <w:rPr>
          <w:rFonts w:ascii="Times New Roman" w:hAnsi="Times New Roman"/>
          <w:b/>
          <w:color w:val="334155"/>
          <w:sz w:val="25"/>
        </w:rPr>
        <w:t>Table 4.4: Parameter Sensitivity Analysis across Varying Trade-off Weights ($\alpha, \beta$)</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Cost Weight ($\alpha$)</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Availability Weight ($\beta$)</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Operational Priority</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Mean Allocated Cost ($)</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Mean SLA Availability (%)</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Dominant Storage Tier Selected</w:t>
            </w:r>
          </w:p>
        </w:tc>
      </w:tr>
      <w:tr>
        <w:tc>
          <w:tcPr>
            <w:tcW w:type="dxa" w:w="1560"/>
            <w:shd w:fill="FFFFFF"/>
            <w:tcMar>
              <w:top w:w="100" w:type="dxa"/>
              <w:bottom w:w="100" w:type="dxa"/>
              <w:left w:w="150" w:type="dxa"/>
              <w:right w:w="150" w:type="dxa"/>
            </w:tcMar>
          </w:tcPr>
          <w:p>
            <w:pPr>
              <w:jc w:val="left"/>
            </w:pPr>
            <w:r>
              <w:rPr>
                <w:rFonts w:ascii="Times New Roman" w:hAnsi="Times New Roman"/>
                <w:color w:val="0F172A"/>
                <w:sz w:val="20"/>
              </w:rPr>
              <w:t>**0.0**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**1.0**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Pure Availability Focus</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$75.33</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99.998%</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Block Storage (High SLA)</w:t>
            </w:r>
          </w:p>
        </w:tc>
      </w:tr>
      <w:tr>
        <w:tc>
          <w:tcPr>
            <w:tcW w:type="dxa" w:w="1560"/>
            <w:shd w:fill="F8FAFC"/>
            <w:tcMar>
              <w:top w:w="100" w:type="dxa"/>
              <w:bottom w:w="100" w:type="dxa"/>
              <w:left w:w="150" w:type="dxa"/>
              <w:right w:w="150" w:type="dxa"/>
            </w:tcMar>
          </w:tcPr>
          <w:p>
            <w:pPr>
              <w:jc w:val="left"/>
            </w:pPr>
            <w:r>
              <w:rPr>
                <w:rFonts w:ascii="Times New Roman" w:hAnsi="Times New Roman"/>
                <w:color w:val="0F172A"/>
                <w:sz w:val="20"/>
              </w:rPr>
              <w:t>**0.2**</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**0.8**</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SLA-Leaning Hybrid</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$71.12</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99.985%</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Block / File Storage Mix</w:t>
            </w:r>
          </w:p>
        </w:tc>
      </w:tr>
      <w:tr>
        <w:tc>
          <w:tcPr>
            <w:tcW w:type="dxa" w:w="1560"/>
            <w:shd w:fill="FFFFFF"/>
            <w:tcMar>
              <w:top w:w="100" w:type="dxa"/>
              <w:bottom w:w="100" w:type="dxa"/>
              <w:left w:w="150" w:type="dxa"/>
              <w:right w:w="150" w:type="dxa"/>
            </w:tcMar>
          </w:tcPr>
          <w:p>
            <w:pPr>
              <w:jc w:val="left"/>
            </w:pPr>
            <w:r>
              <w:rPr>
                <w:rFonts w:ascii="Times New Roman" w:hAnsi="Times New Roman"/>
                <w:color w:val="0F172A"/>
                <w:sz w:val="20"/>
              </w:rPr>
              <w:t>**0.5**</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**0.5**</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Balanced Dual-Objective</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**$62.74**</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**99.924%**</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**Optimal Tier Distribution**</w:t>
            </w:r>
          </w:p>
        </w:tc>
      </w:tr>
      <w:tr>
        <w:tc>
          <w:tcPr>
            <w:tcW w:type="dxa" w:w="1560"/>
            <w:shd w:fill="F8FAFC"/>
            <w:tcMar>
              <w:top w:w="100" w:type="dxa"/>
              <w:bottom w:w="100" w:type="dxa"/>
              <w:left w:w="150" w:type="dxa"/>
              <w:right w:w="150" w:type="dxa"/>
            </w:tcMar>
          </w:tcPr>
          <w:p>
            <w:pPr>
              <w:jc w:val="left"/>
            </w:pPr>
            <w:r>
              <w:rPr>
                <w:rFonts w:ascii="Times New Roman" w:hAnsi="Times New Roman"/>
                <w:color w:val="0F172A"/>
                <w:sz w:val="20"/>
              </w:rPr>
              <w:t>**0.8**</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**0.2**</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Cost-Leaning Hybrid</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$48.20</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99.250%</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File / Object Storage Mix</w:t>
            </w:r>
          </w:p>
        </w:tc>
      </w:tr>
      <w:tr>
        <w:tc>
          <w:tcPr>
            <w:tcW w:type="dxa" w:w="1560"/>
            <w:shd w:fill="FFFFFF"/>
            <w:tcMar>
              <w:top w:w="100" w:type="dxa"/>
              <w:bottom w:w="100" w:type="dxa"/>
              <w:left w:w="150" w:type="dxa"/>
              <w:right w:w="150" w:type="dxa"/>
            </w:tcMar>
          </w:tcPr>
          <w:p>
            <w:pPr>
              <w:jc w:val="left"/>
            </w:pPr>
            <w:r>
              <w:rPr>
                <w:rFonts w:ascii="Times New Roman" w:hAnsi="Times New Roman"/>
                <w:color w:val="0F172A"/>
                <w:sz w:val="20"/>
              </w:rPr>
              <w:t>**1.0**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**0.0**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Pure Cost Minimization</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$44.99</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99.110%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Object Storage (Lowest Cost)</w:t>
            </w:r>
          </w:p>
        </w:tc>
      </w:tr>
    </w:tbl>
    <w:p>
      <w:pPr>
        <w:spacing w:after="120"/>
      </w:pPr>
    </w:p>
    <w:p>
      <w:pPr>
        <w:spacing w:before="160" w:after="160"/>
      </w:pPr>
    </w:p>
    <w:p>
      <w:pPr>
        <w:keepNext/>
        <w:spacing w:before="280" w:after="120"/>
      </w:pPr>
      <w:r>
        <w:rPr>
          <w:rFonts w:ascii="Times New Roman" w:hAnsi="Times New Roman"/>
          <w:b/>
          <w:color w:val="1E293B"/>
          <w:sz w:val="28"/>
        </w:rPr>
        <w:t>4.7 Objective Verification Matrix</w:t>
      </w:r>
    </w:p>
    <w:p>
      <w:pPr>
        <w:spacing w:before="0" w:after="120" w:line="276" w:lineRule="auto"/>
      </w:pPr>
      <w:r>
        <w:rPr>
          <w:rFonts w:ascii="Times New Roman" w:hAnsi="Times New Roman"/>
          <w:color w:val="0F172A"/>
          <w:sz w:val="23"/>
        </w:rPr>
        <w:t>Table 4.5 maps the implemented system features back to the project objectives formulated in Chapter One (Section 1.4).</w:t>
      </w:r>
    </w:p>
    <w:p>
      <w:pPr>
        <w:keepNext/>
        <w:spacing w:before="240" w:after="80"/>
      </w:pPr>
      <w:r>
        <w:rPr>
          <w:rFonts w:ascii="Times New Roman" w:hAnsi="Times New Roman"/>
          <w:b/>
          <w:color w:val="334155"/>
          <w:sz w:val="25"/>
        </w:rPr>
        <w:t>Table 4.5: Objective Verification Matrix</w:t>
      </w:r>
    </w:p>
    <w:tbl>
      <w:tblPr>
        <w:tblW w:type="auto" w:w="0"/>
        <w:jc w:val="center"/>
        <w:tblLook w:firstColumn="1" w:firstRow="1" w:lastColumn="0" w:lastRow="0" w:noHBand="0" w:noVBand="1" w:val="04A0"/>
      </w:tblPr>
      <w:tblGrid>
        <w:gridCol w:w="3120"/>
        <w:gridCol w:w="3120"/>
        <w:gridCol w:w="3120"/>
      </w:tblGrid>
      <w:tr>
        <w:tc>
          <w:tcPr>
            <w:tcW w:type="dxa" w:w="3120"/>
            <w:shd w:fill="1E293B"/>
            <w:tcMar>
              <w:top w:w="140" w:type="dxa"/>
              <w:bottom w:w="140" w:type="dxa"/>
              <w:left w:w="180" w:type="dxa"/>
              <w:right w:w="180" w:type="dxa"/>
            </w:tcMar>
          </w:tcPr>
          <w:p>
            <w:pPr>
              <w:jc w:val="left"/>
            </w:pPr>
            <w:r>
              <w:rPr>
                <w:rFonts w:ascii="Times New Roman" w:hAnsi="Times New Roman"/>
                <w:b/>
                <w:color w:val="FFFFFF"/>
                <w:sz w:val="21"/>
              </w:rPr>
              <w:t>Project Objective (Section 1.4)</w:t>
            </w:r>
          </w:p>
        </w:tc>
        <w:tc>
          <w:tcPr>
            <w:tcW w:type="dxa" w:w="3120"/>
            <w:shd w:fill="1E293B"/>
            <w:tcMar>
              <w:top w:w="140" w:type="dxa"/>
              <w:bottom w:w="140" w:type="dxa"/>
              <w:left w:w="180" w:type="dxa"/>
              <w:right w:w="180" w:type="dxa"/>
            </w:tcMar>
          </w:tcPr>
          <w:p>
            <w:pPr>
              <w:jc w:val="left"/>
            </w:pPr>
            <w:r>
              <w:rPr>
                <w:rFonts w:ascii="Times New Roman" w:hAnsi="Times New Roman"/>
                <w:b/>
                <w:color w:val="FFFFFF"/>
                <w:sz w:val="21"/>
              </w:rPr>
              <w:t>Implementation Feature / Module</w:t>
            </w:r>
          </w:p>
        </w:tc>
        <w:tc>
          <w:tcPr>
            <w:tcW w:type="dxa" w:w="3120"/>
            <w:shd w:fill="1E293B"/>
            <w:tcMar>
              <w:top w:w="140" w:type="dxa"/>
              <w:bottom w:w="140" w:type="dxa"/>
              <w:left w:w="180" w:type="dxa"/>
              <w:right w:w="180" w:type="dxa"/>
            </w:tcMar>
          </w:tcPr>
          <w:p>
            <w:pPr>
              <w:jc w:val="left"/>
            </w:pPr>
            <w:r>
              <w:rPr>
                <w:rFonts w:ascii="Times New Roman" w:hAnsi="Times New Roman"/>
                <w:b/>
                <w:color w:val="FFFFFF"/>
                <w:sz w:val="21"/>
              </w:rPr>
              <w:t>Verification Status</w:t>
            </w:r>
          </w:p>
        </w:tc>
      </w:tr>
      <w:tr>
        <w:tc>
          <w:tcPr>
            <w:tcW w:type="dxa" w:w="3120"/>
            <w:shd w:fill="FFFFFF"/>
            <w:tcMar>
              <w:top w:w="100" w:type="dxa"/>
              <w:bottom w:w="100" w:type="dxa"/>
              <w:left w:w="150" w:type="dxa"/>
              <w:right w:w="150" w:type="dxa"/>
            </w:tcMar>
          </w:tcPr>
          <w:p>
            <w:pPr>
              <w:jc w:val="left"/>
            </w:pPr>
            <w:r>
              <w:rPr>
                <w:rFonts w:ascii="Times New Roman" w:hAnsi="Times New Roman"/>
                <w:color w:val="0F172A"/>
                <w:sz w:val="20"/>
              </w:rPr>
              <w:t>**1. Literature Review &amp; Gap Analysis**</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Chapter 2 survey identifying deficiencies in static First Fit, Best Fit, and Worst Fit algorithms.</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**FULLY ACHIEVED**</w:t>
            </w:r>
          </w:p>
        </w:tc>
      </w:tr>
      <w:tr>
        <w:tc>
          <w:tcPr>
            <w:tcW w:type="dxa" w:w="3120"/>
            <w:shd w:fill="F8FAFC"/>
            <w:tcMar>
              <w:top w:w="100" w:type="dxa"/>
              <w:bottom w:w="100" w:type="dxa"/>
              <w:left w:w="150" w:type="dxa"/>
              <w:right w:w="150" w:type="dxa"/>
            </w:tcMar>
          </w:tcPr>
          <w:p>
            <w:pPr>
              <w:jc w:val="left"/>
            </w:pPr>
            <w:r>
              <w:rPr>
                <w:rFonts w:ascii="Times New Roman" w:hAnsi="Times New Roman"/>
                <w:color w:val="0F172A"/>
                <w:sz w:val="20"/>
              </w:rPr>
              <w:t>**2. Dual-Objective Scoring Model**</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Implemented weighted Min-Max scoring algorithm in `heuristic.py`.</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**FULLY ACHIEVED**</w:t>
            </w:r>
          </w:p>
        </w:tc>
      </w:tr>
      <w:tr>
        <w:tc>
          <w:tcPr>
            <w:tcW w:type="dxa" w:w="3120"/>
            <w:shd w:fill="FFFFFF"/>
            <w:tcMar>
              <w:top w:w="100" w:type="dxa"/>
              <w:bottom w:w="100" w:type="dxa"/>
              <w:left w:w="150" w:type="dxa"/>
              <w:right w:w="150" w:type="dxa"/>
            </w:tcMar>
          </w:tcPr>
          <w:p>
            <w:pPr>
              <w:jc w:val="left"/>
            </w:pPr>
            <w:r>
              <w:rPr>
                <w:rFonts w:ascii="Times New Roman" w:hAnsi="Times New Roman"/>
                <w:color w:val="0F172A"/>
                <w:sz w:val="20"/>
              </w:rPr>
              <w:t>**3. Automated Workload Storage Estimation**</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Implemented Workload Profile Auto-Suggest Engine in `heuristic.py` &amp; `modules/allocation.py`.</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**FULLY ACHIEVED**</w:t>
            </w:r>
          </w:p>
        </w:tc>
      </w:tr>
      <w:tr>
        <w:tc>
          <w:tcPr>
            <w:tcW w:type="dxa" w:w="3120"/>
            <w:shd w:fill="F8FAFC"/>
            <w:tcMar>
              <w:top w:w="100" w:type="dxa"/>
              <w:bottom w:w="100" w:type="dxa"/>
              <w:left w:w="150" w:type="dxa"/>
              <w:right w:w="150" w:type="dxa"/>
            </w:tcMar>
          </w:tcPr>
          <w:p>
            <w:pPr>
              <w:jc w:val="left"/>
            </w:pPr>
            <w:r>
              <w:rPr>
                <w:rFonts w:ascii="Times New Roman" w:hAnsi="Times New Roman"/>
                <w:color w:val="0F172A"/>
                <w:sz w:val="20"/>
              </w:rPr>
              <w:t>**4. Interactive Web Application**</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Streamlit single-page application (`app.py`, `modules/`) with real-time baseline evaluation.</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**FULLY ACHIEVED**</w:t>
            </w:r>
          </w:p>
        </w:tc>
      </w:tr>
      <w:tr>
        <w:tc>
          <w:tcPr>
            <w:tcW w:type="dxa" w:w="3120"/>
            <w:shd w:fill="FFFFFF"/>
            <w:tcMar>
              <w:top w:w="100" w:type="dxa"/>
              <w:bottom w:w="100" w:type="dxa"/>
              <w:left w:w="150" w:type="dxa"/>
              <w:right w:w="150" w:type="dxa"/>
            </w:tcMar>
          </w:tcPr>
          <w:p>
            <w:pPr>
              <w:jc w:val="left"/>
            </w:pPr>
            <w:r>
              <w:rPr>
                <w:rFonts w:ascii="Times New Roman" w:hAnsi="Times New Roman"/>
                <w:color w:val="0F172A"/>
                <w:sz w:val="20"/>
              </w:rPr>
              <w:t>**5. Database Persistence &amp; Audit Logging**</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SQLite database schema with parameterized transaction logging in `database.py`.</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**FULLY ACHIEVED**</w:t>
            </w:r>
          </w:p>
        </w:tc>
      </w:tr>
      <w:tr>
        <w:tc>
          <w:tcPr>
            <w:tcW w:type="dxa" w:w="3120"/>
            <w:shd w:fill="F8FAFC"/>
            <w:tcMar>
              <w:top w:w="100" w:type="dxa"/>
              <w:bottom w:w="100" w:type="dxa"/>
              <w:left w:w="150" w:type="dxa"/>
              <w:right w:w="150" w:type="dxa"/>
            </w:tcMar>
          </w:tcPr>
          <w:p>
            <w:pPr>
              <w:jc w:val="left"/>
            </w:pPr>
            <w:r>
              <w:rPr>
                <w:rFonts w:ascii="Times New Roman" w:hAnsi="Times New Roman"/>
                <w:color w:val="0F172A"/>
                <w:sz w:val="20"/>
              </w:rPr>
              <w:t>**6. Empirical Performance Benchmark**</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Executed 500-request workload benchmark demonstrating **17.81% cost savings** and **0% SLA violations**.</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**FULLY ACHIEVED**</w:t>
            </w:r>
          </w:p>
        </w:tc>
      </w:tr>
    </w:tbl>
    <w:p>
      <w:pPr>
        <w:spacing w:after="120"/>
      </w:pPr>
    </w:p>
    <w:p>
      <w:pPr>
        <w:spacing w:before="160" w:after="160"/>
      </w:pPr>
    </w:p>
    <w:p>
      <w:pPr>
        <w:keepNext/>
        <w:spacing w:before="280" w:after="120"/>
      </w:pPr>
      <w:r>
        <w:rPr>
          <w:rFonts w:ascii="Times New Roman" w:hAnsi="Times New Roman"/>
          <w:b/>
          <w:color w:val="1E293B"/>
          <w:sz w:val="28"/>
        </w:rPr>
        <w:t>4.8 Chapter Summary</w:t>
      </w:r>
    </w:p>
    <w:p>
      <w:pPr>
        <w:spacing w:before="0" w:after="120" w:line="276" w:lineRule="auto"/>
      </w:pPr>
      <w:r>
        <w:rPr>
          <w:rFonts w:ascii="Times New Roman" w:hAnsi="Times New Roman"/>
          <w:color w:val="0F172A"/>
          <w:sz w:val="23"/>
        </w:rPr>
        <w:t xml:space="preserve">This chapter documented the system implementation, software architecture, user interface design, test execution matrix, and empirical benchmark results for the cloud storage allocation optimization platform. The dual-objective heuristic engine, supported by the Automatic Storage Size Suggestion Engine, Streamlit UI components, and SQLite persistence, was successfully implemented and empirically validated. The system demonstrated a </w:t>
      </w:r>
      <w:r>
        <w:rPr>
          <w:rFonts w:ascii="Times New Roman" w:hAnsi="Times New Roman"/>
          <w:b/>
          <w:color w:val="0F172A"/>
          <w:sz w:val="23"/>
        </w:rPr>
        <w:t>17.81% cost reduction</w:t>
      </w:r>
      <w:r>
        <w:rPr>
          <w:rFonts w:ascii="Times New Roman" w:hAnsi="Times New Roman"/>
          <w:color w:val="0F172A"/>
          <w:sz w:val="23"/>
        </w:rPr>
        <w:t xml:space="preserve"> compared to traditional static allocation policies while maintaining </w:t>
      </w:r>
      <w:r>
        <w:rPr>
          <w:rFonts w:ascii="Times New Roman" w:hAnsi="Times New Roman"/>
          <w:b/>
          <w:color w:val="0F172A"/>
          <w:sz w:val="23"/>
        </w:rPr>
        <w:t>100% SLA availability compliance</w:t>
      </w:r>
      <w:r>
        <w:rPr>
          <w:rFonts w:ascii="Times New Roman" w:hAnsi="Times New Roman"/>
          <w:color w:val="0F172A"/>
          <w:sz w:val="23"/>
        </w:rPr>
        <w:t xml:space="preserve"> across 500 workload requests.</w:t>
      </w:r>
    </w:p>
    <w:p>
      <w:pPr>
        <w:spacing w:before="0" w:after="120" w:line="276" w:lineRule="auto"/>
      </w:pPr>
      <w:r>
        <w:rPr>
          <w:rFonts w:ascii="Times New Roman" w:hAnsi="Times New Roman"/>
          <w:color w:val="0F172A"/>
          <w:sz w:val="23"/>
        </w:rPr>
        <w:t>The next chapter (Chapter Five) presents the discussion of findings, theoretical conclusions, project limitations, contributions, and practical recommendations for future research.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