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F172A"/>
          <w:sz w:val="32"/>
        </w:rPr>
        <w:t>CHAPTER FIVE: DISCUSSION, CONCLUSION AND RECOMMENDATIONS</w:t>
      </w:r>
    </w:p>
    <w:p>
      <w:pPr>
        <w:keepNext/>
        <w:spacing w:before="280" w:after="120"/>
      </w:pPr>
      <w:r>
        <w:rPr>
          <w:rFonts w:ascii="Times New Roman" w:hAnsi="Times New Roman"/>
          <w:b/>
          <w:color w:val="1E293B"/>
          <w:sz w:val="28"/>
        </w:rPr>
        <w:t>5.0 Introduction</w:t>
      </w:r>
    </w:p>
    <w:p>
      <w:pPr>
        <w:spacing w:before="0" w:after="120" w:line="276" w:lineRule="auto"/>
      </w:pPr>
      <w:r>
        <w:rPr>
          <w:rFonts w:ascii="Times New Roman" w:hAnsi="Times New Roman"/>
          <w:color w:val="0F172A"/>
          <w:sz w:val="23"/>
        </w:rPr>
        <w:t>This chapter interprets the empirical findings presented in Chapter Four, evaluates the broader theoretical and practical implications of the research, maps the achieved results back to the original project objectives formulated in Chapter One, discusses study limitations, highlights key contributions to computer technology, and provides actionable recommendations for industrial cloud deployment and future academic research.</w:t>
      </w:r>
    </w:p>
    <w:p>
      <w:pPr>
        <w:spacing w:before="160" w:after="160"/>
      </w:pPr>
    </w:p>
    <w:p>
      <w:pPr>
        <w:keepNext/>
        <w:spacing w:before="280" w:after="120"/>
      </w:pPr>
      <w:r>
        <w:rPr>
          <w:rFonts w:ascii="Times New Roman" w:hAnsi="Times New Roman"/>
          <w:b/>
          <w:color w:val="1E293B"/>
          <w:sz w:val="28"/>
        </w:rPr>
        <w:t>5.1 Summary of Findings</w:t>
      </w:r>
    </w:p>
    <w:p>
      <w:pPr>
        <w:spacing w:before="0" w:after="120" w:line="276" w:lineRule="auto"/>
      </w:pPr>
      <w:r>
        <w:rPr>
          <w:rFonts w:ascii="Times New Roman" w:hAnsi="Times New Roman"/>
          <w:color w:val="0F172A"/>
          <w:sz w:val="23"/>
        </w:rPr>
        <w:t>The primary goal of this research was to design, implement, and evaluate a multi-objective heuristic resource allocation algorithm capable of optimizing cloud storage placement for cost reduction while satisfying strict Service Level Agreement (SLA) availability and access latency requirements.</w:t>
      </w:r>
    </w:p>
    <w:p>
      <w:pPr>
        <w:spacing w:before="0" w:after="120" w:line="276" w:lineRule="auto"/>
      </w:pPr>
      <w:r>
        <w:rPr>
          <w:rFonts w:ascii="Times New Roman" w:hAnsi="Times New Roman"/>
          <w:color w:val="0F172A"/>
          <w:sz w:val="23"/>
        </w:rPr>
        <w:t>Key empirical findings derived from the software implementation and the 500-request workload benchmark evaluation include:</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Quantified Cost Reduction</w:t>
      </w:r>
      <w:r>
        <w:rPr>
          <w:rFonts w:ascii="Times New Roman" w:hAnsi="Times New Roman"/>
          <w:color w:val="0F172A"/>
          <w:sz w:val="23"/>
        </w:rPr>
        <w:t xml:space="preserve">: The proposed weighted dual-objective heuristic achieved an average allocation cost of </w:t>
      </w:r>
      <w:r>
        <w:rPr>
          <w:rFonts w:ascii="Times New Roman" w:hAnsi="Times New Roman"/>
          <w:b/>
          <w:color w:val="0F172A"/>
          <w:sz w:val="23"/>
        </w:rPr>
        <w:t>$62.74</w:t>
      </w:r>
      <w:r>
        <w:rPr>
          <w:rFonts w:ascii="Times New Roman" w:hAnsi="Times New Roman"/>
          <w:color w:val="0F172A"/>
          <w:sz w:val="23"/>
        </w:rPr>
        <w:t xml:space="preserve"> per request, representing a </w:t>
      </w:r>
      <w:r>
        <w:rPr>
          <w:rFonts w:ascii="Times New Roman" w:hAnsi="Times New Roman"/>
          <w:b/>
          <w:color w:val="0F172A"/>
          <w:sz w:val="23"/>
        </w:rPr>
        <w:t>17.81% overall cost savings</w:t>
      </w:r>
      <w:r>
        <w:rPr>
          <w:rFonts w:ascii="Times New Roman" w:hAnsi="Times New Roman"/>
          <w:color w:val="0F172A"/>
          <w:sz w:val="23"/>
        </w:rPr>
        <w:t xml:space="preserve"> compared to conventional static baseline allocation policies such as First Fit ($76.33) and Worst Fit ($76.33). Across 500 allocation requests, the proposed system saved </w:t>
      </w:r>
      <w:r>
        <w:rPr>
          <w:rFonts w:ascii="Times New Roman" w:hAnsi="Times New Roman"/>
          <w:b/>
          <w:color w:val="0F172A"/>
          <w:sz w:val="23"/>
        </w:rPr>
        <w:t>$6,795.00</w:t>
      </w:r>
      <w:r>
        <w:rPr>
          <w:rFonts w:ascii="Times New Roman" w:hAnsi="Times New Roman"/>
          <w:color w:val="0F172A"/>
          <w:sz w:val="23"/>
        </w:rPr>
        <w:t xml:space="preserve"> in simulated cloud infrastructure expenditure.</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Zero SLA Violation Rate</w:t>
      </w:r>
      <w:r>
        <w:rPr>
          <w:rFonts w:ascii="Times New Roman" w:hAnsi="Times New Roman"/>
          <w:color w:val="0F172A"/>
          <w:sz w:val="23"/>
        </w:rPr>
        <w:t xml:space="preserve">: The hard constraint pre-filtering phase guaranteed </w:t>
      </w:r>
      <w:r>
        <w:rPr>
          <w:rFonts w:ascii="Times New Roman" w:hAnsi="Times New Roman"/>
          <w:b/>
          <w:color w:val="0F172A"/>
          <w:sz w:val="23"/>
        </w:rPr>
        <w:t>100% SLA availability compliance</w:t>
      </w:r>
      <w:r>
        <w:rPr>
          <w:rFonts w:ascii="Times New Roman" w:hAnsi="Times New Roman"/>
          <w:color w:val="0F172A"/>
          <w:sz w:val="23"/>
        </w:rPr>
        <w:t xml:space="preserve"> and latency bounds satisfaction across all 500 benchmark allocation requests. No workload was assigned to an under-provisioned storage tier.</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Controllable Trade-off Dynamics</w:t>
      </w:r>
      <w:r>
        <w:rPr>
          <w:rFonts w:ascii="Times New Roman" w:hAnsi="Times New Roman"/>
          <w:color w:val="0F172A"/>
          <w:sz w:val="23"/>
        </w:rPr>
        <w:t>: Parameter sensitivity analysis confirmed that varying the cost priority weight factor ($\alpha$) smoothly shifts resource recommendations between high-availability configurations ($\alpha=0.0$, mean cost $75.33, availability 99.998%) and hyper-cost-optimized configurations ($\alpha=1.0$, mean cost $44.99, availability 99.110%).</w:t>
      </w:r>
    </w:p>
    <w:p>
      <w:pPr>
        <w:spacing w:before="0" w:after="120" w:line="276" w:lineRule="auto"/>
      </w:pPr>
      <w:r>
        <w:rPr>
          <w:rFonts w:ascii="Times New Roman" w:hAnsi="Times New Roman"/>
          <w:color w:val="0F172A"/>
          <w:sz w:val="23"/>
        </w:rPr>
        <w:t xml:space="preserve">4. </w:t>
      </w:r>
      <w:r>
        <w:rPr>
          <w:rFonts w:ascii="Times New Roman" w:hAnsi="Times New Roman"/>
          <w:b/>
          <w:color w:val="0F172A"/>
          <w:sz w:val="23"/>
        </w:rPr>
        <w:t>Sub-5ms Execution Latency</w:t>
      </w:r>
      <w:r>
        <w:rPr>
          <w:rFonts w:ascii="Times New Roman" w:hAnsi="Times New Roman"/>
          <w:color w:val="0F172A"/>
          <w:sz w:val="23"/>
        </w:rPr>
        <w:t>: Vectorized Pandas calculations and Min-Max scaling executed in under 5 milliseconds per request (mean execution latency of 2.8ms), satisfying non-functional real-time responsiveness requirements.</w:t>
      </w:r>
    </w:p>
    <w:p>
      <w:pPr>
        <w:spacing w:before="160" w:after="160"/>
      </w:pPr>
    </w:p>
    <w:p>
      <w:pPr>
        <w:keepNext/>
        <w:spacing w:before="280" w:after="120"/>
      </w:pPr>
      <w:r>
        <w:rPr>
          <w:rFonts w:ascii="Times New Roman" w:hAnsi="Times New Roman"/>
          <w:b/>
          <w:color w:val="1E293B"/>
          <w:sz w:val="28"/>
        </w:rPr>
        <w:t>5.2 Interpretation of Results</w:t>
      </w:r>
    </w:p>
    <w:p>
      <w:pPr>
        <w:spacing w:before="0" w:after="120" w:line="276" w:lineRule="auto"/>
      </w:pPr>
      <w:r>
        <w:rPr>
          <w:rFonts w:ascii="Times New Roman" w:hAnsi="Times New Roman"/>
          <w:color w:val="0F172A"/>
          <w:sz w:val="23"/>
        </w:rPr>
        <w:t>Traditional cloud storage allocation policies exhibit structural limitations in modern multi-tier enterprise environments: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First Fit (FF)</w:t>
      </w:r>
      <w:r>
        <w:rPr>
          <w:rFonts w:ascii="Times New Roman" w:hAnsi="Times New Roman"/>
          <w:color w:val="0F172A"/>
          <w:sz w:val="23"/>
        </w:rPr>
        <w:t xml:space="preserve"> selects the first tier meeting SLA requirements based on database insertion order, frequently over-allocating workloads to expensive high-tier block storage.</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Worst Fit (WF)</w:t>
      </w:r>
      <w:r>
        <w:rPr>
          <w:rFonts w:ascii="Times New Roman" w:hAnsi="Times New Roman"/>
          <w:color w:val="0F172A"/>
          <w:sz w:val="23"/>
        </w:rPr>
        <w:t xml:space="preserve"> selects candidate tiers with maximum availability headroom, causing systematic over-provisioning and inflated operational expenditures.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Best Fit (BF)</w:t>
      </w:r>
      <w:r>
        <w:rPr>
          <w:rFonts w:ascii="Times New Roman" w:hAnsi="Times New Roman"/>
          <w:color w:val="0F172A"/>
          <w:sz w:val="23"/>
        </w:rPr>
        <w:t xml:space="preserve"> minimizes availability headroom to reduce costs, but lacks weighted multi-attribute trade-off controls when multiple constraints compete.</w:t>
      </w:r>
    </w:p>
    <w:p>
      <w:pPr>
        <w:spacing w:before="0" w:after="120" w:line="276" w:lineRule="auto"/>
      </w:pPr>
      <w:r>
        <w:rPr>
          <w:rFonts w:ascii="Times New Roman" w:hAnsi="Times New Roman"/>
          <w:color w:val="0F172A"/>
          <w:sz w:val="23"/>
        </w:rPr>
        <w:t xml:space="preserve">The proposed </w:t>
      </w:r>
      <w:r>
        <w:rPr>
          <w:rFonts w:ascii="Times New Roman" w:hAnsi="Times New Roman"/>
          <w:b/>
          <w:color w:val="0F172A"/>
          <w:sz w:val="23"/>
        </w:rPr>
        <w:t>multi-objective greedy scoring heuristic</w:t>
      </w:r>
      <w:r>
        <w:rPr>
          <w:rFonts w:ascii="Times New Roman" w:hAnsi="Times New Roman"/>
          <w:color w:val="0F172A"/>
          <w:sz w:val="23"/>
        </w:rPr>
        <w:t xml:space="preserve"> resolves these deficiencies by mapping heterogeneous storage metrics (cost per GB in dollars and unavailability percentage) into a standardized, dimensionless $[0, 1]$ domain using Min-Max scaling:</w:t>
      </w:r>
    </w:p>
    <w:p>
      <w:pPr>
        <w:spacing w:before="0" w:after="120" w:line="276" w:lineRule="auto"/>
      </w:pPr>
      <w:r>
        <w:rPr>
          <w:rFonts w:ascii="Times New Roman" w:hAnsi="Times New Roman"/>
          <w:color w:val="0F172A"/>
          <w:sz w:val="23"/>
        </w:rPr>
        <w:t>$$\text{Score}(i) = \alpha \cdot C_{\text{norm}}(i) + \beta \cdot U_{\text{norm}}(i)$$</w:t>
      </w:r>
    </w:p>
    <w:p>
      <w:pPr>
        <w:spacing w:before="0" w:after="120" w:line="276" w:lineRule="auto"/>
      </w:pPr>
      <w:r>
        <w:rPr>
          <w:rFonts w:ascii="Times New Roman" w:hAnsi="Times New Roman"/>
          <w:color w:val="0F172A"/>
          <w:sz w:val="23"/>
        </w:rPr>
        <w:t>By coupling hard constraint filtering (guaranteeing that SLA availability and latency thresholds are met) with soft weighted scoring, the system eliminates over-provisioning while providing cloud infrastructure managers with explicit quantitative knobs ($\alpha, \beta$) to adapt storage allocation strategies based on dynamic business priorities and quarterly budget constraints.</w:t>
      </w:r>
    </w:p>
    <w:p>
      <w:pPr>
        <w:spacing w:before="160" w:after="160"/>
      </w:pPr>
    </w:p>
    <w:p>
      <w:pPr>
        <w:keepNext/>
        <w:spacing w:before="280" w:after="120"/>
      </w:pPr>
      <w:r>
        <w:rPr>
          <w:rFonts w:ascii="Times New Roman" w:hAnsi="Times New Roman"/>
          <w:b/>
          <w:color w:val="1E293B"/>
          <w:sz w:val="28"/>
        </w:rPr>
        <w:t>5.3 Achievement of Project Objectives</w:t>
      </w:r>
    </w:p>
    <w:p>
      <w:pPr>
        <w:spacing w:before="0" w:after="120" w:line="276" w:lineRule="auto"/>
      </w:pPr>
      <w:r>
        <w:rPr>
          <w:rFonts w:ascii="Times New Roman" w:hAnsi="Times New Roman"/>
          <w:color w:val="0F172A"/>
          <w:sz w:val="23"/>
        </w:rPr>
        <w:t>The success of this study is evaluated against the specific research objectives stated in Chapter One (Section 1.4). Table 5.1 provides a detailed mapping between each objective and its corresponding evidence within the dissertation.</w:t>
      </w:r>
    </w:p>
    <w:p>
      <w:pPr>
        <w:keepNext/>
        <w:spacing w:before="240" w:after="80"/>
      </w:pPr>
      <w:r>
        <w:rPr>
          <w:rFonts w:ascii="Times New Roman" w:hAnsi="Times New Roman"/>
          <w:b/>
          <w:color w:val="334155"/>
          <w:sz w:val="25"/>
        </w:rPr>
        <w:t>Table 5.1: Mapping of Achieved Results to Research Objectives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Project Objective (Section 1.4)</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Achievement Status</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Implementation Evidence &amp; Chapter Reference</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**Objective 1**: Survey existing storage resource allocation approaches and their deficiencies in cost and SLA-awareness.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**ACHIEVED**</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Comprehensive literature review in **Chapter Two** (Sections 2.2–2.8) identifying structural deficiencies in static First Fit, Best Fit, and Worst Fit algorithms.</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**Objective 2**: Develop a heuristic-based model for storage resource allocation with cost and SLA as two-fold objectives.</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**ACHIEVED**</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Mathematical formulation of the Min-Max normalized scoring model and pseudocode presented in **Chapter Three** (Section 3.5), implemented in `heuristic.py`.</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**Objective 3**: Implement an interactive web-based simulation application to demonstrate real-time storage recommendation and analytics.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**ACHIEVED**</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Streamlit application (`app.py`, `modules/`) featuring allocation input forms, baseline comparative tables, Plotly analytics, and SQLite logging (**Chapter Four**, Sections 4.2–4.3).</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**Objective 4**: Evaluate performance against baseline algorithms using empirical benchmark datasets.</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**ACHIEVED**</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Executed 500-request empirical workload benchmark in **Chapter Four** (Section 4.6), demonstrating **17.81% cost savings** and **100% SLA compliance**.</w:t>
            </w:r>
          </w:p>
        </w:tc>
      </w:tr>
    </w:tbl>
    <w:p>
      <w:pPr>
        <w:spacing w:after="120"/>
      </w:pPr>
    </w:p>
    <w:p>
      <w:pPr>
        <w:spacing w:before="160" w:after="160"/>
      </w:pPr>
    </w:p>
    <w:p>
      <w:pPr>
        <w:keepNext/>
        <w:spacing w:before="280" w:after="120"/>
      </w:pPr>
      <w:r>
        <w:rPr>
          <w:rFonts w:ascii="Times New Roman" w:hAnsi="Times New Roman"/>
          <w:b/>
          <w:color w:val="1E293B"/>
          <w:sz w:val="28"/>
        </w:rPr>
        <w:t>5.4 Comparison with Existing Systems</w:t>
      </w:r>
    </w:p>
    <w:p>
      <w:pPr>
        <w:spacing w:before="0" w:after="120" w:line="276" w:lineRule="auto"/>
      </w:pPr>
      <w:r>
        <w:rPr>
          <w:rFonts w:ascii="Times New Roman" w:hAnsi="Times New Roman"/>
          <w:color w:val="0F172A"/>
          <w:sz w:val="23"/>
        </w:rPr>
        <w:t>Compared to standard static allocation modules found in commercial Cloud Management Platforms (CMPs) or basic cloud provisioning scripts: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Static Rules vs. Dynamic Min-Max Scaling</w:t>
      </w:r>
      <w:r>
        <w:rPr>
          <w:rFonts w:ascii="Times New Roman" w:hAnsi="Times New Roman"/>
          <w:color w:val="0F172A"/>
          <w:sz w:val="23"/>
        </w:rPr>
        <w:t>: Static systems apply rigid, unyielding thresholds that cannot adapt when market pricing or budget constraints fluctuate. The proposed system normalizes cost and unavailability dynamically relative to candidate tier sets.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Single-Objective vs. Dual-Objective</w:t>
      </w:r>
      <w:r>
        <w:rPr>
          <w:rFonts w:ascii="Times New Roman" w:hAnsi="Times New Roman"/>
          <w:color w:val="0F172A"/>
          <w:sz w:val="23"/>
        </w:rPr>
        <w:t>: Legacy systems optimize cost or availability in isolation. The proposed solution balances both dimensions along the continuous $\alpha/\beta$ weight spectrum.</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Auditability &amp; Traceability</w:t>
      </w:r>
      <w:r>
        <w:rPr>
          <w:rFonts w:ascii="Times New Roman" w:hAnsi="Times New Roman"/>
          <w:color w:val="0F172A"/>
          <w:sz w:val="23"/>
        </w:rPr>
        <w:t>: Integrated SQLite transaction logging ensures full auditability for compliance verification.</w:t>
      </w:r>
    </w:p>
    <w:p>
      <w:pPr>
        <w:spacing w:before="160" w:after="160"/>
      </w:pPr>
    </w:p>
    <w:p>
      <w:pPr>
        <w:keepNext/>
        <w:spacing w:before="280" w:after="120"/>
      </w:pPr>
      <w:r>
        <w:rPr>
          <w:rFonts w:ascii="Times New Roman" w:hAnsi="Times New Roman"/>
          <w:b/>
          <w:color w:val="1E293B"/>
          <w:sz w:val="28"/>
        </w:rPr>
        <w:t>5.5 Limitations of the Study</w:t>
      </w:r>
    </w:p>
    <w:p>
      <w:pPr>
        <w:spacing w:before="0" w:after="120" w:line="276" w:lineRule="auto"/>
      </w:pPr>
      <w:r>
        <w:rPr>
          <w:rFonts w:ascii="Times New Roman" w:hAnsi="Times New Roman"/>
          <w:color w:val="0F172A"/>
          <w:sz w:val="23"/>
        </w:rPr>
        <w:t>Despite achieving positive empirical results, the study has certain limitations: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Synthetic Workload Traces</w:t>
      </w:r>
      <w:r>
        <w:rPr>
          <w:rFonts w:ascii="Times New Roman" w:hAnsi="Times New Roman"/>
          <w:color w:val="0F172A"/>
          <w:sz w:val="23"/>
        </w:rPr>
        <w:t>: Evaluation was conducted using simulated cloud workload profiles rather than production multi-tenant telemetry traces.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Fixed Tier Pricing Model</w:t>
      </w:r>
      <w:r>
        <w:rPr>
          <w:rFonts w:ascii="Times New Roman" w:hAnsi="Times New Roman"/>
          <w:color w:val="0F172A"/>
          <w:sz w:val="23"/>
        </w:rPr>
        <w:t>: Candidate storage tiers were modeled on public cloud tiers (AWS EBS, Azure Files, GCP Object Storage) using fixed unit pricing rather than dynamic spot market prices.</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Single-Region Latency Scope</w:t>
      </w:r>
      <w:r>
        <w:rPr>
          <w:rFonts w:ascii="Times New Roman" w:hAnsi="Times New Roman"/>
          <w:color w:val="0F172A"/>
          <w:sz w:val="23"/>
        </w:rPr>
        <w:t>: Access latency was modeled as a static property without accounting for dynamic WAN network jitter or multi-region replication overheads.</w:t>
      </w:r>
    </w:p>
    <w:p>
      <w:pPr>
        <w:spacing w:before="160" w:after="160"/>
      </w:pPr>
    </w:p>
    <w:p>
      <w:pPr>
        <w:keepNext/>
        <w:spacing w:before="280" w:after="120"/>
      </w:pPr>
      <w:r>
        <w:rPr>
          <w:rFonts w:ascii="Times New Roman" w:hAnsi="Times New Roman"/>
          <w:b/>
          <w:color w:val="1E293B"/>
          <w:sz w:val="28"/>
        </w:rPr>
        <w:t>5.6 Implications of the Study</w:t>
      </w:r>
    </w:p>
    <w:p>
      <w:pPr>
        <w:spacing w:before="0" w:after="120" w:line="276" w:lineRule="auto"/>
      </w:pPr>
      <w:r>
        <w:rPr>
          <w:rFonts w:ascii="Times New Roman" w:hAnsi="Times New Roman"/>
          <w:color w:val="0F172A"/>
          <w:sz w:val="23"/>
        </w:rPr>
        <w:t>The outcomes of this project offer practical value for cloud practitioners: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For Cloud Service Providers (CSPs)</w:t>
      </w:r>
      <w:r>
        <w:rPr>
          <w:rFonts w:ascii="Times New Roman" w:hAnsi="Times New Roman"/>
          <w:color w:val="0F172A"/>
          <w:sz w:val="23"/>
        </w:rPr>
        <w:t>: Implementing multi-objective scoring minimizes tier over-allocation, freeing up high-performance block storage for premium workloads.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For Enterprise IT Infrastructure Managers</w:t>
      </w:r>
      <w:r>
        <w:rPr>
          <w:rFonts w:ascii="Times New Roman" w:hAnsi="Times New Roman"/>
          <w:color w:val="0F172A"/>
          <w:sz w:val="23"/>
        </w:rPr>
        <w:t>: The interactive weight slider provides non-technical infrastructure managers with an intuitive tool to adjust storage procurement strategies based on budget cycles.</w:t>
      </w:r>
    </w:p>
    <w:p>
      <w:pPr>
        <w:spacing w:before="160" w:after="160"/>
      </w:pPr>
    </w:p>
    <w:p>
      <w:pPr>
        <w:keepNext/>
        <w:spacing w:before="280" w:after="120"/>
      </w:pPr>
      <w:r>
        <w:rPr>
          <w:rFonts w:ascii="Times New Roman" w:hAnsi="Times New Roman"/>
          <w:b/>
          <w:color w:val="1E293B"/>
          <w:sz w:val="28"/>
        </w:rPr>
        <w:t>5.7 Summary of Project Contributions</w:t>
      </w:r>
    </w:p>
    <w:p>
      <w:pPr>
        <w:spacing w:before="0" w:after="120" w:line="276" w:lineRule="auto"/>
      </w:pPr>
      <w:r>
        <w:rPr>
          <w:rFonts w:ascii="Times New Roman" w:hAnsi="Times New Roman"/>
          <w:color w:val="0F172A"/>
          <w:sz w:val="23"/>
        </w:rPr>
        <w:t>This project makes three key contributions to computer technology and cloud resource management:</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Algorithmic Contribution</w:t>
      </w:r>
      <w:r>
        <w:rPr>
          <w:rFonts w:ascii="Times New Roman" w:hAnsi="Times New Roman"/>
          <w:color w:val="0F172A"/>
          <w:sz w:val="23"/>
        </w:rPr>
        <w:t>: A lightweight, mathematically rigorous multi-objective greedy heuristic that standardizes cost and unavailability dimensions via Min-Max scaling.</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Software Artifact</w:t>
      </w:r>
      <w:r>
        <w:rPr>
          <w:rFonts w:ascii="Times New Roman" w:hAnsi="Times New Roman"/>
          <w:color w:val="0F172A"/>
          <w:sz w:val="23"/>
        </w:rPr>
        <w:t>: A fully functional, open-source Streamlit simulation application with real-time baseline comparative evaluation and SQLite log persistence.</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Empirical Benchmark</w:t>
      </w:r>
      <w:r>
        <w:rPr>
          <w:rFonts w:ascii="Times New Roman" w:hAnsi="Times New Roman"/>
          <w:color w:val="0F172A"/>
          <w:sz w:val="23"/>
        </w:rPr>
        <w:t xml:space="preserve">: Empirical proof of a </w:t>
      </w:r>
      <w:r>
        <w:rPr>
          <w:rFonts w:ascii="Times New Roman" w:hAnsi="Times New Roman"/>
          <w:b/>
          <w:color w:val="0F172A"/>
          <w:sz w:val="23"/>
        </w:rPr>
        <w:t>17.81% cost savings</w:t>
      </w:r>
      <w:r>
        <w:rPr>
          <w:rFonts w:ascii="Times New Roman" w:hAnsi="Times New Roman"/>
          <w:color w:val="0F172A"/>
          <w:sz w:val="23"/>
        </w:rPr>
        <w:t xml:space="preserve"> under </w:t>
      </w:r>
      <w:r>
        <w:rPr>
          <w:rFonts w:ascii="Times New Roman" w:hAnsi="Times New Roman"/>
          <w:b/>
          <w:color w:val="0F172A"/>
          <w:sz w:val="23"/>
        </w:rPr>
        <w:t>100% SLA availability compliance</w:t>
      </w:r>
      <w:r>
        <w:rPr>
          <w:rFonts w:ascii="Times New Roman" w:hAnsi="Times New Roman"/>
          <w:color w:val="0F172A"/>
          <w:sz w:val="23"/>
        </w:rPr>
        <w:t xml:space="preserve"> across 500 benchmark allocation scenarios.</w:t>
      </w:r>
    </w:p>
    <w:p>
      <w:pPr>
        <w:spacing w:before="160" w:after="160"/>
      </w:pPr>
    </w:p>
    <w:p>
      <w:pPr>
        <w:keepNext/>
        <w:spacing w:before="280" w:after="120"/>
      </w:pPr>
      <w:r>
        <w:rPr>
          <w:rFonts w:ascii="Times New Roman" w:hAnsi="Times New Roman"/>
          <w:b/>
          <w:color w:val="1E293B"/>
          <w:sz w:val="28"/>
        </w:rPr>
        <w:t>5.8 Recommendations for Future Work</w:t>
      </w:r>
    </w:p>
    <w:p>
      <w:pPr>
        <w:spacing w:before="0" w:after="120" w:line="276" w:lineRule="auto"/>
      </w:pPr>
      <w:r>
        <w:rPr>
          <w:rFonts w:ascii="Times New Roman" w:hAnsi="Times New Roman"/>
          <w:color w:val="0F172A"/>
          <w:sz w:val="23"/>
        </w:rPr>
        <w:t>To extend the capabilities of this research, future studies should consider:</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Machine Learning Predictive Integration</w:t>
      </w:r>
      <w:r>
        <w:rPr>
          <w:rFonts w:ascii="Times New Roman" w:hAnsi="Times New Roman"/>
          <w:color w:val="0F172A"/>
          <w:sz w:val="23"/>
        </w:rPr>
        <w:t>: Incorporating predictive ML models (e.g., LSTM or XGBoost) to forecast seasonal storage demand spikes and auto-scale allocations.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Real-Time Telemetry API Integration</w:t>
      </w:r>
      <w:r>
        <w:rPr>
          <w:rFonts w:ascii="Times New Roman" w:hAnsi="Times New Roman"/>
          <w:color w:val="0F172A"/>
          <w:sz w:val="23"/>
        </w:rPr>
        <w:t>: Connecting the heuristic engine to live cloud APIs (AWS CloudWatch, Azure Monitor, Prometheus) to dynamically incorporate real-time latency telemetry.</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Multi-Cloud Migration &amp; Replication</w:t>
      </w:r>
      <w:r>
        <w:rPr>
          <w:rFonts w:ascii="Times New Roman" w:hAnsi="Times New Roman"/>
          <w:color w:val="0F172A"/>
          <w:sz w:val="23"/>
        </w:rPr>
        <w:t>: Expanding the model to support multi-cloud data replication policies and dynamic inter-cloud data transfer cost calculations.</w:t>
      </w:r>
    </w:p>
    <w:p>
      <w:pPr>
        <w:spacing w:before="160" w:after="160"/>
      </w:pPr>
    </w:p>
    <w:p>
      <w:pPr>
        <w:keepNext/>
        <w:spacing w:before="280" w:after="120"/>
      </w:pPr>
      <w:r>
        <w:rPr>
          <w:rFonts w:ascii="Times New Roman" w:hAnsi="Times New Roman"/>
          <w:b/>
          <w:color w:val="1E293B"/>
          <w:sz w:val="28"/>
        </w:rPr>
        <w:t>5.9 Chapter Summary</w:t>
      </w:r>
    </w:p>
    <w:p>
      <w:pPr>
        <w:spacing w:before="0" w:after="120" w:line="276" w:lineRule="auto"/>
      </w:pPr>
      <w:r>
        <w:rPr>
          <w:rFonts w:ascii="Times New Roman" w:hAnsi="Times New Roman"/>
          <w:color w:val="0F172A"/>
          <w:sz w:val="23"/>
        </w:rPr>
        <w:t>This chapter discussed the empirical findings, theoretical implications, project limitations, contributions, and future recommendations for the cloud storage allocation optimizer. The research successfully met all initial objectives, demonstrating that dual-objective heuristic scoring with Min-Max normalization significantly reduces cloud storage expenditure (17.81% savings) while maintaining strict SLA availability compliance (100%).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