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000000"/>
          <w:sz w:val="32"/>
        </w:rPr>
        <w:t>SLA-AWARE CLOUD STORAGE RESOURCE ALLOCATION OPTIMIZER</w:t>
      </w:r>
    </w:p>
    <w:p>
      <w:pPr>
        <w:keepNext/>
        <w:spacing w:before="280" w:after="120"/>
      </w:pPr>
      <w:r>
        <w:rPr>
          <w:rFonts w:ascii="Times New Roman" w:hAnsi="Times New Roman"/>
          <w:b/>
          <w:color w:val="000000"/>
          <w:sz w:val="28"/>
        </w:rPr>
        <w:t>Simple Technical Guide for System Foundations and Allocation Engine</w:t>
      </w:r>
    </w:p>
    <w:p>
      <w:pPr>
        <w:spacing w:before="160" w:after="160"/>
      </w:pPr>
    </w:p>
    <w:p>
      <w:pPr>
        <w:keepNext/>
        <w:spacing w:before="280" w:after="120"/>
      </w:pPr>
      <w:r>
        <w:rPr>
          <w:rFonts w:ascii="Times New Roman" w:hAnsi="Times New Roman"/>
          <w:b/>
          <w:color w:val="000000"/>
          <w:sz w:val="28"/>
        </w:rPr>
        <w:t>1. System Foundations &amp; Overview</w:t>
      </w:r>
    </w:p>
    <w:p>
      <w:pPr>
        <w:spacing w:before="0" w:after="120" w:line="360" w:lineRule="auto"/>
      </w:pPr>
      <w:r>
        <w:rPr>
          <w:rFonts w:ascii="Times New Roman" w:hAnsi="Times New Roman"/>
          <w:color w:val="000000"/>
          <w:sz w:val="24"/>
        </w:rPr>
        <w:t xml:space="preserve">The </w:t>
      </w:r>
      <w:r>
        <w:rPr>
          <w:rFonts w:ascii="Times New Roman" w:hAnsi="Times New Roman"/>
          <w:b/>
          <w:color w:val="000000"/>
          <w:sz w:val="24"/>
        </w:rPr>
        <w:t>SLA-Aware Cloud Storage Resource Allocation Optimizer</w:t>
      </w:r>
      <w:r>
        <w:rPr>
          <w:rFonts w:ascii="Times New Roman" w:hAnsi="Times New Roman"/>
          <w:color w:val="000000"/>
          <w:sz w:val="24"/>
        </w:rPr>
        <w:t xml:space="preserve"> is an automated decision tool designed to help cloud tenants select the best cloud storage tier for their applications. Cloud providers offer different storage products—such as fast SSD Block Storage, versatile File Storage, and low-cost Object Storage. Manual selection is difficult because fast, reliable storage is expensive, while low-cost storage is slower and less reliable. Selecting storage manually often leads to over-spending or unexpected performance outages.</w:t>
      </w:r>
    </w:p>
    <w:p>
      <w:pPr>
        <w:spacing w:before="0" w:after="120" w:line="360" w:lineRule="auto"/>
      </w:pPr>
      <w:r>
        <w:rPr>
          <w:rFonts w:ascii="Times New Roman" w:hAnsi="Times New Roman"/>
          <w:color w:val="000000"/>
          <w:sz w:val="24"/>
        </w:rPr>
        <w:t>The optimizer solves this problem by taking the user's workload requirements and processing them through a two-stage decision engine: first filtering out non-compliant storage options, and then scoring the remaining options using a weighted multi-objective heuristic algorithm.</w:t>
      </w:r>
    </w:p>
    <w:p>
      <w:pPr>
        <w:spacing w:before="160" w:after="160"/>
      </w:pPr>
    </w:p>
    <w:p>
      <w:pPr>
        <w:keepNext/>
        <w:spacing w:before="280" w:after="120"/>
      </w:pPr>
      <w:r>
        <w:rPr>
          <w:rFonts w:ascii="Times New Roman" w:hAnsi="Times New Roman"/>
          <w:b/>
          <w:color w:val="000000"/>
          <w:sz w:val="28"/>
        </w:rPr>
        <w:t>2. The 4 Core System Parameters</w:t>
      </w:r>
    </w:p>
    <w:p>
      <w:pPr>
        <w:spacing w:before="0" w:after="120" w:line="360" w:lineRule="auto"/>
      </w:pPr>
      <w:r>
        <w:rPr>
          <w:rFonts w:ascii="Times New Roman" w:hAnsi="Times New Roman"/>
          <w:color w:val="000000"/>
          <w:sz w:val="24"/>
        </w:rPr>
        <w:t>The system evaluates storage options using four simple parameters:</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Max Tolerable Access Latency (L_req in ms)</w:t>
      </w:r>
      <w:r>
        <w:rPr>
          <w:rFonts w:ascii="Times New Roman" w:hAnsi="Times New Roman"/>
          <w:color w:val="000000"/>
          <w:sz w:val="24"/>
        </w:rPr>
        <w:t>: The maximum response time an application can tolerate. Hardware latency dictates speed (SSD Block = 2.0 ms, NAS File = 10.0 ms, Object = 50.0 ms). Any storage tier slower than L_req is physically disqualified.</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Availability SLA Target (A_req in %)</w:t>
      </w:r>
      <w:r>
        <w:rPr>
          <w:rFonts w:ascii="Times New Roman" w:hAnsi="Times New Roman"/>
          <w:color w:val="000000"/>
          <w:sz w:val="24"/>
        </w:rPr>
        <w:t>: The minimum required uptime guarantee. SLA values determine allowable downtime per year (99.0% allows 87.6 hours; 99.999% allows only 5.26 minutes). Tiers offering lower uptime than A_req are disqualified.</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Cost Optimization Weight (α, Alpha)</w:t>
      </w:r>
      <w:r>
        <w:rPr>
          <w:rFonts w:ascii="Times New Roman" w:hAnsi="Times New Roman"/>
          <w:color w:val="000000"/>
          <w:sz w:val="24"/>
        </w:rPr>
        <w:t>: A slider between 0.0 and 1.0 that sets priority between cost savings and uptime reliability. Setting Alpha = 1.0 focuses entirely on cost reduction; setting Alpha = 0.0 focuses entirely on high availability; setting Alpha = 0.5 balances both equally (companion weight β = 1.0 - α).</w:t>
      </w:r>
    </w:p>
    <w:p>
      <w:pPr>
        <w:spacing w:before="0" w:after="120" w:line="360" w:lineRule="auto"/>
      </w:pPr>
      <w:r>
        <w:rPr>
          <w:rFonts w:ascii="Times New Roman" w:hAnsi="Times New Roman"/>
          <w:color w:val="000000"/>
          <w:sz w:val="24"/>
        </w:rPr>
        <w:t xml:space="preserve">4. </w:t>
      </w:r>
      <w:r>
        <w:rPr>
          <w:rFonts w:ascii="Times New Roman" w:hAnsi="Times New Roman"/>
          <w:b/>
          <w:color w:val="000000"/>
          <w:sz w:val="24"/>
        </w:rPr>
        <w:t>Monthly Budget Constraint (B in $, Optional)</w:t>
      </w:r>
      <w:r>
        <w:rPr>
          <w:rFonts w:ascii="Times New Roman" w:hAnsi="Times New Roman"/>
          <w:color w:val="000000"/>
          <w:sz w:val="24"/>
        </w:rPr>
        <w:t>: An optional monthly spending limit. Any tier whose total monthly cost exceeds B is disqualified.</w:t>
      </w:r>
    </w:p>
    <w:p>
      <w:pPr>
        <w:spacing w:before="160" w:after="160"/>
      </w:pPr>
    </w:p>
    <w:p>
      <w:pPr>
        <w:keepNext/>
        <w:spacing w:before="280" w:after="120"/>
      </w:pPr>
      <w:r>
        <w:rPr>
          <w:rFonts w:ascii="Times New Roman" w:hAnsi="Times New Roman"/>
          <w:b/>
          <w:color w:val="000000"/>
          <w:sz w:val="28"/>
        </w:rPr>
        <w:t>3. System Conceptual Architecture &amp; Flowchart</w:t>
      </w:r>
    </w:p>
    <w:p>
      <w:pPr>
        <w:spacing w:before="0" w:after="120" w:line="360" w:lineRule="auto"/>
      </w:pPr>
      <w:r>
        <w:rPr>
          <w:rFonts w:ascii="Times New Roman" w:hAnsi="Times New Roman"/>
          <w:color w:val="000000"/>
          <w:sz w:val="24"/>
        </w:rPr>
        <w:t>The system processes requests in three logical phases: capturing user inputs, filtering non-compliant options, and scoring the remaining options. Figure 1 illustrates this conceptual framework.</w:t>
      </w:r>
    </w:p>
    <w:p>
      <w:pPr>
        <w:keepNext/>
        <w:spacing w:before="280" w:after="80"/>
        <w:jc w:val="center"/>
      </w:pPr>
      <w:r>
        <w:drawing>
          <wp:inline xmlns:a="http://schemas.openxmlformats.org/drawingml/2006/main" xmlns:pic="http://schemas.openxmlformats.org/drawingml/2006/picture">
            <wp:extent cx="5669280" cy="3201476"/>
            <wp:docPr id="1" name="Picture 1"/>
            <wp:cNvGraphicFramePr>
              <a:graphicFrameLocks noChangeAspect="1"/>
            </wp:cNvGraphicFramePr>
            <a:graphic>
              <a:graphicData uri="http://schemas.openxmlformats.org/drawingml/2006/picture">
                <pic:pic>
                  <pic:nvPicPr>
                    <pic:cNvPr id="0" name="figure_1_conceptual_framework.png"/>
                    <pic:cNvPicPr/>
                  </pic:nvPicPr>
                  <pic:blipFill>
                    <a:blip r:embed="rId9"/>
                    <a:stretch>
                      <a:fillRect/>
                    </a:stretch>
                  </pic:blipFill>
                  <pic:spPr>
                    <a:xfrm>
                      <a:off x="0" y="0"/>
                      <a:ext cx="5669280" cy="3201476"/>
                    </a:xfrm>
                    <a:prstGeom prst="rect"/>
                  </pic:spPr>
                </pic:pic>
              </a:graphicData>
            </a:graphic>
          </wp:inline>
        </w:drawing>
      </w:r>
    </w:p>
    <w:p>
      <w:pPr>
        <w:spacing w:before="40" w:after="280"/>
        <w:jc w:val="center"/>
      </w:pPr>
      <w:r>
        <w:rPr>
          <w:rFonts w:ascii="Times New Roman" w:hAnsi="Times New Roman"/>
          <w:i/>
          <w:color w:val="000000"/>
          <w:sz w:val="20"/>
        </w:rPr>
        <w:t>Figure 1: Conceptual Framework showing parameter relationships and decision pipeline</w:t>
      </w:r>
    </w:p>
    <w:p>
      <w:pPr>
        <w:spacing w:before="0" w:after="120" w:line="360" w:lineRule="auto"/>
      </w:pPr>
      <w:r>
        <w:rPr>
          <w:rFonts w:ascii="Times New Roman" w:hAnsi="Times New Roman"/>
          <w:color w:val="000000"/>
          <w:sz w:val="24"/>
        </w:rPr>
        <w:t>Figure 2 shows the operational flowchart detailing how requests pass from the user interface into the optimization engine, query the SQLite database, apply filtering rules, calculate normalized scores, and log the recommendation transaction into the database.</w:t>
      </w:r>
    </w:p>
    <w:p>
      <w:pPr>
        <w:keepNext/>
        <w:spacing w:before="280" w:after="80"/>
        <w:jc w:val="center"/>
      </w:pPr>
      <w:r>
        <w:drawing>
          <wp:inline xmlns:a="http://schemas.openxmlformats.org/drawingml/2006/main" xmlns:pic="http://schemas.openxmlformats.org/drawingml/2006/picture">
            <wp:extent cx="5669280" cy="4001845"/>
            <wp:docPr id="2" name="Picture 2"/>
            <wp:cNvGraphicFramePr>
              <a:graphicFrameLocks noChangeAspect="1"/>
            </wp:cNvGraphicFramePr>
            <a:graphic>
              <a:graphicData uri="http://schemas.openxmlformats.org/drawingml/2006/picture">
                <pic:pic>
                  <pic:nvPicPr>
                    <pic:cNvPr id="0" name="figure_3_6_flowchart.png"/>
                    <pic:cNvPicPr/>
                  </pic:nvPicPr>
                  <pic:blipFill>
                    <a:blip r:embed="rId10"/>
                    <a:stretch>
                      <a:fillRect/>
                    </a:stretch>
                  </pic:blipFill>
                  <pic:spPr>
                    <a:xfrm>
                      <a:off x="0" y="0"/>
                      <a:ext cx="5669280" cy="4001845"/>
                    </a:xfrm>
                    <a:prstGeom prst="rect"/>
                  </pic:spPr>
                </pic:pic>
              </a:graphicData>
            </a:graphic>
          </wp:inline>
        </w:drawing>
      </w:r>
    </w:p>
    <w:p>
      <w:pPr>
        <w:spacing w:before="40" w:after="280"/>
        <w:jc w:val="center"/>
      </w:pPr>
      <w:r>
        <w:rPr>
          <w:rFonts w:ascii="Times New Roman" w:hAnsi="Times New Roman"/>
          <w:i/>
          <w:color w:val="000000"/>
          <w:sz w:val="20"/>
        </w:rPr>
        <w:t>Figure 2: System Algorithm Flowchart showing Constraint Pipeline and Dual Scoring</w:t>
      </w:r>
    </w:p>
    <w:p>
      <w:pPr>
        <w:spacing w:before="160" w:after="160"/>
      </w:pPr>
    </w:p>
    <w:p>
      <w:pPr>
        <w:keepNext/>
        <w:spacing w:before="280" w:after="120"/>
      </w:pPr>
      <w:r>
        <w:rPr>
          <w:rFonts w:ascii="Times New Roman" w:hAnsi="Times New Roman"/>
          <w:b/>
          <w:color w:val="000000"/>
          <w:sz w:val="28"/>
        </w:rPr>
        <w:t>4. Core Heuristic Algorithm Pseudocode</w:t>
      </w:r>
    </w:p>
    <w:p>
      <w:pPr>
        <w:spacing w:before="0" w:after="120" w:line="360" w:lineRule="auto"/>
      </w:pPr>
      <w:r>
        <w:rPr>
          <w:rFonts w:ascii="Times New Roman" w:hAnsi="Times New Roman"/>
          <w:color w:val="000000"/>
          <w:sz w:val="24"/>
        </w:rPr>
        <w:t xml:space="preserve">The recommendation engine executes the </w:t>
      </w:r>
      <w:r>
        <w:rPr>
          <w:rFonts w:ascii="Times New Roman" w:hAnsi="Times New Roman"/>
          <w:b/>
          <w:color w:val="000000"/>
          <w:sz w:val="24"/>
        </w:rPr>
        <w:t>SLA-Aware Dual-Objective Storage Allocation Heuristic Algorithm</w:t>
      </w:r>
      <w:r>
        <w:rPr>
          <w:rFonts w:ascii="Times New Roman" w:hAnsi="Times New Roman"/>
          <w:color w:val="000000"/>
          <w:sz w:val="24"/>
        </w:rPr>
        <w:t>. Figure 3 provides a screenshot snapshot of the formal pseudocode logic.</w:t>
      </w:r>
    </w:p>
    <w:p>
      <w:pPr>
        <w:keepNext/>
        <w:spacing w:before="280" w:after="80"/>
        <w:jc w:val="center"/>
      </w:pPr>
      <w:r>
        <w:drawing>
          <wp:inline xmlns:a="http://schemas.openxmlformats.org/drawingml/2006/main" xmlns:pic="http://schemas.openxmlformats.org/drawingml/2006/picture">
            <wp:extent cx="5669280" cy="3601660"/>
            <wp:docPr id="3" name="Picture 3"/>
            <wp:cNvGraphicFramePr>
              <a:graphicFrameLocks noChangeAspect="1"/>
            </wp:cNvGraphicFramePr>
            <a:graphic>
              <a:graphicData uri="http://schemas.openxmlformats.org/drawingml/2006/picture">
                <pic:pic>
                  <pic:nvPicPr>
                    <pic:cNvPr id="0" name="figure_3_6_algorithm_pseudocode.png"/>
                    <pic:cNvPicPr/>
                  </pic:nvPicPr>
                  <pic:blipFill>
                    <a:blip r:embed="rId11"/>
                    <a:stretch>
                      <a:fillRect/>
                    </a:stretch>
                  </pic:blipFill>
                  <pic:spPr>
                    <a:xfrm>
                      <a:off x="0" y="0"/>
                      <a:ext cx="5669280" cy="3601660"/>
                    </a:xfrm>
                    <a:prstGeom prst="rect"/>
                  </pic:spPr>
                </pic:pic>
              </a:graphicData>
            </a:graphic>
          </wp:inline>
        </w:drawing>
      </w:r>
    </w:p>
    <w:p>
      <w:pPr>
        <w:spacing w:before="40" w:after="280"/>
        <w:jc w:val="center"/>
      </w:pPr>
      <w:r>
        <w:rPr>
          <w:rFonts w:ascii="Times New Roman" w:hAnsi="Times New Roman"/>
          <w:i/>
          <w:color w:val="000000"/>
          <w:sz w:val="20"/>
        </w:rPr>
        <w:t>Figure 3: Algorithm 3.1 Pseudocode logic of the core SLA-aware dual-objective heuristic algorithm</w:t>
      </w:r>
    </w:p>
    <w:p>
      <w:pPr>
        <w:spacing w:before="0" w:after="120" w:line="360" w:lineRule="auto"/>
      </w:pPr>
      <w:r>
        <w:rPr>
          <w:rFonts w:ascii="Times New Roman" w:hAnsi="Times New Roman"/>
          <w:color w:val="000000"/>
          <w:sz w:val="24"/>
        </w:rPr>
        <w:t>When an allocation request runs, the algorithm computes total monthly cost for each tier, filters out non-compliant tiers, converts uptime percentage into unavailability, scales cost and unavailability metrics into a 0.0 to 1.0 range, and evaluates the final weighted score. The tier with the lowest score is selected as the winning recommendation.</w:t>
      </w:r>
    </w:p>
    <w:p>
      <w:pPr>
        <w:spacing w:before="160" w:after="160"/>
      </w:pPr>
    </w:p>
    <w:p>
      <w:pPr>
        <w:keepNext/>
        <w:spacing w:before="280" w:after="120"/>
      </w:pPr>
      <w:r>
        <w:rPr>
          <w:rFonts w:ascii="Times New Roman" w:hAnsi="Times New Roman"/>
          <w:b/>
          <w:color w:val="000000"/>
          <w:sz w:val="28"/>
        </w:rPr>
        <w:t>5. Simple Step-by-Step Optimization Process</w:t>
      </w:r>
    </w:p>
    <w:p>
      <w:pPr>
        <w:spacing w:before="0" w:after="120" w:line="360" w:lineRule="auto"/>
      </w:pPr>
      <w:r>
        <w:rPr>
          <w:rFonts w:ascii="Times New Roman" w:hAnsi="Times New Roman"/>
          <w:color w:val="000000"/>
          <w:sz w:val="24"/>
        </w:rPr>
        <w:t>The algorithm follows seven simple, proper steps to generate a recommendation:</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1 (Sizing)</w:t>
      </w:r>
      <w:r>
        <w:rPr>
          <w:rFonts w:ascii="Times New Roman" w:hAnsi="Times New Roman"/>
          <w:color w:val="000000"/>
          <w:sz w:val="24"/>
        </w:rPr>
        <w:t>: Determine the required storage capacity in Gigabytes (S_req).</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2 (Cost Calculation)</w:t>
      </w:r>
      <w:r>
        <w:rPr>
          <w:rFonts w:ascii="Times New Roman" w:hAnsi="Times New Roman"/>
          <w:color w:val="000000"/>
          <w:sz w:val="24"/>
        </w:rPr>
        <w:t>: Calculate total monthly cost for each storage tier: Cost = UnitCost × S_req.</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3 (Hard Filtering)</w:t>
      </w:r>
      <w:r>
        <w:rPr>
          <w:rFonts w:ascii="Times New Roman" w:hAnsi="Times New Roman"/>
          <w:color w:val="000000"/>
          <w:sz w:val="24"/>
        </w:rPr>
        <w:t>: Remove any tier that fails access latency (Latency &gt; L_req), uptime (SLA &lt; A_req), or budget (Cost &gt; B).</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4 (Unavailability Conversion)</w:t>
      </w:r>
      <w:r>
        <w:rPr>
          <w:rFonts w:ascii="Times New Roman" w:hAnsi="Times New Roman"/>
          <w:color w:val="000000"/>
          <w:sz w:val="24"/>
        </w:rPr>
        <w:t>: Convert uptime percentage into unavailability: Unavailability = 1.0 - (SLA / 100).</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5 (Range Scaling)</w:t>
      </w:r>
      <w:r>
        <w:rPr>
          <w:rFonts w:ascii="Times New Roman" w:hAnsi="Times New Roman"/>
          <w:color w:val="000000"/>
          <w:sz w:val="24"/>
        </w:rPr>
        <w:t>: Normalize cost and unavailability into a standard 0.0 to 1.0 scale over eligible tiers.</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6 (Dual Scoring)</w:t>
      </w:r>
      <w:r>
        <w:rPr>
          <w:rFonts w:ascii="Times New Roman" w:hAnsi="Times New Roman"/>
          <w:color w:val="000000"/>
          <w:sz w:val="24"/>
        </w:rPr>
        <w:t>: Calculate final score: Score = Alpha × Cost_norm + (1.0 - Alpha) × Unavail_norm.</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Step 7 (Selection)</w:t>
      </w:r>
      <w:r>
        <w:rPr>
          <w:rFonts w:ascii="Times New Roman" w:hAnsi="Times New Roman"/>
          <w:color w:val="000000"/>
          <w:sz w:val="24"/>
        </w:rPr>
        <w:t>: Select the tier with the lowest score as the winning recommendation and save the record to SQLite.</w:t>
      </w:r>
    </w:p>
    <w:p>
      <w:pPr>
        <w:spacing w:before="160" w:after="160"/>
      </w:pPr>
    </w:p>
    <w:p>
      <w:pPr>
        <w:keepNext/>
        <w:spacing w:before="280" w:after="120"/>
      </w:pPr>
      <w:r>
        <w:rPr>
          <w:rFonts w:ascii="Times New Roman" w:hAnsi="Times New Roman"/>
          <w:b/>
          <w:color w:val="000000"/>
          <w:sz w:val="28"/>
        </w:rPr>
        <w:t>6. Simple Worked Example (500 GB Request)</w:t>
      </w:r>
    </w:p>
    <w:p>
      <w:pPr>
        <w:spacing w:before="0" w:after="120" w:line="360" w:lineRule="auto"/>
      </w:pPr>
      <w:r>
        <w:rPr>
          <w:rFonts w:ascii="Times New Roman" w:hAnsi="Times New Roman"/>
          <w:color w:val="000000"/>
          <w:sz w:val="24"/>
        </w:rPr>
        <w:t>Here is a simple numerical walk-through demonstrating how the algorithm selects a tier:</w:t>
      </w:r>
    </w:p>
    <w:p>
      <w:pPr>
        <w:keepNext/>
        <w:spacing w:before="240" w:after="80"/>
      </w:pPr>
      <w:r>
        <w:rPr>
          <w:rFonts w:ascii="Times New Roman" w:hAnsi="Times New Roman"/>
          <w:b/>
          <w:color w:val="000000"/>
          <w:sz w:val="25"/>
        </w:rPr>
        <w:t>Input Requirements:</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Storage Size</w:t>
      </w:r>
      <w:r>
        <w:rPr>
          <w:rFonts w:ascii="Times New Roman" w:hAnsi="Times New Roman"/>
          <w:color w:val="000000"/>
          <w:sz w:val="24"/>
        </w:rPr>
        <w:t>: 500 GB</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Availability Target</w:t>
      </w:r>
      <w:r>
        <w:rPr>
          <w:rFonts w:ascii="Times New Roman" w:hAnsi="Times New Roman"/>
          <w:color w:val="000000"/>
          <w:sz w:val="24"/>
        </w:rPr>
        <w:t>: 99.0% minimum uptime</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Latency Limit</w:t>
      </w:r>
      <w:r>
        <w:rPr>
          <w:rFonts w:ascii="Times New Roman" w:hAnsi="Times New Roman"/>
          <w:color w:val="000000"/>
          <w:sz w:val="24"/>
        </w:rPr>
        <w:t>: 20.0 ms maximum delay</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Cost Priority (Alpha)</w:t>
      </w:r>
      <w:r>
        <w:rPr>
          <w:rFonts w:ascii="Times New Roman" w:hAnsi="Times New Roman"/>
          <w:color w:val="000000"/>
          <w:sz w:val="24"/>
        </w:rPr>
        <w:t>: 0.7 (70% weight on cost savings, 30% weight on uptime reliability)</w:t>
      </w:r>
    </w:p>
    <w:p>
      <w:pPr>
        <w:keepNext/>
        <w:spacing w:before="240" w:after="80"/>
      </w:pPr>
      <w:r>
        <w:rPr>
          <w:rFonts w:ascii="Times New Roman" w:hAnsi="Times New Roman"/>
          <w:b/>
          <w:color w:val="000000"/>
          <w:sz w:val="25"/>
        </w:rPr>
        <w:t>Candidate Tiers in Database:</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Block Storage (SSD)</w:t>
      </w:r>
      <w:r>
        <w:rPr>
          <w:rFonts w:ascii="Times New Roman" w:hAnsi="Times New Roman"/>
          <w:color w:val="000000"/>
          <w:sz w:val="24"/>
        </w:rPr>
        <w:t>: 0.15/GB (75.00/month), 99.999% SLA, 2.0 ms latency.</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File Storage (NAS)</w:t>
      </w:r>
      <w:r>
        <w:rPr>
          <w:rFonts w:ascii="Times New Roman" w:hAnsi="Times New Roman"/>
          <w:color w:val="000000"/>
          <w:sz w:val="24"/>
        </w:rPr>
        <w:t>: 0.08/GB (40.00/month), 99.99% SLA, 10.0 ms latency.</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Object Storage (S3)</w:t>
      </w:r>
      <w:r>
        <w:rPr>
          <w:rFonts w:ascii="Times New Roman" w:hAnsi="Times New Roman"/>
          <w:color w:val="000000"/>
          <w:sz w:val="24"/>
        </w:rPr>
        <w:t>: 0.02/GB (10.00/month), 99.0% SLA, 50.0 ms latency.</w:t>
      </w:r>
    </w:p>
    <w:p>
      <w:pPr>
        <w:keepNext/>
        <w:spacing w:before="240" w:after="80"/>
      </w:pPr>
      <w:r>
        <w:rPr>
          <w:rFonts w:ascii="Times New Roman" w:hAnsi="Times New Roman"/>
          <w:b/>
          <w:color w:val="000000"/>
          <w:sz w:val="25"/>
        </w:rPr>
        <w:t>Step-by-Step Execution:</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Constraint Check</w:t>
      </w:r>
      <w:r>
        <w:rPr>
          <w:rFonts w:ascii="Times New Roman" w:hAnsi="Times New Roman"/>
          <w:color w:val="000000"/>
          <w:sz w:val="24"/>
        </w:rPr>
        <w:t xml:space="preserve">: Object Storage latency is 50.0 ms, which exceeds the 20.0 ms limit → </w:t>
      </w:r>
      <w:r>
        <w:rPr>
          <w:rFonts w:ascii="Times New Roman" w:hAnsi="Times New Roman"/>
          <w:b/>
          <w:color w:val="000000"/>
          <w:sz w:val="24"/>
        </w:rPr>
        <w:t>Object Storage is disqualified</w:t>
      </w:r>
      <w:r>
        <w:rPr>
          <w:rFonts w:ascii="Times New Roman" w:hAnsi="Times New Roman"/>
          <w:color w:val="000000"/>
          <w:sz w:val="24"/>
        </w:rPr>
        <w:t>. Block Storage (2.0 ms) and File Storage (10.0 ms) pass.</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Metric Normalization</w:t>
      </w:r>
      <w:r>
        <w:rPr>
          <w:rFonts w:ascii="Times New Roman" w:hAnsi="Times New Roman"/>
          <w:color w:val="000000"/>
          <w:sz w:val="24"/>
        </w:rPr>
        <w:t>: Over eligible tiers (Block &amp; File), Block Storage has higher cost (Cost_norm = 1.0) and lower unavailability (Unavail_norm = 0.0). File Storage has lower cost (Cost_norm = 0.0) and higher unavailability (Unavail_norm = 1.0).</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Score Evaluation (Alpha = 0.7, Beta = 0.3)</w:t>
      </w:r>
      <w:r>
        <w:rPr>
          <w:rFonts w:ascii="Times New Roman" w:hAnsi="Times New Roman"/>
          <w:color w:val="000000"/>
          <w:sz w:val="24"/>
        </w:rPr>
        <w:t>:</w:t>
      </w:r>
    </w:p>
    <w:p>
      <w:pPr>
        <w:spacing w:before="0" w:after="120" w:line="360" w:lineRule="auto"/>
      </w:pPr>
      <w:r>
        <w:rPr>
          <w:rFonts w:ascii="Times New Roman" w:hAnsi="Times New Roman"/>
          <w:color w:val="000000"/>
          <w:sz w:val="24"/>
        </w:rPr>
        <w:t xml:space="preserve">   * Block Storage Score = (0.7 × 1.0) + (0.3 × 0.0) = </w:t>
      </w:r>
      <w:r>
        <w:rPr>
          <w:rFonts w:ascii="Times New Roman" w:hAnsi="Times New Roman"/>
          <w:b/>
          <w:color w:val="000000"/>
          <w:sz w:val="24"/>
        </w:rPr>
        <w:t>0.70</w:t>
      </w:r>
      <w:r>
        <w:rPr>
          <w:rFonts w:ascii="Times New Roman" w:hAnsi="Times New Roman"/>
          <w:color w:val="000000"/>
          <w:sz w:val="24"/>
        </w:rPr>
      </w:r>
    </w:p>
    <w:p>
      <w:pPr>
        <w:spacing w:before="0" w:after="120" w:line="360" w:lineRule="auto"/>
      </w:pPr>
      <w:r>
        <w:rPr>
          <w:rFonts w:ascii="Times New Roman" w:hAnsi="Times New Roman"/>
          <w:color w:val="000000"/>
          <w:sz w:val="24"/>
        </w:rPr>
        <w:t xml:space="preserve">   * File Storage Score = (0.7 × 0.0) + (0.3 × 1.0) = </w:t>
      </w:r>
      <w:r>
        <w:rPr>
          <w:rFonts w:ascii="Times New Roman" w:hAnsi="Times New Roman"/>
          <w:b/>
          <w:color w:val="000000"/>
          <w:sz w:val="24"/>
        </w:rPr>
        <w:t>0.30</w:t>
      </w:r>
      <w:r>
        <w:rPr>
          <w:rFonts w:ascii="Times New Roman" w:hAnsi="Times New Roman"/>
          <w:color w:val="000000"/>
          <w:sz w:val="24"/>
        </w:rPr>
      </w:r>
    </w:p>
    <w:p>
      <w:pPr>
        <w:spacing w:before="0" w:after="120" w:line="360" w:lineRule="auto"/>
      </w:pPr>
      <w:r>
        <w:rPr>
          <w:rFonts w:ascii="Times New Roman" w:hAnsi="Times New Roman"/>
          <w:color w:val="000000"/>
          <w:sz w:val="24"/>
        </w:rPr>
        <w:t xml:space="preserve">4. </w:t>
      </w:r>
      <w:r>
        <w:rPr>
          <w:rFonts w:ascii="Times New Roman" w:hAnsi="Times New Roman"/>
          <w:b/>
          <w:color w:val="000000"/>
          <w:sz w:val="24"/>
        </w:rPr>
        <w:t>Final Decision</w:t>
      </w:r>
      <w:r>
        <w:rPr>
          <w:rFonts w:ascii="Times New Roman" w:hAnsi="Times New Roman"/>
          <w:color w:val="000000"/>
          <w:sz w:val="24"/>
        </w:rPr>
        <w:t xml:space="preserve">: File Storage has the lower score (0.30 vs 0.70) → </w:t>
      </w:r>
      <w:r>
        <w:rPr>
          <w:rFonts w:ascii="Times New Roman" w:hAnsi="Times New Roman"/>
          <w:b/>
          <w:color w:val="000000"/>
          <w:sz w:val="24"/>
        </w:rPr>
        <w:t>File Storage is selected as the winning recommendation!</w:t>
      </w:r>
      <w:r>
        <w:rPr>
          <w:rFonts w:ascii="Times New Roman" w:hAnsi="Times New Roman"/>
          <w:color w:val="000000"/>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