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E8622C"/>
          <w:sz w:val="18"/>
          <w:szCs w:val="18"/>
        </w:rPr>
        <w:t xml:space="preserve">AMALITECH CAPSTONE · PRODUCT FAMILY 2</w:t>
      </w:r>
    </w:p>
    <w:p>
      <w:pPr>
        <w:spacing w:after="60"/>
      </w:pPr>
      <w:r>
        <w:rPr>
          <w:rFonts w:ascii="Calibri" w:cs="Calibri" w:eastAsia="Calibri" w:hAnsi="Calibri"/>
          <w:b/>
          <w:bCs/>
          <w:color w:val="000000"/>
          <w:sz w:val="34"/>
          <w:szCs w:val="34"/>
        </w:rPr>
        <w:t xml:space="preserve">Pathfind: Full Progress Brief for Our Mentor</w:t>
      </w:r>
    </w:p>
    <w:p>
      <w:pPr>
        <w:spacing w:after="260"/>
      </w:pPr>
      <w:r>
        <w:rPr>
          <w:rFonts w:ascii="Calibri" w:cs="Calibri" w:eastAsia="Calibri" w:hAnsi="Calibri"/>
          <w:i/>
          <w:iCs/>
          <w:color w:val="000000"/>
          <w:sz w:val="20"/>
          <w:szCs w:val="20"/>
        </w:rPr>
        <w:t xml:space="preserve">Prepared ahead of our first one-on-one mentor session. We have had our introduction meeting; this document captures everything decided and built so far so you have full context before we meet.</w:t>
      </w:r>
    </w:p>
    <w:p>
      <w:pPr>
        <w:pStyle w:val="Heading1"/>
        <w:pBdr>
          <w:left w:val="single" w:color="E8622C" w:sz="18" w:space="6"/>
        </w:pBdr>
        <w:spacing w:after="140" w:before="320"/>
        <w:ind w:left="60"/>
      </w:pPr>
      <w:r>
        <w:rPr>
          <w:rFonts w:ascii="Calibri" w:cs="Calibri" w:eastAsia="Calibri" w:hAnsi="Calibri"/>
          <w:b/>
          <w:bCs/>
          <w:color w:val="000000"/>
          <w:sz w:val="28"/>
          <w:szCs w:val="28"/>
        </w:rPr>
        <w:t xml:space="preserve">1. Project Summary</w:t>
      </w:r>
    </w:p>
    <w:p>
      <w:pPr>
        <w:spacing w:after="110"/>
        <w:jc w:val="both"/>
      </w:pPr>
      <w:r>
        <w:rPr>
          <w:rFonts w:ascii="Calibri" w:cs="Calibri" w:eastAsia="Calibri" w:hAnsi="Calibri"/>
          <w:color w:val="000000"/>
          <w:sz w:val="21"/>
          <w:szCs w:val="21"/>
        </w:rPr>
        <w:t xml:space="preserve">Pathfind is a web platform connecting people transitioning into tech careers in Ghana (university students, recent graduates, bootcamp alumni, and career switchers) with experienced tech professionals who can offer structured mentorship: resume reviews, portfolio feedback, career conversations, and interview preparation.</w:t>
      </w:r>
    </w:p>
    <w:p>
      <w:pPr>
        <w:spacing w:after="110"/>
        <w:jc w:val="both"/>
      </w:pPr>
      <w:r>
        <w:rPr>
          <w:rFonts w:ascii="Calibri" w:cs="Calibri" w:eastAsia="Calibri" w:hAnsi="Calibri"/>
          <w:color w:val="000000"/>
          <w:sz w:val="21"/>
          <w:szCs w:val="21"/>
        </w:rPr>
        <w:t xml:space="preserve">This is our own team proposal rather than one of the programme's six listed themes, pitched and agreed at scoping.</w:t>
      </w:r>
    </w:p>
    <w:p>
      <w:pPr>
        <w:pStyle w:val="Heading1"/>
        <w:pBdr>
          <w:left w:val="single" w:color="E8622C" w:sz="18" w:space="6"/>
        </w:pBdr>
        <w:spacing w:after="140" w:before="320"/>
        <w:ind w:left="60"/>
      </w:pPr>
      <w:r>
        <w:rPr>
          <w:rFonts w:ascii="Calibri" w:cs="Calibri" w:eastAsia="Calibri" w:hAnsi="Calibri"/>
          <w:b/>
          <w:bCs/>
          <w:color w:val="000000"/>
          <w:sz w:val="28"/>
          <w:szCs w:val="28"/>
        </w:rPr>
        <w:t xml:space="preserve">2. Our Team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450"/>
        <w:gridCol w:w="3100"/>
      </w:tblGrid>
      <w:tr>
        <w:tc>
          <w:tcPr>
            <w:tcW w:type="dxa" w:w="2300"/>
            <w:shd w:fill="0B2A44" w:val="clear"/>
            <w:tcMar>
              <w:top w:type="dxa" w:w="90"/>
              <w:left w:type="dxa" w:w="120"/>
              <w:bottom w:type="dxa" w:w="90"/>
              <w:right w:type="dxa" w:w="120"/>
            </w:tcMar>
          </w:tcPr>
          <w:p>
            <w:pPr>
              <w:jc w:val="both"/>
            </w:pPr>
            <w:r>
              <w:rPr>
                <w:rFonts w:ascii="Calibri" w:cs="Calibri" w:eastAsia="Calibri" w:hAnsi="Calibri"/>
                <w:b/>
                <w:bCs/>
                <w:color w:val="FFFFFF"/>
                <w:sz w:val="19"/>
                <w:szCs w:val="19"/>
              </w:rPr>
              <w:t xml:space="preserve">Name</w:t>
            </w:r>
          </w:p>
        </w:tc>
        <w:tc>
          <w:tcPr>
            <w:tcW w:type="dxa" w:w="1500"/>
            <w:shd w:fill="0B2A44" w:val="clear"/>
            <w:tcMar>
              <w:top w:type="dxa" w:w="90"/>
              <w:left w:type="dxa" w:w="120"/>
              <w:bottom w:type="dxa" w:w="90"/>
              <w:right w:type="dxa" w:w="120"/>
            </w:tcMar>
          </w:tcPr>
          <w:p>
            <w:pPr>
              <w:jc w:val="both"/>
            </w:pPr>
            <w:r>
              <w:rPr>
                <w:rFonts w:ascii="Calibri" w:cs="Calibri" w:eastAsia="Calibri" w:hAnsi="Calibri"/>
                <w:b/>
                <w:bCs/>
                <w:color w:val="FFFFFF"/>
                <w:sz w:val="19"/>
                <w:szCs w:val="19"/>
              </w:rPr>
              <w:t xml:space="preserve">Track</w:t>
            </w:r>
          </w:p>
        </w:tc>
        <w:tc>
          <w:tcPr>
            <w:tcW w:type="dxa" w:w="2450"/>
            <w:shd w:fill="0B2A44" w:val="clear"/>
            <w:tcMar>
              <w:top w:type="dxa" w:w="90"/>
              <w:left w:type="dxa" w:w="120"/>
              <w:bottom w:type="dxa" w:w="90"/>
              <w:right w:type="dxa" w:w="120"/>
            </w:tcMar>
          </w:tcPr>
          <w:p>
            <w:pPr>
              <w:jc w:val="both"/>
            </w:pPr>
            <w:r>
              <w:rPr>
                <w:rFonts w:ascii="Calibri" w:cs="Calibri" w:eastAsia="Calibri" w:hAnsi="Calibri"/>
                <w:b/>
                <w:bCs/>
                <w:color w:val="FFFFFF"/>
                <w:sz w:val="19"/>
                <w:szCs w:val="19"/>
              </w:rPr>
              <w:t xml:space="preserve">Role / Ownership</w:t>
            </w:r>
          </w:p>
        </w:tc>
        <w:tc>
          <w:tcPr>
            <w:tcW w:type="dxa" w:w="3100"/>
            <w:shd w:fill="0B2A44" w:val="clear"/>
            <w:tcMar>
              <w:top w:type="dxa" w:w="90"/>
              <w:left w:type="dxa" w:w="120"/>
              <w:bottom w:type="dxa" w:w="90"/>
              <w:right w:type="dxa" w:w="120"/>
            </w:tcMar>
          </w:tcPr>
          <w:p>
            <w:pPr>
              <w:jc w:val="both"/>
            </w:pPr>
            <w:r>
              <w:rPr>
                <w:rFonts w:ascii="Calibri" w:cs="Calibri" w:eastAsia="Calibri" w:hAnsi="Calibri"/>
                <w:b/>
                <w:bCs/>
                <w:color w:val="FFFFFF"/>
                <w:sz w:val="19"/>
                <w:szCs w:val="19"/>
              </w:rPr>
              <w:t xml:space="preserve">Growth Goal</w:t>
            </w:r>
          </w:p>
        </w:tc>
      </w:tr>
      <w:tr>
        <w:tc>
          <w:tcPr>
            <w:tcW w:type="dxa" w:w="2300"/>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Mustapha Haadi</w:t>
            </w:r>
          </w:p>
        </w:tc>
        <w:tc>
          <w:tcPr>
            <w:tcW w:type="dxa" w:w="1500"/>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DevOps/Cloud</w:t>
            </w:r>
          </w:p>
        </w:tc>
        <w:tc>
          <w:tcPr>
            <w:tcW w:type="dxa" w:w="2450"/>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Team Lead. Infrastructure: repo, VPC, ECR/ECS, CI/CD.</w:t>
            </w:r>
          </w:p>
        </w:tc>
        <w:tc>
          <w:tcPr>
            <w:tcW w:type="dxa" w:w="3100"/>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Wants to build on backend skills along the way.</w:t>
            </w:r>
          </w:p>
        </w:tc>
      </w:tr>
      <w:tr>
        <w:tc>
          <w:tcPr>
            <w:tcW w:type="dxa" w:w="2300"/>
            <w:shd w:fill="F4F6F8" w:val="clear"/>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Edward Kamasah</w:t>
            </w:r>
          </w:p>
        </w:tc>
        <w:tc>
          <w:tcPr>
            <w:tcW w:type="dxa" w:w="1500"/>
            <w:shd w:fill="F4F6F8" w:val="clear"/>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Frontend</w:t>
            </w:r>
          </w:p>
        </w:tc>
        <w:tc>
          <w:tcPr>
            <w:tcW w:type="dxa" w:w="2450"/>
            <w:shd w:fill="F4F6F8" w:val="clear"/>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Mentor directory UI, search and filter, profile pages.</w:t>
            </w:r>
          </w:p>
        </w:tc>
        <w:tc>
          <w:tcPr>
            <w:tcW w:type="dxa" w:w="3100"/>
            <w:shd w:fill="F4F6F8" w:val="clear"/>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Wants to learn DevOps along the way.</w:t>
            </w:r>
          </w:p>
        </w:tc>
      </w:tr>
      <w:tr>
        <w:tc>
          <w:tcPr>
            <w:tcW w:type="dxa" w:w="2300"/>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Faith Ugwo Oghenetega</w:t>
            </w:r>
          </w:p>
        </w:tc>
        <w:tc>
          <w:tcPr>
            <w:tcW w:type="dxa" w:w="1500"/>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Fullstack</w:t>
            </w:r>
          </w:p>
        </w:tc>
        <w:tc>
          <w:tcPr>
            <w:tcW w:type="dxa" w:w="2450"/>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Request flow (data model + API), mentee dashboard.</w:t>
            </w:r>
          </w:p>
        </w:tc>
        <w:tc>
          <w:tcPr>
            <w:tcW w:type="dxa" w:w="3100"/>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Building further on her fullstack skills.</w:t>
            </w:r>
          </w:p>
        </w:tc>
      </w:tr>
      <w:tr>
        <w:tc>
          <w:tcPr>
            <w:tcW w:type="dxa" w:w="2300"/>
            <w:shd w:fill="F4F6F8" w:val="clear"/>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Margaret Amanfu</w:t>
            </w:r>
          </w:p>
        </w:tc>
        <w:tc>
          <w:tcPr>
            <w:tcW w:type="dxa" w:w="1500"/>
            <w:shd w:fill="F4F6F8" w:val="clear"/>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DevOps</w:t>
            </w:r>
          </w:p>
        </w:tc>
        <w:tc>
          <w:tcPr>
            <w:tcW w:type="dxa" w:w="2450"/>
            <w:shd w:fill="F4F6F8" w:val="clear"/>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RDS setup, CI/CD support, monitoring, email (SES).</w:t>
            </w:r>
          </w:p>
        </w:tc>
        <w:tc>
          <w:tcPr>
            <w:tcW w:type="dxa" w:w="3100"/>
            <w:shd w:fill="F4F6F8" w:val="clear"/>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Solidifying core DevOps skills.</w:t>
            </w:r>
          </w:p>
        </w:tc>
      </w:tr>
      <w:tr>
        <w:tc>
          <w:tcPr>
            <w:tcW w:type="dxa" w:w="2300"/>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Stephen Nyarko Mensah</w:t>
            </w:r>
          </w:p>
        </w:tc>
        <w:tc>
          <w:tcPr>
            <w:tcW w:type="dxa" w:w="1500"/>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Backend</w:t>
            </w:r>
          </w:p>
        </w:tc>
        <w:tc>
          <w:tcPr>
            <w:tcW w:type="dxa" w:w="2450"/>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Auth endpoints, request accept/decline logic.</w:t>
            </w:r>
          </w:p>
        </w:tc>
        <w:tc>
          <w:tcPr>
            <w:tcW w:type="dxa" w:w="3100"/>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Wants to learn frontend, moving toward fullstack.</w:t>
            </w:r>
          </w:p>
        </w:tc>
      </w:tr>
    </w:tbl>
    <w:p>
      <w:pPr>
        <w:spacing w:after="100"/>
      </w:pPr>
    </w:p>
    <w:p>
      <w:pPr>
        <w:spacing w:after="110"/>
        <w:jc w:val="both"/>
      </w:pPr>
      <w:r>
        <w:rPr>
          <w:rFonts w:ascii="Calibri" w:cs="Calibri" w:eastAsia="Calibri" w:hAnsi="Calibri"/>
          <w:color w:val="000000"/>
          <w:sz w:val="21"/>
          <w:szCs w:val="21"/>
        </w:rPr>
        <w:t xml:space="preserve">Task ownership is reassigned daily rather than fixed for the whole build; the table above reflects each person's primary lane. The team meets daily to catch up on progress, learning, and blockers.</w:t>
      </w:r>
    </w:p>
    <w:p>
      <w:pPr>
        <w:pStyle w:val="Heading1"/>
        <w:pBdr>
          <w:left w:val="single" w:color="E8622C" w:sz="18" w:space="6"/>
        </w:pBdr>
        <w:spacing w:after="140" w:before="320"/>
        <w:ind w:left="60"/>
      </w:pPr>
      <w:r>
        <w:rPr>
          <w:rFonts w:ascii="Calibri" w:cs="Calibri" w:eastAsia="Calibri" w:hAnsi="Calibri"/>
          <w:b/>
          <w:bCs/>
          <w:color w:val="000000"/>
          <w:sz w:val="28"/>
          <w:szCs w:val="28"/>
        </w:rPr>
        <w:t xml:space="preserve">3. The Problem and Who It's For</w:t>
      </w:r>
    </w:p>
    <w:p>
      <w:pPr>
        <w:pStyle w:val="Heading2"/>
        <w:spacing w:after="90" w:before="200"/>
      </w:pPr>
      <w:r>
        <w:rPr>
          <w:rFonts w:ascii="Calibri" w:cs="Calibri" w:eastAsia="Calibri" w:hAnsi="Calibri"/>
          <w:b/>
          <w:bCs/>
          <w:color w:val="E8622C"/>
          <w:sz w:val="22"/>
          <w:szCs w:val="22"/>
        </w:rPr>
        <w:t xml:space="preserve">Who exactly this is for</w:t>
      </w:r>
    </w:p>
    <w:p>
      <w:pPr>
        <w:spacing w:after="110"/>
        <w:jc w:val="both"/>
      </w:pPr>
      <w:r>
        <w:rPr>
          <w:rFonts w:ascii="Calibri" w:cs="Calibri" w:eastAsia="Calibri" w:hAnsi="Calibri"/>
          <w:color w:val="000000"/>
          <w:sz w:val="21"/>
          <w:szCs w:val="21"/>
        </w:rPr>
        <w:t xml:space="preserve">Two groups, both in Ghana. Mentees: university students, recent graduates, bootcamp alumni, and career switchers trying to break into software engineering, data, product management, UX/design, or related tech roles. Mentors: working tech professionals willing to give short, structured guidance.</w:t>
      </w:r>
    </w:p>
    <w:p>
      <w:pPr>
        <w:pStyle w:val="Heading2"/>
        <w:spacing w:after="90" w:before="200"/>
      </w:pPr>
      <w:r>
        <w:rPr>
          <w:rFonts w:ascii="Calibri" w:cs="Calibri" w:eastAsia="Calibri" w:hAnsi="Calibri"/>
          <w:b/>
          <w:bCs/>
          <w:color w:val="E8622C"/>
          <w:sz w:val="22"/>
          <w:szCs w:val="22"/>
        </w:rPr>
        <w:t xml:space="preserve">The problem today</w:t>
      </w:r>
    </w:p>
    <w:p>
      <w:pPr>
        <w:spacing w:after="110"/>
        <w:jc w:val="both"/>
      </w:pPr>
      <w:r>
        <w:rPr>
          <w:rFonts w:ascii="Calibri" w:cs="Calibri" w:eastAsia="Calibri" w:hAnsi="Calibri"/>
          <w:color w:val="000000"/>
          <w:sz w:val="21"/>
          <w:szCs w:val="21"/>
        </w:rPr>
        <w:t xml:space="preserve">People trying to enter tech careers rely on cold outreach on LinkedIn, which gets very low response rates, or generic online advice that does not fit their specific background. University career services and informal networks often lack depth in current industry practice. As a result, capable people waste time, lose confidence, or make poorly informed decisions simply because they cannot get practical guidance from someone who has already walked the path.</w:t>
      </w:r>
    </w:p>
    <w:p>
      <w:pPr>
        <w:pStyle w:val="Heading1"/>
        <w:pBdr>
          <w:left w:val="single" w:color="E8622C" w:sz="18" w:space="6"/>
        </w:pBdr>
        <w:spacing w:after="140" w:before="320"/>
        <w:ind w:left="60"/>
      </w:pPr>
      <w:r>
        <w:rPr>
          <w:rFonts w:ascii="Calibri" w:cs="Calibri" w:eastAsia="Calibri" w:hAnsi="Calibri"/>
          <w:b/>
          <w:bCs/>
          <w:color w:val="000000"/>
          <w:sz w:val="28"/>
          <w:szCs w:val="28"/>
        </w:rPr>
        <w:t xml:space="preserve">4. Core Feature and Scope</w:t>
      </w:r>
    </w:p>
    <w:p>
      <w:pPr>
        <w:pStyle w:val="Heading2"/>
        <w:spacing w:after="90" w:before="200"/>
      </w:pPr>
      <w:r>
        <w:rPr>
          <w:rFonts w:ascii="Calibri" w:cs="Calibri" w:eastAsia="Calibri" w:hAnsi="Calibri"/>
          <w:b/>
          <w:bCs/>
          <w:color w:val="E8622C"/>
          <w:sz w:val="22"/>
          <w:szCs w:val="22"/>
        </w:rPr>
        <w:t xml:space="preserve">Core feature (must work end to end by Gate 2, Fri 11 Sep)</w:t>
      </w:r>
    </w:p>
    <w:p>
      <w:pPr>
        <w:spacing w:after="110"/>
        <w:jc w:val="both"/>
      </w:pPr>
      <w:r>
        <w:rPr>
          <w:rFonts w:ascii="Calibri" w:cs="Calibri" w:eastAsia="Calibri" w:hAnsi="Calibri"/>
          <w:color w:val="000000"/>
          <w:sz w:val="21"/>
          <w:szCs w:val="21"/>
        </w:rPr>
        <w:t xml:space="preserve">A searchable, filterable mentor directory where a mentee can find a mentor by role or expertise and send a structured mentorship request, end to end, from search to the request landing with the mentor.</w:t>
      </w:r>
    </w:p>
    <w:p>
      <w:pPr>
        <w:pStyle w:val="Heading2"/>
        <w:spacing w:after="90" w:before="200"/>
      </w:pPr>
      <w:r>
        <w:rPr>
          <w:rFonts w:ascii="Calibri" w:cs="Calibri" w:eastAsia="Calibri" w:hAnsi="Calibri"/>
          <w:b/>
          <w:bCs/>
          <w:color w:val="E8622C"/>
          <w:sz w:val="22"/>
          <w:szCs w:val="22"/>
        </w:rPr>
        <w:t xml:space="preserve">Explicitly out of scope</w:t>
      </w:r>
    </w:p>
    <w:p>
      <w:pPr>
        <w:pStyle w:val="ListParagraph"/>
        <w:numPr>
          <w:ilvl w:val="0"/>
          <w:numId w:val="2"/>
        </w:numPr>
        <w:spacing w:after="55"/>
        <w:jc w:val="both"/>
      </w:pPr>
      <w:r>
        <w:rPr>
          <w:rFonts w:ascii="Calibri" w:cs="Calibri" w:eastAsia="Calibri" w:hAnsi="Calibri"/>
          <w:color w:val="000000"/>
          <w:sz w:val="21"/>
          <w:szCs w:val="21"/>
        </w:rPr>
        <w:t xml:space="preserve">In-app messaging or chat (an accepted request hands off to email instead).</w:t>
      </w:r>
    </w:p>
    <w:p>
      <w:pPr>
        <w:pStyle w:val="ListParagraph"/>
        <w:numPr>
          <w:ilvl w:val="0"/>
          <w:numId w:val="2"/>
        </w:numPr>
        <w:spacing w:after="55"/>
        <w:jc w:val="both"/>
      </w:pPr>
      <w:r>
        <w:rPr>
          <w:rFonts w:ascii="Calibri" w:cs="Calibri" w:eastAsia="Calibri" w:hAnsi="Calibri"/>
          <w:color w:val="000000"/>
          <w:sz w:val="21"/>
          <w:szCs w:val="21"/>
        </w:rPr>
        <w:t xml:space="preserve">Calendar or scheduling integration (mentors state general availability as free text).</w:t>
      </w:r>
    </w:p>
    <w:p>
      <w:pPr>
        <w:pStyle w:val="ListParagraph"/>
        <w:numPr>
          <w:ilvl w:val="0"/>
          <w:numId w:val="2"/>
        </w:numPr>
        <w:spacing w:after="55"/>
        <w:jc w:val="both"/>
      </w:pPr>
      <w:r>
        <w:rPr>
          <w:rFonts w:ascii="Calibri" w:cs="Calibri" w:eastAsia="Calibri" w:hAnsi="Calibri"/>
          <w:color w:val="000000"/>
          <w:sz w:val="21"/>
          <w:szCs w:val="21"/>
        </w:rPr>
        <w:t xml:space="preserve">Password reset flows, email verification links, or OAuth/social login (plain email and password only).</w:t>
      </w:r>
    </w:p>
    <w:p>
      <w:pPr>
        <w:pStyle w:val="ListParagraph"/>
        <w:numPr>
          <w:ilvl w:val="0"/>
          <w:numId w:val="2"/>
        </w:numPr>
        <w:spacing w:after="55"/>
        <w:jc w:val="both"/>
      </w:pPr>
      <w:r>
        <w:rPr>
          <w:rFonts w:ascii="Calibri" w:cs="Calibri" w:eastAsia="Calibri" w:hAnsi="Calibri"/>
          <w:color w:val="000000"/>
          <w:sz w:val="21"/>
          <w:szCs w:val="21"/>
        </w:rPr>
        <w:t xml:space="preserve">A ratings and review system (a verified badge is used as the trust signal instead).</w:t>
      </w:r>
    </w:p>
    <w:p>
      <w:pPr>
        <w:pStyle w:val="Heading1"/>
        <w:pBdr>
          <w:left w:val="single" w:color="E8622C" w:sz="18" w:space="6"/>
        </w:pBdr>
        <w:spacing w:after="140" w:before="320"/>
        <w:ind w:left="60"/>
      </w:pPr>
      <w:r>
        <w:rPr>
          <w:rFonts w:ascii="Calibri" w:cs="Calibri" w:eastAsia="Calibri" w:hAnsi="Calibri"/>
          <w:b/>
          <w:bCs/>
          <w:color w:val="000000"/>
          <w:sz w:val="28"/>
          <w:szCs w:val="28"/>
        </w:rPr>
        <w:t xml:space="preserve">5. Full Feature List</w:t>
      </w:r>
    </w:p>
    <w:p>
      <w:pPr>
        <w:pStyle w:val="Heading2"/>
        <w:spacing w:after="90" w:before="200"/>
      </w:pPr>
      <w:r>
        <w:rPr>
          <w:rFonts w:ascii="Calibri" w:cs="Calibri" w:eastAsia="Calibri" w:hAnsi="Calibri"/>
          <w:b/>
          <w:bCs/>
          <w:color w:val="E8622C"/>
          <w:sz w:val="22"/>
          <w:szCs w:val="22"/>
        </w:rPr>
        <w:t xml:space="preserve">Core</w:t>
      </w:r>
    </w:p>
    <w:p>
      <w:pPr>
        <w:pStyle w:val="ListParagraph"/>
        <w:numPr>
          <w:ilvl w:val="0"/>
          <w:numId w:val="2"/>
        </w:numPr>
        <w:spacing w:after="55"/>
        <w:jc w:val="both"/>
      </w:pPr>
      <w:r>
        <w:rPr>
          <w:rFonts w:ascii="Calibri" w:cs="Calibri" w:eastAsia="Calibri" w:hAnsi="Calibri"/>
          <w:color w:val="000000"/>
          <w:sz w:val="21"/>
          <w:szCs w:val="21"/>
        </w:rPr>
        <w:t xml:space="preserve">Searchable, filterable mentor directory (role, skills, experience, availability).</w:t>
      </w:r>
    </w:p>
    <w:p>
      <w:pPr>
        <w:pStyle w:val="ListParagraph"/>
        <w:numPr>
          <w:ilvl w:val="0"/>
          <w:numId w:val="2"/>
        </w:numPr>
        <w:spacing w:after="55"/>
        <w:jc w:val="both"/>
      </w:pPr>
      <w:r>
        <w:rPr>
          <w:rFonts w:ascii="Calibri" w:cs="Calibri" w:eastAsia="Calibri" w:hAnsi="Calibri"/>
          <w:color w:val="000000"/>
          <w:sz w:val="21"/>
          <w:szCs w:val="21"/>
        </w:rPr>
        <w:t xml:space="preserve">Mentor profile pages (name, current role, bio, expertise tags).</w:t>
      </w:r>
    </w:p>
    <w:p>
      <w:pPr>
        <w:pStyle w:val="ListParagraph"/>
        <w:numPr>
          <w:ilvl w:val="0"/>
          <w:numId w:val="2"/>
        </w:numPr>
        <w:spacing w:after="55"/>
        <w:jc w:val="both"/>
      </w:pPr>
      <w:r>
        <w:rPr>
          <w:rFonts w:ascii="Calibri" w:cs="Calibri" w:eastAsia="Calibri" w:hAnsi="Calibri"/>
          <w:color w:val="000000"/>
          <w:sz w:val="21"/>
          <w:szCs w:val="21"/>
        </w:rPr>
        <w:t xml:space="preserve">Structured mentorship request types: Resume/CV review, Portfolio feedback, Career path conversation, Interview preparation, Role/industry insight.</w:t>
      </w:r>
    </w:p>
    <w:p>
      <w:pPr>
        <w:pStyle w:val="Heading2"/>
        <w:spacing w:after="90" w:before="200"/>
      </w:pPr>
      <w:r>
        <w:rPr>
          <w:rFonts w:ascii="Calibri" w:cs="Calibri" w:eastAsia="Calibri" w:hAnsi="Calibri"/>
          <w:b/>
          <w:bCs/>
          <w:color w:val="E8622C"/>
          <w:sz w:val="22"/>
          <w:szCs w:val="22"/>
        </w:rPr>
        <w:t xml:space="preserve">Trust and Verification</w:t>
      </w:r>
    </w:p>
    <w:p>
      <w:pPr>
        <w:pStyle w:val="ListParagraph"/>
        <w:numPr>
          <w:ilvl w:val="0"/>
          <w:numId w:val="2"/>
        </w:numPr>
        <w:spacing w:after="55"/>
        <w:jc w:val="both"/>
      </w:pPr>
      <w:r>
        <w:rPr>
          <w:rFonts w:ascii="Calibri" w:cs="Calibri" w:eastAsia="Calibri" w:hAnsi="Calibri"/>
          <w:color w:val="000000"/>
          <w:sz w:val="21"/>
          <w:szCs w:val="21"/>
        </w:rPr>
        <w:t xml:space="preserve">Mentor sign-up with organization email.</w:t>
      </w:r>
    </w:p>
    <w:p>
      <w:pPr>
        <w:pStyle w:val="ListParagraph"/>
        <w:numPr>
          <w:ilvl w:val="0"/>
          <w:numId w:val="2"/>
        </w:numPr>
        <w:spacing w:after="55"/>
        <w:jc w:val="both"/>
      </w:pPr>
      <w:r>
        <w:rPr>
          <w:rFonts w:ascii="Calibri" w:cs="Calibri" w:eastAsia="Calibri" w:hAnsi="Calibri"/>
          <w:color w:val="000000"/>
          <w:sz w:val="21"/>
          <w:szCs w:val="21"/>
        </w:rPr>
        <w:t xml:space="preserve">Admin verification queue: team reviews and approves pending mentor sign-ups.</w:t>
      </w:r>
    </w:p>
    <w:p>
      <w:pPr>
        <w:pStyle w:val="ListParagraph"/>
        <w:numPr>
          <w:ilvl w:val="0"/>
          <w:numId w:val="2"/>
        </w:numPr>
        <w:spacing w:after="55"/>
        <w:jc w:val="both"/>
      </w:pPr>
      <w:r>
        <w:rPr>
          <w:rFonts w:ascii="Calibri" w:cs="Calibri" w:eastAsia="Calibri" w:hAnsi="Calibri"/>
          <w:color w:val="000000"/>
          <w:sz w:val="21"/>
          <w:szCs w:val="21"/>
        </w:rPr>
        <w:t xml:space="preserve">"Verified, works at [Company]" badge shown on mentor profiles, derived from the verified email domain.</w:t>
      </w:r>
    </w:p>
    <w:p>
      <w:pPr>
        <w:pStyle w:val="Heading2"/>
        <w:spacing w:after="90" w:before="200"/>
      </w:pPr>
      <w:r>
        <w:rPr>
          <w:rFonts w:ascii="Calibri" w:cs="Calibri" w:eastAsia="Calibri" w:hAnsi="Calibri"/>
          <w:b/>
          <w:bCs/>
          <w:color w:val="E8622C"/>
          <w:sz w:val="22"/>
          <w:szCs w:val="22"/>
        </w:rPr>
        <w:t xml:space="preserve">Request Flow and Contact</w:t>
      </w:r>
    </w:p>
    <w:p>
      <w:pPr>
        <w:pStyle w:val="ListParagraph"/>
        <w:numPr>
          <w:ilvl w:val="0"/>
          <w:numId w:val="2"/>
        </w:numPr>
        <w:spacing w:after="55"/>
        <w:jc w:val="both"/>
      </w:pPr>
      <w:r>
        <w:rPr>
          <w:rFonts w:ascii="Calibri" w:cs="Calibri" w:eastAsia="Calibri" w:hAnsi="Calibri"/>
          <w:color w:val="000000"/>
          <w:sz w:val="21"/>
          <w:szCs w:val="21"/>
        </w:rPr>
        <w:t xml:space="preserve">Email-first contact (not WhatsApp), for a professional tone.</w:t>
      </w:r>
    </w:p>
    <w:p>
      <w:pPr>
        <w:pStyle w:val="ListParagraph"/>
        <w:numPr>
          <w:ilvl w:val="0"/>
          <w:numId w:val="2"/>
        </w:numPr>
        <w:spacing w:after="55"/>
        <w:jc w:val="both"/>
      </w:pPr>
      <w:r>
        <w:rPr>
          <w:rFonts w:ascii="Calibri" w:cs="Calibri" w:eastAsia="Calibri" w:hAnsi="Calibri"/>
          <w:color w:val="000000"/>
          <w:sz w:val="21"/>
          <w:szCs w:val="21"/>
        </w:rPr>
        <w:t xml:space="preserve">Once a request is accepted, both parties automatically receive an email with each other's contact info and the original request context.</w:t>
      </w:r>
    </w:p>
    <w:p>
      <w:pPr>
        <w:pStyle w:val="ListParagraph"/>
        <w:numPr>
          <w:ilvl w:val="0"/>
          <w:numId w:val="2"/>
        </w:numPr>
        <w:spacing w:after="55"/>
        <w:jc w:val="both"/>
      </w:pPr>
      <w:r>
        <w:rPr>
          <w:rFonts w:ascii="Calibri" w:cs="Calibri" w:eastAsia="Calibri" w:hAnsi="Calibri"/>
          <w:color w:val="000000"/>
          <w:sz w:val="21"/>
          <w:szCs w:val="21"/>
        </w:rPr>
        <w:t xml:space="preserve">Email notifications for the full request lifecycle: new request received, accepted, declined.</w:t>
      </w:r>
    </w:p>
    <w:p>
      <w:pPr>
        <w:pStyle w:val="Heading2"/>
        <w:spacing w:after="90" w:before="200"/>
      </w:pPr>
      <w:r>
        <w:rPr>
          <w:rFonts w:ascii="Calibri" w:cs="Calibri" w:eastAsia="Calibri" w:hAnsi="Calibri"/>
          <w:b/>
          <w:bCs/>
          <w:color w:val="E8622C"/>
          <w:sz w:val="22"/>
          <w:szCs w:val="22"/>
        </w:rPr>
        <w:t xml:space="preserve">Accounts and Status</w:t>
      </w:r>
    </w:p>
    <w:p>
      <w:pPr>
        <w:pStyle w:val="ListParagraph"/>
        <w:numPr>
          <w:ilvl w:val="0"/>
          <w:numId w:val="2"/>
        </w:numPr>
        <w:spacing w:after="55"/>
        <w:jc w:val="both"/>
      </w:pPr>
      <w:r>
        <w:rPr>
          <w:rFonts w:ascii="Calibri" w:cs="Calibri" w:eastAsia="Calibri" w:hAnsi="Calibri"/>
          <w:color w:val="000000"/>
          <w:sz w:val="21"/>
          <w:szCs w:val="21"/>
        </w:rPr>
        <w:t xml:space="preserve">Sign-up and sign-in for both mentors and mentees.</w:t>
      </w:r>
    </w:p>
    <w:p>
      <w:pPr>
        <w:pStyle w:val="ListParagraph"/>
        <w:numPr>
          <w:ilvl w:val="0"/>
          <w:numId w:val="2"/>
        </w:numPr>
        <w:spacing w:after="55"/>
        <w:jc w:val="both"/>
      </w:pPr>
      <w:r>
        <w:rPr>
          <w:rFonts w:ascii="Calibri" w:cs="Calibri" w:eastAsia="Calibri" w:hAnsi="Calibri"/>
          <w:color w:val="000000"/>
          <w:sz w:val="21"/>
          <w:szCs w:val="21"/>
        </w:rPr>
        <w:t xml:space="preserve">Mentee-side dashboard showing the status of each request sent.</w:t>
      </w:r>
    </w:p>
    <w:p>
      <w:pPr>
        <w:pStyle w:val="Heading2"/>
        <w:spacing w:after="90" w:before="200"/>
      </w:pPr>
      <w:r>
        <w:rPr>
          <w:rFonts w:ascii="Calibri" w:cs="Calibri" w:eastAsia="Calibri" w:hAnsi="Calibri"/>
          <w:b/>
          <w:bCs/>
          <w:color w:val="E8622C"/>
          <w:sz w:val="22"/>
          <w:szCs w:val="22"/>
        </w:rPr>
        <w:t xml:space="preserve">Data</w:t>
      </w:r>
    </w:p>
    <w:p>
      <w:pPr>
        <w:pStyle w:val="ListParagraph"/>
        <w:numPr>
          <w:ilvl w:val="0"/>
          <w:numId w:val="2"/>
        </w:numPr>
        <w:spacing w:after="55"/>
        <w:jc w:val="both"/>
      </w:pPr>
      <w:r>
        <w:rPr>
          <w:rFonts w:ascii="Calibri" w:cs="Calibri" w:eastAsia="Calibri" w:hAnsi="Calibri"/>
          <w:color w:val="000000"/>
          <w:sz w:val="21"/>
          <w:szCs w:val="21"/>
        </w:rPr>
        <w:t xml:space="preserve">Team-generated mock mentor profiles used first, so the platform is fully testable and demoable independent of real mentor participation.</w:t>
      </w:r>
    </w:p>
    <w:p>
      <w:pPr>
        <w:pStyle w:val="ListParagraph"/>
        <w:numPr>
          <w:ilvl w:val="0"/>
          <w:numId w:val="2"/>
        </w:numPr>
        <w:spacing w:after="55"/>
        <w:jc w:val="both"/>
      </w:pPr>
      <w:r>
        <w:rPr>
          <w:rFonts w:ascii="Calibri" w:cs="Calibri" w:eastAsia="Calibri" w:hAnsi="Calibri"/>
          <w:color w:val="000000"/>
          <w:sz w:val="21"/>
          <w:szCs w:val="21"/>
        </w:rPr>
        <w:t xml:space="preserve">A real mentor sample invited near the end of the build to strengthen the demo with authentic examples.</w:t>
      </w:r>
    </w:p>
    <w:p>
      <w:pPr>
        <w:pStyle w:val="Heading1"/>
        <w:pBdr>
          <w:left w:val="single" w:color="E8622C" w:sz="18" w:space="6"/>
        </w:pBdr>
        <w:spacing w:after="140" w:before="320"/>
        <w:ind w:left="60"/>
      </w:pPr>
      <w:r>
        <w:rPr>
          <w:rFonts w:ascii="Calibri" w:cs="Calibri" w:eastAsia="Calibri" w:hAnsi="Calibri"/>
          <w:b/>
          <w:bCs/>
          <w:color w:val="000000"/>
          <w:sz w:val="28"/>
          <w:szCs w:val="28"/>
        </w:rPr>
        <w:t xml:space="preserve">6. Tech Stack and Infrastructure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B2A44" w:val="clear"/>
            <w:tcMar>
              <w:top w:type="dxa" w:w="90"/>
              <w:left w:type="dxa" w:w="120"/>
              <w:bottom w:type="dxa" w:w="90"/>
              <w:right w:type="dxa" w:w="120"/>
            </w:tcMar>
          </w:tcPr>
          <w:p>
            <w:pPr>
              <w:jc w:val="both"/>
            </w:pPr>
            <w:r>
              <w:rPr>
                <w:rFonts w:ascii="Calibri" w:cs="Calibri" w:eastAsia="Calibri" w:hAnsi="Calibri"/>
                <w:b/>
                <w:bCs/>
                <w:color w:val="FFFFFF"/>
                <w:sz w:val="19"/>
                <w:szCs w:val="19"/>
              </w:rPr>
              <w:t xml:space="preserve">Layer</w:t>
            </w:r>
          </w:p>
        </w:tc>
        <w:tc>
          <w:tcPr>
            <w:tcW w:type="dxa" w:w="6750"/>
            <w:shd w:fill="0B2A44" w:val="clear"/>
            <w:tcMar>
              <w:top w:type="dxa" w:w="90"/>
              <w:left w:type="dxa" w:w="120"/>
              <w:bottom w:type="dxa" w:w="90"/>
              <w:right w:type="dxa" w:w="120"/>
            </w:tcMar>
          </w:tcPr>
          <w:p>
            <w:pPr>
              <w:jc w:val="both"/>
            </w:pPr>
            <w:r>
              <w:rPr>
                <w:rFonts w:ascii="Calibri" w:cs="Calibri" w:eastAsia="Calibri" w:hAnsi="Calibri"/>
                <w:b/>
                <w:bCs/>
                <w:color w:val="FFFFFF"/>
                <w:sz w:val="19"/>
                <w:szCs w:val="19"/>
              </w:rPr>
              <w:t xml:space="preserve">Choice and Reasoning</w:t>
            </w:r>
          </w:p>
        </w:tc>
      </w:tr>
      <w:tr>
        <w:tc>
          <w:tcPr>
            <w:tcW w:type="dxa" w:w="2600"/>
            <w:tcMar>
              <w:top w:type="dxa" w:w="90"/>
              <w:left w:type="dxa" w:w="120"/>
              <w:bottom w:type="dxa" w:w="90"/>
              <w:right w:type="dxa" w:w="120"/>
            </w:tcMar>
          </w:tcPr>
          <w:p>
            <w:pPr>
              <w:jc w:val="both"/>
            </w:pPr>
            <w:r>
              <w:rPr>
                <w:rFonts w:ascii="Calibri" w:cs="Calibri" w:eastAsia="Calibri" w:hAnsi="Calibri"/>
                <w:b/>
                <w:bCs/>
                <w:color w:val="000000"/>
                <w:sz w:val="19"/>
                <w:szCs w:val="19"/>
              </w:rPr>
              <w:t xml:space="preserve">Frontend</w:t>
            </w:r>
          </w:p>
        </w:tc>
        <w:tc>
          <w:tcPr>
            <w:tcW w:type="dxa" w:w="6750"/>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React + TypeScript, built with Vite, static site hosted on S3, served via CloudFront.</w:t>
            </w:r>
          </w:p>
        </w:tc>
      </w:tr>
      <w:tr>
        <w:tc>
          <w:tcPr>
            <w:tcW w:type="dxa" w:w="2600"/>
            <w:shd w:fill="F4F6F8" w:val="clear"/>
            <w:tcMar>
              <w:top w:type="dxa" w:w="90"/>
              <w:left w:type="dxa" w:w="120"/>
              <w:bottom w:type="dxa" w:w="90"/>
              <w:right w:type="dxa" w:w="120"/>
            </w:tcMar>
          </w:tcPr>
          <w:p>
            <w:pPr>
              <w:jc w:val="both"/>
            </w:pPr>
            <w:r>
              <w:rPr>
                <w:rFonts w:ascii="Calibri" w:cs="Calibri" w:eastAsia="Calibri" w:hAnsi="Calibri"/>
                <w:b/>
                <w:bCs/>
                <w:color w:val="000000"/>
                <w:sz w:val="19"/>
                <w:szCs w:val="19"/>
              </w:rPr>
              <w:t xml:space="preserve">Backend</w:t>
            </w:r>
          </w:p>
        </w:tc>
        <w:tc>
          <w:tcPr>
            <w:tcW w:type="dxa" w:w="6750"/>
            <w:shd w:fill="F4F6F8" w:val="clear"/>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Python FastAPI, packaged in Docker, deployed via ECR + ECS (EC2 launch type, not Fargate, chosen so the team can visibly demonstrate scaling in the demo).</w:t>
            </w:r>
          </w:p>
        </w:tc>
      </w:tr>
      <w:tr>
        <w:tc>
          <w:tcPr>
            <w:tcW w:type="dxa" w:w="2600"/>
            <w:tcMar>
              <w:top w:type="dxa" w:w="90"/>
              <w:left w:type="dxa" w:w="120"/>
              <w:bottom w:type="dxa" w:w="90"/>
              <w:right w:type="dxa" w:w="120"/>
            </w:tcMar>
          </w:tcPr>
          <w:p>
            <w:pPr>
              <w:jc w:val="both"/>
            </w:pPr>
            <w:r>
              <w:rPr>
                <w:rFonts w:ascii="Calibri" w:cs="Calibri" w:eastAsia="Calibri" w:hAnsi="Calibri"/>
                <w:b/>
                <w:bCs/>
                <w:color w:val="000000"/>
                <w:sz w:val="19"/>
                <w:szCs w:val="19"/>
              </w:rPr>
              <w:t xml:space="preserve">Database</w:t>
            </w:r>
          </w:p>
        </w:tc>
        <w:tc>
          <w:tcPr>
            <w:tcW w:type="dxa" w:w="6750"/>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RDS Postgres, in a private subnet within a manually-configured VPC.</w:t>
            </w:r>
          </w:p>
        </w:tc>
      </w:tr>
      <w:tr>
        <w:tc>
          <w:tcPr>
            <w:tcW w:type="dxa" w:w="2600"/>
            <w:shd w:fill="F4F6F8" w:val="clear"/>
            <w:tcMar>
              <w:top w:type="dxa" w:w="90"/>
              <w:left w:type="dxa" w:w="120"/>
              <w:bottom w:type="dxa" w:w="90"/>
              <w:right w:type="dxa" w:w="120"/>
            </w:tcMar>
          </w:tcPr>
          <w:p>
            <w:pPr>
              <w:jc w:val="both"/>
            </w:pPr>
            <w:r>
              <w:rPr>
                <w:rFonts w:ascii="Calibri" w:cs="Calibri" w:eastAsia="Calibri" w:hAnsi="Calibri"/>
                <w:b/>
                <w:bCs/>
                <w:color w:val="000000"/>
                <w:sz w:val="19"/>
                <w:szCs w:val="19"/>
              </w:rPr>
              <w:t xml:space="preserve">Auth</w:t>
            </w:r>
          </w:p>
        </w:tc>
        <w:tc>
          <w:tcPr>
            <w:tcW w:type="dxa" w:w="6750"/>
            <w:shd w:fill="F4F6F8" w:val="clear"/>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Custom authentication endpoints built in FastAPI (not AWS Cognito).</w:t>
            </w:r>
          </w:p>
        </w:tc>
      </w:tr>
      <w:tr>
        <w:tc>
          <w:tcPr>
            <w:tcW w:type="dxa" w:w="2600"/>
            <w:tcMar>
              <w:top w:type="dxa" w:w="90"/>
              <w:left w:type="dxa" w:w="120"/>
              <w:bottom w:type="dxa" w:w="90"/>
              <w:right w:type="dxa" w:w="120"/>
            </w:tcMar>
          </w:tcPr>
          <w:p>
            <w:pPr>
              <w:jc w:val="both"/>
            </w:pPr>
            <w:r>
              <w:rPr>
                <w:rFonts w:ascii="Calibri" w:cs="Calibri" w:eastAsia="Calibri" w:hAnsi="Calibri"/>
                <w:b/>
                <w:bCs/>
                <w:color w:val="000000"/>
                <w:sz w:val="19"/>
                <w:szCs w:val="19"/>
              </w:rPr>
              <w:t xml:space="preserve">Email</w:t>
            </w:r>
          </w:p>
        </w:tc>
        <w:tc>
          <w:tcPr>
            <w:tcW w:type="dxa" w:w="6750"/>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AWS SES for request lifecycle notifications and the accepted-request contact handoff.</w:t>
            </w:r>
          </w:p>
        </w:tc>
      </w:tr>
      <w:tr>
        <w:tc>
          <w:tcPr>
            <w:tcW w:type="dxa" w:w="2600"/>
            <w:shd w:fill="F4F6F8" w:val="clear"/>
            <w:tcMar>
              <w:top w:type="dxa" w:w="90"/>
              <w:left w:type="dxa" w:w="120"/>
              <w:bottom w:type="dxa" w:w="90"/>
              <w:right w:type="dxa" w:w="120"/>
            </w:tcMar>
          </w:tcPr>
          <w:p>
            <w:pPr>
              <w:jc w:val="both"/>
            </w:pPr>
            <w:r>
              <w:rPr>
                <w:rFonts w:ascii="Calibri" w:cs="Calibri" w:eastAsia="Calibri" w:hAnsi="Calibri"/>
                <w:b/>
                <w:bCs/>
                <w:color w:val="000000"/>
                <w:sz w:val="19"/>
                <w:szCs w:val="19"/>
              </w:rPr>
              <w:t xml:space="preserve">Secrets</w:t>
            </w:r>
          </w:p>
        </w:tc>
        <w:tc>
          <w:tcPr>
            <w:tcW w:type="dxa" w:w="6750"/>
            <w:shd w:fill="F4F6F8" w:val="clear"/>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AWS Secrets Manager for database credentials.</w:t>
            </w:r>
          </w:p>
        </w:tc>
      </w:tr>
      <w:tr>
        <w:tc>
          <w:tcPr>
            <w:tcW w:type="dxa" w:w="2600"/>
            <w:tcMar>
              <w:top w:type="dxa" w:w="90"/>
              <w:left w:type="dxa" w:w="120"/>
              <w:bottom w:type="dxa" w:w="90"/>
              <w:right w:type="dxa" w:w="120"/>
            </w:tcMar>
          </w:tcPr>
          <w:p>
            <w:pPr>
              <w:jc w:val="both"/>
            </w:pPr>
            <w:r>
              <w:rPr>
                <w:rFonts w:ascii="Calibri" w:cs="Calibri" w:eastAsia="Calibri" w:hAnsi="Calibri"/>
                <w:b/>
                <w:bCs/>
                <w:color w:val="000000"/>
                <w:sz w:val="19"/>
                <w:szCs w:val="19"/>
              </w:rPr>
              <w:t xml:space="preserve">Monitoring</w:t>
            </w:r>
          </w:p>
        </w:tc>
        <w:tc>
          <w:tcPr>
            <w:tcW w:type="dxa" w:w="6750"/>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CloudWatch logs for ECS/EC2 task monitoring.</w:t>
            </w:r>
          </w:p>
        </w:tc>
      </w:tr>
      <w:tr>
        <w:tc>
          <w:tcPr>
            <w:tcW w:type="dxa" w:w="2600"/>
            <w:shd w:fill="F4F6F8" w:val="clear"/>
            <w:tcMar>
              <w:top w:type="dxa" w:w="90"/>
              <w:left w:type="dxa" w:w="120"/>
              <w:bottom w:type="dxa" w:w="90"/>
              <w:right w:type="dxa" w:w="120"/>
            </w:tcMar>
          </w:tcPr>
          <w:p>
            <w:pPr>
              <w:jc w:val="both"/>
            </w:pPr>
            <w:r>
              <w:rPr>
                <w:rFonts w:ascii="Calibri" w:cs="Calibri" w:eastAsia="Calibri" w:hAnsi="Calibri"/>
                <w:b/>
                <w:bCs/>
                <w:color w:val="000000"/>
                <w:sz w:val="19"/>
                <w:szCs w:val="19"/>
              </w:rPr>
              <w:t xml:space="preserve">CI/CD</w:t>
            </w:r>
          </w:p>
        </w:tc>
        <w:tc>
          <w:tcPr>
            <w:tcW w:type="dxa" w:w="6750"/>
            <w:shd w:fill="F4F6F8" w:val="clear"/>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GitHub Actions, building and deploying on push. Monorepo structure; only the backend is containerized.</w:t>
            </w:r>
          </w:p>
        </w:tc>
      </w:tr>
      <w:tr>
        <w:tc>
          <w:tcPr>
            <w:tcW w:type="dxa" w:w="2600"/>
            <w:tcMar>
              <w:top w:type="dxa" w:w="90"/>
              <w:left w:type="dxa" w:w="120"/>
              <w:bottom w:type="dxa" w:w="90"/>
              <w:right w:type="dxa" w:w="120"/>
            </w:tcMar>
          </w:tcPr>
          <w:p>
            <w:pPr>
              <w:jc w:val="both"/>
            </w:pPr>
            <w:r>
              <w:rPr>
                <w:rFonts w:ascii="Calibri" w:cs="Calibri" w:eastAsia="Calibri" w:hAnsi="Calibri"/>
                <w:b/>
                <w:bCs/>
                <w:color w:val="000000"/>
                <w:sz w:val="19"/>
                <w:szCs w:val="19"/>
              </w:rPr>
              <w:t xml:space="preserve">Infra setup</w:t>
            </w:r>
          </w:p>
        </w:tc>
        <w:tc>
          <w:tcPr>
            <w:tcW w:type="dxa" w:w="6750"/>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All infrastructure configured manually (no Terraform), documented as we go. Everything within AWS free tier.</w:t>
            </w:r>
          </w:p>
        </w:tc>
      </w:tr>
    </w:tbl>
    <w:p>
      <w:pPr>
        <w:pStyle w:val="Heading1"/>
        <w:pBdr>
          <w:left w:val="single" w:color="E8622C" w:sz="18" w:space="6"/>
        </w:pBdr>
        <w:spacing w:after="140" w:before="320"/>
        <w:ind w:left="60"/>
      </w:pPr>
      <w:r>
        <w:rPr>
          <w:rFonts w:ascii="Calibri" w:cs="Calibri" w:eastAsia="Calibri" w:hAnsi="Calibri"/>
          <w:b/>
          <w:bCs/>
          <w:color w:val="000000"/>
          <w:sz w:val="28"/>
          <w:szCs w:val="28"/>
        </w:rPr>
        <w:t xml:space="preserve">7. Offline-First Check</w:t>
      </w:r>
    </w:p>
    <w:p>
      <w:pPr>
        <w:spacing w:after="110"/>
        <w:jc w:val="both"/>
      </w:pPr>
      <w:r>
        <w:rPr>
          <w:rFonts w:ascii="Calibri" w:cs="Calibri" w:eastAsia="Calibri" w:hAnsi="Calibri"/>
          <w:color w:val="000000"/>
          <w:sz w:val="21"/>
          <w:szCs w:val="21"/>
        </w:rPr>
        <w:t xml:space="preserve">Core browsing (already-loaded mentor profiles and directory listings) works with poor connectivity through basic caching. Search against fresh data, sign-up, sign-in, and sending or responding to a request require a live connection, and degrade gracefully with a clear offline notice rather than breaking. No heavy dependencies or paid services are used; everything runs on AWS free tier.</w:t>
      </w:r>
    </w:p>
    <w:p>
      <w:pPr>
        <w:spacing w:after="110"/>
        <w:jc w:val="both"/>
      </w:pPr>
      <w:r>
        <w:rPr>
          <w:rFonts w:ascii="Calibri" w:cs="Calibri" w:eastAsia="Calibri" w:hAnsi="Calibri"/>
          <w:color w:val="000000"/>
          <w:sz w:val="21"/>
          <w:szCs w:val="21"/>
        </w:rPr>
        <w:t xml:space="preserve">Demo fallback if connectivity fails in Week 5: a local build and a screen recording of the full flow will be ready as backup.</w:t>
      </w:r>
    </w:p>
    <w:p>
      <w:pPr>
        <w:pStyle w:val="Heading1"/>
        <w:pBdr>
          <w:left w:val="single" w:color="E8622C" w:sz="18" w:space="6"/>
        </w:pBdr>
        <w:spacing w:after="140" w:before="320"/>
        <w:ind w:left="60"/>
      </w:pPr>
      <w:r>
        <w:rPr>
          <w:rFonts w:ascii="Calibri" w:cs="Calibri" w:eastAsia="Calibri" w:hAnsi="Calibri"/>
          <w:b/>
          <w:bCs/>
          <w:color w:val="000000"/>
          <w:sz w:val="28"/>
          <w:szCs w:val="28"/>
        </w:rPr>
        <w:t xml:space="preserve">8. How We Collaborate</w:t>
      </w:r>
    </w:p>
    <w:p>
      <w:pPr>
        <w:spacing w:after="110"/>
        <w:jc w:val="both"/>
      </w:pPr>
      <w:r>
        <w:rPr>
          <w:rFonts w:ascii="Calibri" w:cs="Calibri" w:eastAsia="Calibri" w:hAnsi="Calibri"/>
          <w:color w:val="000000"/>
          <w:sz w:val="21"/>
          <w:szCs w:val="21"/>
        </w:rPr>
        <w:t xml:space="preserve">The team works from a single GitHub repository. Nobody commits directly to the main branch. Each person works on their own branch, opens a Pull Request when ready, and assigns two to three teammates to review before merging. This keeps main always stable and builds the habit of proper code review from day one.</w:t>
      </w:r>
    </w:p>
    <w:p>
      <w:pPr>
        <w:pStyle w:val="Heading1"/>
        <w:pBdr>
          <w:left w:val="single" w:color="E8622C" w:sz="18" w:space="6"/>
        </w:pBdr>
        <w:spacing w:after="140" w:before="320"/>
        <w:ind w:left="60"/>
      </w:pPr>
      <w:r>
        <w:rPr>
          <w:rFonts w:ascii="Calibri" w:cs="Calibri" w:eastAsia="Calibri" w:hAnsi="Calibri"/>
          <w:b/>
          <w:bCs/>
          <w:color w:val="000000"/>
          <w:sz w:val="28"/>
          <w:szCs w:val="28"/>
        </w:rPr>
        <w:t xml:space="preserve">9. Progress So Far</w:t>
      </w:r>
    </w:p>
    <w:p>
      <w:pPr>
        <w:spacing w:after="40" w:before="40"/>
      </w:pPr>
      <w:r>
        <w:rPr>
          <w:rFonts w:ascii="Calibri" w:cs="Calibri" w:eastAsia="Calibri" w:hAnsi="Calibri"/>
          <w:b/>
          <w:bCs/>
          <w:color w:val="000000"/>
          <w:sz w:val="21"/>
          <w:szCs w:val="21"/>
        </w:rPr>
        <w:t xml:space="preserve">Task One (complete):</w:t>
      </w:r>
    </w:p>
    <w:p>
      <w:pPr>
        <w:spacing w:after="110"/>
        <w:jc w:val="both"/>
      </w:pPr>
      <w:r>
        <w:rPr>
          <w:rFonts w:ascii="Calibri" w:cs="Calibri" w:eastAsia="Calibri" w:hAnsi="Calibri"/>
          <w:color w:val="000000"/>
          <w:sz w:val="21"/>
          <w:szCs w:val="21"/>
        </w:rPr>
        <w:t xml:space="preserve">Repository created, VPC scaffolded, frontend and backend project scaffolds pushed, initial mock mentor data drafted.</w:t>
      </w:r>
    </w:p>
    <w:p>
      <w:pPr>
        <w:spacing w:after="40" w:before="40"/>
      </w:pPr>
      <w:r>
        <w:rPr>
          <w:rFonts w:ascii="Calibri" w:cs="Calibri" w:eastAsia="Calibri" w:hAnsi="Calibri"/>
          <w:b/>
          <w:bCs/>
          <w:color w:val="000000"/>
          <w:sz w:val="21"/>
          <w:szCs w:val="21"/>
        </w:rPr>
        <w:t xml:space="preserve">Task Two (in progress):</w:t>
      </w:r>
    </w:p>
    <w:p>
      <w:pPr>
        <w:spacing w:after="110"/>
        <w:jc w:val="both"/>
      </w:pPr>
      <w:r>
        <w:rPr>
          <w:rFonts w:ascii="Calibri" w:cs="Calibri" w:eastAsia="Calibri" w:hAnsi="Calibri"/>
          <w:color w:val="000000"/>
          <w:sz w:val="21"/>
          <w:szCs w:val="21"/>
        </w:rPr>
        <w:t xml:space="preserve">CI/CD pipeline continued, RDS Postgres database set up, mentor directory UI in progress, authentication endpoints in progress, mentorship request flow scaffolded.</w:t>
      </w:r>
    </w:p>
    <w:p>
      <w:pPr>
        <w:spacing w:after="40" w:before="40"/>
      </w:pPr>
      <w:r>
        <w:rPr>
          <w:rFonts w:ascii="Calibri" w:cs="Calibri" w:eastAsia="Calibri" w:hAnsi="Calibri"/>
          <w:b/>
          <w:bCs/>
          <w:color w:val="000000"/>
          <w:sz w:val="21"/>
          <w:szCs w:val="21"/>
        </w:rPr>
        <w:t xml:space="preserve">Scope Sheet (Gate 1):</w:t>
      </w:r>
    </w:p>
    <w:p>
      <w:pPr>
        <w:spacing w:after="110"/>
        <w:jc w:val="both"/>
      </w:pPr>
      <w:r>
        <w:rPr>
          <w:rFonts w:ascii="Calibri" w:cs="Calibri" w:eastAsia="Calibri" w:hAnsi="Calibri"/>
          <w:color w:val="000000"/>
          <w:sz w:val="21"/>
          <w:szCs w:val="21"/>
        </w:rPr>
        <w:t xml:space="preserve">Completed and submitted by the Friday 4 September deadline, covering community/user, problem, product description, core feature, explicit scope, ownership, offline-first check, tech stack, milestone plan, and risks.</w:t>
      </w:r>
    </w:p>
    <w:p>
      <w:pPr>
        <w:pStyle w:val="Heading1"/>
        <w:pBdr>
          <w:left w:val="single" w:color="E8622C" w:sz="18" w:space="6"/>
        </w:pBdr>
        <w:spacing w:after="140" w:before="320"/>
        <w:ind w:left="60"/>
      </w:pPr>
      <w:r>
        <w:rPr>
          <w:rFonts w:ascii="Calibri" w:cs="Calibri" w:eastAsia="Calibri" w:hAnsi="Calibri"/>
          <w:b/>
          <w:bCs/>
          <w:color w:val="000000"/>
          <w:sz w:val="28"/>
          <w:szCs w:val="28"/>
        </w:rPr>
        <w:t xml:space="preserve">10. Milestone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B2A44" w:val="clear"/>
            <w:tcMar>
              <w:top w:type="dxa" w:w="90"/>
              <w:left w:type="dxa" w:w="120"/>
              <w:bottom w:type="dxa" w:w="90"/>
              <w:right w:type="dxa" w:w="120"/>
            </w:tcMar>
          </w:tcPr>
          <w:p>
            <w:pPr>
              <w:jc w:val="both"/>
            </w:pPr>
            <w:r>
              <w:rPr>
                <w:rFonts w:ascii="Calibri" w:cs="Calibri" w:eastAsia="Calibri" w:hAnsi="Calibri"/>
                <w:b/>
                <w:bCs/>
                <w:color w:val="FFFFFF"/>
                <w:sz w:val="19"/>
                <w:szCs w:val="19"/>
              </w:rPr>
              <w:t xml:space="preserve">By When</w:t>
            </w:r>
          </w:p>
        </w:tc>
        <w:tc>
          <w:tcPr>
            <w:tcW w:type="dxa" w:w="6750"/>
            <w:shd w:fill="0B2A44" w:val="clear"/>
            <w:tcMar>
              <w:top w:type="dxa" w:w="90"/>
              <w:left w:type="dxa" w:w="120"/>
              <w:bottom w:type="dxa" w:w="90"/>
              <w:right w:type="dxa" w:w="120"/>
            </w:tcMar>
          </w:tcPr>
          <w:p>
            <w:pPr>
              <w:jc w:val="both"/>
            </w:pPr>
            <w:r>
              <w:rPr>
                <w:rFonts w:ascii="Calibri" w:cs="Calibri" w:eastAsia="Calibri" w:hAnsi="Calibri"/>
                <w:b/>
                <w:bCs/>
                <w:color w:val="FFFFFF"/>
                <w:sz w:val="19"/>
                <w:szCs w:val="19"/>
              </w:rPr>
              <w:t xml:space="preserve">What Will Be True</w:t>
            </w:r>
          </w:p>
        </w:tc>
      </w:tr>
      <w:tr>
        <w:tc>
          <w:tcPr>
            <w:tcW w:type="dxa" w:w="2600"/>
            <w:tcMar>
              <w:top w:type="dxa" w:w="90"/>
              <w:left w:type="dxa" w:w="120"/>
              <w:bottom w:type="dxa" w:w="90"/>
              <w:right w:type="dxa" w:w="120"/>
            </w:tcMar>
          </w:tcPr>
          <w:p>
            <w:pPr>
              <w:jc w:val="both"/>
            </w:pPr>
            <w:r>
              <w:rPr>
                <w:rFonts w:ascii="Calibri" w:cs="Calibri" w:eastAsia="Calibri" w:hAnsi="Calibri"/>
                <w:b/>
                <w:bCs/>
                <w:color w:val="000000"/>
                <w:sz w:val="19"/>
                <w:szCs w:val="19"/>
              </w:rPr>
              <w:t xml:space="preserve">Fri 11 Sep, Gate 2</w:t>
            </w:r>
          </w:p>
        </w:tc>
        <w:tc>
          <w:tcPr>
            <w:tcW w:type="dxa" w:w="6750"/>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Core feature works end to end: a mentee can search the mentor directory and send a structured mentorship request, and it reaches the mentor.</w:t>
            </w:r>
          </w:p>
        </w:tc>
      </w:tr>
      <w:tr>
        <w:tc>
          <w:tcPr>
            <w:tcW w:type="dxa" w:w="2600"/>
            <w:shd w:fill="F4F6F8" w:val="clear"/>
            <w:tcMar>
              <w:top w:type="dxa" w:w="90"/>
              <w:left w:type="dxa" w:w="120"/>
              <w:bottom w:type="dxa" w:w="90"/>
              <w:right w:type="dxa" w:w="120"/>
            </w:tcMar>
          </w:tcPr>
          <w:p>
            <w:pPr>
              <w:jc w:val="both"/>
            </w:pPr>
            <w:r>
              <w:rPr>
                <w:rFonts w:ascii="Calibri" w:cs="Calibri" w:eastAsia="Calibri" w:hAnsi="Calibri"/>
                <w:b/>
                <w:bCs/>
                <w:color w:val="000000"/>
                <w:sz w:val="19"/>
                <w:szCs w:val="19"/>
              </w:rPr>
              <w:t xml:space="preserve">Fri 18 Sep, Gate 3</w:t>
            </w:r>
          </w:p>
        </w:tc>
        <w:tc>
          <w:tcPr>
            <w:tcW w:type="dxa" w:w="6750"/>
            <w:shd w:fill="F4F6F8" w:val="clear"/>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Feature-complete and frozen: verification, email notifications, mentee dashboard, and verified badge all working. No new features after this date.</w:t>
            </w:r>
          </w:p>
        </w:tc>
      </w:tr>
      <w:tr>
        <w:tc>
          <w:tcPr>
            <w:tcW w:type="dxa" w:w="2600"/>
            <w:tcMar>
              <w:top w:type="dxa" w:w="90"/>
              <w:left w:type="dxa" w:w="120"/>
              <w:bottom w:type="dxa" w:w="90"/>
              <w:right w:type="dxa" w:w="120"/>
            </w:tcMar>
          </w:tcPr>
          <w:p>
            <w:pPr>
              <w:jc w:val="both"/>
            </w:pPr>
            <w:r>
              <w:rPr>
                <w:rFonts w:ascii="Calibri" w:cs="Calibri" w:eastAsia="Calibri" w:hAnsi="Calibri"/>
                <w:b/>
                <w:bCs/>
                <w:color w:val="000000"/>
                <w:sz w:val="19"/>
                <w:szCs w:val="19"/>
              </w:rPr>
              <w:t xml:space="preserve">Week 5</w:t>
            </w:r>
          </w:p>
        </w:tc>
        <w:tc>
          <w:tcPr>
            <w:tcW w:type="dxa" w:w="6750"/>
            <w:tcMar>
              <w:top w:type="dxa" w:w="90"/>
              <w:left w:type="dxa" w:w="120"/>
              <w:bottom w:type="dxa" w:w="90"/>
              <w:right w:type="dxa" w:w="120"/>
            </w:tcMar>
          </w:tcPr>
          <w:p>
            <w:pPr>
              <w:jc w:val="both"/>
            </w:pPr>
            <w:r>
              <w:rPr>
                <w:rFonts w:ascii="Calibri" w:cs="Calibri" w:eastAsia="Calibri" w:hAnsi="Calibri"/>
                <w:b w:val="false"/>
                <w:bCs w:val="false"/>
                <w:color w:val="000000"/>
                <w:sz w:val="19"/>
                <w:szCs w:val="19"/>
              </w:rPr>
              <w:t xml:space="preserve">Live demo: a mentee searching the directory, sending a request, a mentor accepting it, both sides receiving the email handoff, backed by a real AWS deployment.</w:t>
            </w:r>
          </w:p>
        </w:tc>
      </w:tr>
    </w:tbl>
    <w:p>
      <w:pPr>
        <w:spacing w:after="100"/>
      </w:pPr>
    </w:p>
    <w:p>
      <w:pPr>
        <w:spacing w:after="110"/>
        <w:jc w:val="both"/>
      </w:pPr>
      <w:r>
        <w:rPr>
          <w:rFonts w:ascii="Calibri" w:cs="Calibri" w:eastAsia="Calibri" w:hAnsi="Calibri"/>
          <w:color w:val="000000"/>
          <w:sz w:val="21"/>
          <w:szCs w:val="21"/>
        </w:rPr>
        <w:t xml:space="preserve">Note: the team is aiming to reach feature-complete within 2 weeks of kickoff internally, ahead of the Gate 3 freeze date, to leave extra buffer for polish and testing.</w:t>
      </w:r>
    </w:p>
    <w:p>
      <w:pPr>
        <w:pStyle w:val="Heading1"/>
        <w:pBdr>
          <w:left w:val="single" w:color="E8622C" w:sz="18" w:space="6"/>
        </w:pBdr>
        <w:spacing w:after="140" w:before="320"/>
        <w:ind w:left="60"/>
      </w:pPr>
      <w:r>
        <w:rPr>
          <w:rFonts w:ascii="Calibri" w:cs="Calibri" w:eastAsia="Calibri" w:hAnsi="Calibri"/>
          <w:b/>
          <w:bCs/>
          <w:color w:val="000000"/>
          <w:sz w:val="28"/>
          <w:szCs w:val="28"/>
        </w:rPr>
        <w:t xml:space="preserve">11. Risks and Assumptions</w:t>
      </w:r>
    </w:p>
    <w:p>
      <w:pPr>
        <w:pStyle w:val="Heading2"/>
        <w:spacing w:after="90" w:before="200"/>
      </w:pPr>
      <w:r>
        <w:rPr>
          <w:rFonts w:ascii="Calibri" w:cs="Calibri" w:eastAsia="Calibri" w:hAnsi="Calibri"/>
          <w:b/>
          <w:bCs/>
          <w:color w:val="E8622C"/>
          <w:sz w:val="22"/>
          <w:szCs w:val="22"/>
        </w:rPr>
        <w:t xml:space="preserve">Risks</w:t>
      </w:r>
    </w:p>
    <w:p>
      <w:pPr>
        <w:pStyle w:val="ListParagraph"/>
        <w:numPr>
          <w:ilvl w:val="0"/>
          <w:numId w:val="2"/>
        </w:numPr>
        <w:spacing w:after="55"/>
        <w:jc w:val="both"/>
      </w:pPr>
      <w:r>
        <w:rPr>
          <w:rFonts w:ascii="Calibri" w:cs="Calibri" w:eastAsia="Calibri" w:hAnsi="Calibri"/>
          <w:color w:val="000000"/>
          <w:sz w:val="21"/>
          <w:szCs w:val="21"/>
        </w:rPr>
        <w:t xml:space="preserve">Venue or demo-day connectivity issues (mitigated by the offline fallback plan).</w:t>
      </w:r>
    </w:p>
    <w:p>
      <w:pPr>
        <w:pStyle w:val="ListParagraph"/>
        <w:numPr>
          <w:ilvl w:val="0"/>
          <w:numId w:val="2"/>
        </w:numPr>
        <w:spacing w:after="55"/>
        <w:jc w:val="both"/>
      </w:pPr>
      <w:r>
        <w:rPr>
          <w:rFonts w:ascii="Calibri" w:cs="Calibri" w:eastAsia="Calibri" w:hAnsi="Calibri"/>
          <w:color w:val="000000"/>
          <w:sz w:val="21"/>
          <w:szCs w:val="21"/>
        </w:rPr>
        <w:t xml:space="preserve">Real mentors may be slow to respond when invited near the end of the build, limiting authentic data in the final demo.</w:t>
      </w:r>
    </w:p>
    <w:p>
      <w:pPr>
        <w:pStyle w:val="ListParagraph"/>
        <w:numPr>
          <w:ilvl w:val="0"/>
          <w:numId w:val="2"/>
        </w:numPr>
        <w:spacing w:after="55"/>
        <w:jc w:val="both"/>
      </w:pPr>
      <w:r>
        <w:rPr>
          <w:rFonts w:ascii="Calibri" w:cs="Calibri" w:eastAsia="Calibri" w:hAnsi="Calibri"/>
          <w:color w:val="000000"/>
          <w:sz w:val="21"/>
          <w:szCs w:val="21"/>
        </w:rPr>
        <w:t xml:space="preserve">Team members balancing this alongside other commitments during the programme.</w:t>
      </w:r>
    </w:p>
    <w:p>
      <w:pPr>
        <w:pStyle w:val="Heading2"/>
        <w:spacing w:after="90" w:before="200"/>
      </w:pPr>
      <w:r>
        <w:rPr>
          <w:rFonts w:ascii="Calibri" w:cs="Calibri" w:eastAsia="Calibri" w:hAnsi="Calibri"/>
          <w:b/>
          <w:bCs/>
          <w:color w:val="E8622C"/>
          <w:sz w:val="22"/>
          <w:szCs w:val="22"/>
        </w:rPr>
        <w:t xml:space="preserve">Assumptions</w:t>
      </w:r>
    </w:p>
    <w:p>
      <w:pPr>
        <w:pStyle w:val="ListParagraph"/>
        <w:numPr>
          <w:ilvl w:val="0"/>
          <w:numId w:val="2"/>
        </w:numPr>
        <w:spacing w:after="55"/>
        <w:jc w:val="both"/>
      </w:pPr>
      <w:r>
        <w:rPr>
          <w:rFonts w:ascii="Calibri" w:cs="Calibri" w:eastAsia="Calibri" w:hAnsi="Calibri"/>
          <w:color w:val="000000"/>
          <w:sz w:val="21"/>
          <w:szCs w:val="21"/>
        </w:rPr>
        <w:t xml:space="preserve">The team can source a small number of real tech professionals willing to create mentor profiles before Week 5.</w:t>
      </w:r>
    </w:p>
    <w:p>
      <w:pPr>
        <w:pStyle w:val="ListParagraph"/>
        <w:numPr>
          <w:ilvl w:val="0"/>
          <w:numId w:val="2"/>
        </w:numPr>
        <w:spacing w:after="55"/>
        <w:jc w:val="both"/>
      </w:pPr>
      <w:r>
        <w:rPr>
          <w:rFonts w:ascii="Calibri" w:cs="Calibri" w:eastAsia="Calibri" w:hAnsi="Calibri"/>
          <w:color w:val="000000"/>
          <w:sz w:val="21"/>
          <w:szCs w:val="21"/>
        </w:rPr>
        <w:t xml:space="preserve">All team members have reliable laptop and internet access for the duration of the programme.</w:t>
      </w:r>
    </w:p>
    <w:p>
      <w:pPr>
        <w:pStyle w:val="ListParagraph"/>
        <w:numPr>
          <w:ilvl w:val="0"/>
          <w:numId w:val="2"/>
        </w:numPr>
        <w:spacing w:after="55"/>
        <w:jc w:val="both"/>
      </w:pPr>
      <w:r>
        <w:rPr>
          <w:rFonts w:ascii="Calibri" w:cs="Calibri" w:eastAsia="Calibri" w:hAnsi="Calibri"/>
          <w:color w:val="000000"/>
          <w:sz w:val="21"/>
          <w:szCs w:val="21"/>
        </w:rPr>
        <w:t xml:space="preserve">AWS free tier is sufficient for the scale of this demo.</w:t>
      </w:r>
    </w:p>
    <w:p>
      <w:pPr>
        <w:pStyle w:val="Heading1"/>
        <w:pBdr>
          <w:left w:val="single" w:color="E8622C" w:sz="18" w:space="6"/>
        </w:pBdr>
        <w:spacing w:after="140" w:before="320"/>
        <w:ind w:left="60"/>
      </w:pPr>
      <w:r>
        <w:rPr>
          <w:rFonts w:ascii="Calibri" w:cs="Calibri" w:eastAsia="Calibri" w:hAnsi="Calibri"/>
          <w:b/>
          <w:bCs/>
          <w:color w:val="000000"/>
          <w:sz w:val="28"/>
          <w:szCs w:val="28"/>
        </w:rPr>
        <w:t xml:space="preserve">12. What We'd Value From Our One-on-One</w:t>
      </w:r>
    </w:p>
    <w:p>
      <w:pPr>
        <w:pStyle w:val="ListParagraph"/>
        <w:numPr>
          <w:ilvl w:val="0"/>
          <w:numId w:val="2"/>
        </w:numPr>
        <w:spacing w:after="55"/>
        <w:jc w:val="both"/>
      </w:pPr>
      <w:r>
        <w:rPr>
          <w:rFonts w:ascii="Calibri" w:cs="Calibri" w:eastAsia="Calibri" w:hAnsi="Calibri"/>
          <w:color w:val="000000"/>
          <w:sz w:val="21"/>
          <w:szCs w:val="21"/>
        </w:rPr>
        <w:t xml:space="preserve">Feedback on whether our scope is realistic for the timeline, or if anything should be trimmed further.</w:t>
      </w:r>
    </w:p>
    <w:p>
      <w:pPr>
        <w:pStyle w:val="ListParagraph"/>
        <w:numPr>
          <w:ilvl w:val="0"/>
          <w:numId w:val="2"/>
        </w:numPr>
        <w:spacing w:after="55"/>
        <w:jc w:val="both"/>
      </w:pPr>
      <w:r>
        <w:rPr>
          <w:rFonts w:ascii="Calibri" w:cs="Calibri" w:eastAsia="Calibri" w:hAnsi="Calibri"/>
          <w:color w:val="000000"/>
          <w:sz w:val="21"/>
          <w:szCs w:val="21"/>
        </w:rPr>
        <w:t xml:space="preserve">Thoughts on our AWS architecture choices, particularly the ECS/EC2 approach and custom authentication.</w:t>
      </w:r>
    </w:p>
    <w:p>
      <w:pPr>
        <w:pStyle w:val="ListParagraph"/>
        <w:numPr>
          <w:ilvl w:val="0"/>
          <w:numId w:val="2"/>
        </w:numPr>
        <w:spacing w:after="55"/>
        <w:jc w:val="both"/>
      </w:pPr>
      <w:r>
        <w:rPr>
          <w:rFonts w:ascii="Calibri" w:cs="Calibri" w:eastAsia="Calibri" w:hAnsi="Calibri"/>
          <w:color w:val="000000"/>
          <w:sz w:val="21"/>
          <w:szCs w:val="21"/>
        </w:rPr>
        <w:t xml:space="preserve">Any gaps in our risks or assumptions we have not considered.</w:t>
      </w:r>
    </w:p>
    <w:p>
      <w:pPr>
        <w:pStyle w:val="ListParagraph"/>
        <w:numPr>
          <w:ilvl w:val="0"/>
          <w:numId w:val="2"/>
        </w:numPr>
        <w:spacing w:after="55"/>
        <w:jc w:val="both"/>
      </w:pPr>
      <w:r>
        <w:rPr>
          <w:rFonts w:ascii="Calibri" w:cs="Calibri" w:eastAsia="Calibri" w:hAnsi="Calibri"/>
          <w:color w:val="000000"/>
          <w:sz w:val="21"/>
          <w:szCs w:val="21"/>
        </w:rPr>
        <w:t xml:space="preserve">Guidance on what would make this stand out most at the Week 5 demo.</w:t>
      </w:r>
    </w:p>
    <w:p>
      <w:pPr>
        <w:pBdr>
          <w:top w:val="single" w:color="CCCCCC" w:sz="6"/>
        </w:pBdr>
        <w:spacing w:before="300"/>
      </w:pPr>
    </w:p>
    <w:p>
      <w:pPr>
        <w:spacing w:before="140"/>
      </w:pPr>
      <w:r>
        <w:rPr>
          <w:rFonts w:ascii="Calibri" w:cs="Calibri" w:eastAsia="Calibri" w:hAnsi="Calibri"/>
          <w:i/>
          <w:iCs/>
          <w:color w:val="000000"/>
          <w:sz w:val="18"/>
          <w:szCs w:val="18"/>
        </w:rPr>
        <w:t xml:space="preserve">We look forward to our one-on-one session and welcome any feedback before then.</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595959"/>
        <w:sz w:val="16"/>
        <w:szCs w:val="16"/>
      </w:rPr>
      <w:t xml:space="preserve">Pathfind Progress Brief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b/>
        <w:bCs/>
        <w:color w:val="E8622C"/>
        <w:sz w:val="16"/>
        <w:szCs w:val="16"/>
      </w:rPr>
      <w:t xml:space="preserve">PATHFIND · PRODUCT FAMILY 2 · PROGRESS BRIEF FOR MENTOR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2026-09-05T12:26:29.082Z</dcterms:created>
  <dcterms:modified xsi:type="dcterms:W3CDTF">2026-09-05T12:26:29.095Z</dcterms:modified>
</cp:coreProperties>
</file>

<file path=docProps/custom.xml><?xml version="1.0" encoding="utf-8"?>
<Properties xmlns="http://schemas.openxmlformats.org/officeDocument/2006/custom-properties" xmlns:vt="http://schemas.openxmlformats.org/officeDocument/2006/docPropsVTypes"/>
</file>