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TaxCRIS</w:t>
      </w:r>
    </w:p>
    <w:p>
      <w:r>
        <w:t>Integrated Compliance Risk Management &amp; Intelligence Platform</w:t>
      </w:r>
    </w:p>
    <w:p>
      <w:r>
        <w:t>Product Requirements Document (PRD) and Technical Architecture &amp; Implementation Blueprint</w:t>
      </w:r>
    </w:p>
    <w:p>
      <w:r>
        <w:t>Designed for Nigerian State Internal Revenue Services | Reference pilot: Niger State</w:t>
      </w:r>
    </w:p>
    <w:p>
      <w:r>
        <w:t>Version 1.0  •  Working specification  •  21 October 2026</w:t>
      </w:r>
    </w:p>
    <w:p>
      <w:pPr>
        <w:pStyle w:val="Heading1"/>
      </w:pPr>
      <w:r>
        <w:t>Executive decision summary</w:t>
      </w:r>
    </w:p>
    <w:p>
      <w:r>
        <w:t>Build a multi-tenant-capable but logically and operationally isolated compliance intelligence platform that connects to existing state revenue systems. The first release targets PAYE and personal income tax direct-assessment workflows. It identifies plausible registration, filing, reporting and payment risks; recommends proportionate interventions; supports human-approved case management; and measures outcomes. It does not replace tax assessment, payment or statutory appeal systems.</w:t>
      </w:r>
    </w:p>
    <w:p>
      <w:r>
        <w:t>MVP acceptance gate: at least one state can ingest and reconcile taxpayer, obligation, return and payment data; show traceable risk indicators; route a case from detection through approval and closure; and publish a reproducible compliance dashboard without making an autonomous adverse decision.</w:t>
      </w:r>
    </w:p>
    <w:p>
      <w:pPr>
        <w:pStyle w:val="Heading1"/>
      </w:pPr>
      <w:r>
        <w:t>PART A | PRODUCT REQUIREMENTS</w:t>
      </w:r>
    </w:p>
    <w:p>
      <w:pPr>
        <w:pStyle w:val="Heading2"/>
      </w:pPr>
      <w:r>
        <w:t>1. Product boundaries and principles</w:t>
      </w:r>
    </w:p>
    <w:p>
      <w:pPr>
        <w:pStyle w:val="ListBullet"/>
      </w:pPr>
      <w:r>
        <w:t>Primary users: risk analysts, compliance officers, audit managers, revenue directors, executive leadership, legal administrators, data stewards and system administrators.</w:t>
      </w:r>
    </w:p>
    <w:p>
      <w:pPr>
        <w:pStyle w:val="ListBullet"/>
      </w:pPr>
      <w:r>
        <w:t>Secondary users (later phase): taxpayers through a separate self-service portal; ACTG Academy trainees through a separate synthetic-data environment.</w:t>
      </w:r>
    </w:p>
    <w:p>
      <w:pPr>
        <w:pStyle w:val="ListBullet"/>
      </w:pPr>
      <w:r>
        <w:t>In scope for MVP: ingest, entity resolution, obligations, rules, scoring, alerts, cases, interventions, approvals, dashboard, audit trails, exports.</w:t>
      </w:r>
    </w:p>
    <w:p>
      <w:pPr>
        <w:pStyle w:val="ListBullet"/>
      </w:pPr>
      <w:r>
        <w:t>Out of scope for MVP: automated tax assessment or penalties; taxpayer-facing public scores; fully autonomous audits; unrestricted cross-agency data collection; national tax collection; full ERP replacement.</w:t>
      </w:r>
    </w:p>
    <w:p>
      <w:pPr>
        <w:pStyle w:val="ListBullet"/>
      </w:pPr>
      <w:r>
        <w:t>Core principles: legal accuracy by tax period; explainability; evidence provenance; human oversight; privacy; measurable outcomes; configurable state-specific rules.</w:t>
      </w:r>
    </w:p>
    <w:p>
      <w:pPr>
        <w:pStyle w:val="Heading2"/>
      </w:pPr>
      <w:r>
        <w:t>2. Roles and permissions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Role</w:t>
            </w:r>
          </w:p>
        </w:tc>
        <w:tc>
          <w:tcPr>
            <w:tcW w:type="dxa" w:w="3264"/>
          </w:tcPr>
          <w:p>
            <w:r>
              <w:t>Read / action permissions</w:t>
            </w:r>
          </w:p>
        </w:tc>
        <w:tc>
          <w:tcPr>
            <w:tcW w:type="dxa" w:w="3264"/>
          </w:tcPr>
          <w:p>
            <w:r>
              <w:t>Approval limits</w:t>
            </w:r>
          </w:p>
        </w:tc>
      </w:tr>
      <w:tr>
        <w:tc>
          <w:tcPr>
            <w:tcW w:type="dxa" w:w="3264"/>
          </w:tcPr>
          <w:p>
            <w:r>
              <w:t>State administrator</w:t>
            </w:r>
          </w:p>
        </w:tc>
        <w:tc>
          <w:tcPr>
            <w:tcW w:type="dxa" w:w="3264"/>
          </w:tcPr>
          <w:p>
            <w:r>
              <w:t>Manage tenant configuration, users, integrations; cannot edit evidence silently</w:t>
            </w:r>
          </w:p>
        </w:tc>
        <w:tc>
          <w:tcPr>
            <w:tcW w:type="dxa" w:w="3264"/>
          </w:tcPr>
          <w:p>
            <w:r>
              <w:t>No authority to approve tax enforcement by default</w:t>
            </w:r>
          </w:p>
        </w:tc>
      </w:tr>
      <w:tr>
        <w:tc>
          <w:tcPr>
            <w:tcW w:type="dxa" w:w="3264"/>
          </w:tcPr>
          <w:p>
            <w:r>
              <w:t>Data steward</w:t>
            </w:r>
          </w:p>
        </w:tc>
        <w:tc>
          <w:tcPr>
            <w:tcW w:type="dxa" w:w="3264"/>
          </w:tcPr>
          <w:p>
            <w:r>
              <w:t>Review ingestion exceptions, duplicates, provenance and quality</w:t>
            </w:r>
          </w:p>
        </w:tc>
        <w:tc>
          <w:tcPr>
            <w:tcW w:type="dxa" w:w="3264"/>
          </w:tcPr>
          <w:p>
            <w:r>
              <w:t>Approve merges under four-eyes control</w:t>
            </w:r>
          </w:p>
        </w:tc>
      </w:tr>
      <w:tr>
        <w:tc>
          <w:tcPr>
            <w:tcW w:type="dxa" w:w="3264"/>
          </w:tcPr>
          <w:p>
            <w:r>
              <w:t>Risk analyst</w:t>
            </w:r>
          </w:p>
        </w:tc>
        <w:tc>
          <w:tcPr>
            <w:tcW w:type="dxa" w:w="3264"/>
          </w:tcPr>
          <w:p>
            <w:r>
              <w:t>View authorised profiles, configure proposed risk rules, investigate alerts</w:t>
            </w:r>
          </w:p>
        </w:tc>
        <w:tc>
          <w:tcPr>
            <w:tcW w:type="dxa" w:w="3264"/>
          </w:tcPr>
          <w:p>
            <w:r>
              <w:t>Cannot approve own rule deployment</w:t>
            </w:r>
          </w:p>
        </w:tc>
      </w:tr>
      <w:tr>
        <w:tc>
          <w:tcPr>
            <w:tcW w:type="dxa" w:w="3264"/>
          </w:tcPr>
          <w:p>
            <w:r>
              <w:t>Compliance officer</w:t>
            </w:r>
          </w:p>
        </w:tc>
        <w:tc>
          <w:tcPr>
            <w:tcW w:type="dxa" w:w="3264"/>
          </w:tcPr>
          <w:p>
            <w:r>
              <w:t>Work assigned cases, record contact and outcomes</w:t>
            </w:r>
          </w:p>
        </w:tc>
        <w:tc>
          <w:tcPr>
            <w:tcW w:type="dxa" w:w="3264"/>
          </w:tcPr>
          <w:p>
            <w:r>
              <w:t>No independent audit authorisation</w:t>
            </w:r>
          </w:p>
        </w:tc>
      </w:tr>
      <w:tr>
        <w:tc>
          <w:tcPr>
            <w:tcW w:type="dxa" w:w="3264"/>
          </w:tcPr>
          <w:p>
            <w:r>
              <w:t>Compliance manager</w:t>
            </w:r>
          </w:p>
        </w:tc>
        <w:tc>
          <w:tcPr>
            <w:tcW w:type="dxa" w:w="3264"/>
          </w:tcPr>
          <w:p>
            <w:r>
              <w:t>Prioritise campaigns, approve outreach and desk reviews</w:t>
            </w:r>
          </w:p>
        </w:tc>
        <w:tc>
          <w:tcPr>
            <w:tcW w:type="dxa" w:w="3264"/>
          </w:tcPr>
          <w:p>
            <w:r>
              <w:t>Approvals by state policy</w:t>
            </w:r>
          </w:p>
        </w:tc>
      </w:tr>
      <w:tr>
        <w:tc>
          <w:tcPr>
            <w:tcW w:type="dxa" w:w="3264"/>
          </w:tcPr>
          <w:p>
            <w:r>
              <w:t>Audit manager</w:t>
            </w:r>
          </w:p>
        </w:tc>
        <w:tc>
          <w:tcPr>
            <w:tcW w:type="dxa" w:w="3264"/>
          </w:tcPr>
          <w:p>
            <w:r>
              <w:t>Approve audit referrals and assign audit teams</w:t>
            </w:r>
          </w:p>
        </w:tc>
        <w:tc>
          <w:tcPr>
            <w:tcW w:type="dxa" w:w="3264"/>
          </w:tcPr>
          <w:p>
            <w:r>
              <w:t>No automatic assessment</w:t>
            </w:r>
          </w:p>
        </w:tc>
      </w:tr>
      <w:tr>
        <w:tc>
          <w:tcPr>
            <w:tcW w:type="dxa" w:w="3264"/>
          </w:tcPr>
          <w:p>
            <w:r>
              <w:t>Legal/policy officer</w:t>
            </w:r>
          </w:p>
        </w:tc>
        <w:tc>
          <w:tcPr>
            <w:tcW w:type="dxa" w:w="3264"/>
          </w:tcPr>
          <w:p>
            <w:r>
              <w:t>Maintain versioned law and obligation catalogue</w:t>
            </w:r>
          </w:p>
        </w:tc>
        <w:tc>
          <w:tcPr>
            <w:tcW w:type="dxa" w:w="3264"/>
          </w:tcPr>
          <w:p>
            <w:r>
              <w:t>Dual approval for production legal rules</w:t>
            </w:r>
          </w:p>
        </w:tc>
      </w:tr>
      <w:tr>
        <w:tc>
          <w:tcPr>
            <w:tcW w:type="dxa" w:w="3264"/>
          </w:tcPr>
          <w:p>
            <w:r>
              <w:t>Executive</w:t>
            </w:r>
          </w:p>
        </w:tc>
        <w:tc>
          <w:tcPr>
            <w:tcW w:type="dxa" w:w="3264"/>
          </w:tcPr>
          <w:p>
            <w:r>
              <w:t>Aggregated dashboards and authorised drill-down</w:t>
            </w:r>
          </w:p>
        </w:tc>
        <w:tc>
          <w:tcPr>
            <w:tcW w:type="dxa" w:w="3264"/>
          </w:tcPr>
          <w:p>
            <w:r>
              <w:t>No unrestricted raw-data export</w:t>
            </w:r>
          </w:p>
        </w:tc>
      </w:tr>
      <w:tr>
        <w:tc>
          <w:tcPr>
            <w:tcW w:type="dxa" w:w="3264"/>
          </w:tcPr>
          <w:p>
            <w:r>
              <w:t>Security auditor</w:t>
            </w:r>
          </w:p>
        </w:tc>
        <w:tc>
          <w:tcPr>
            <w:tcW w:type="dxa" w:w="3264"/>
          </w:tcPr>
          <w:p>
            <w:r>
              <w:t>Immutable logs and access review</w:t>
            </w:r>
          </w:p>
        </w:tc>
        <w:tc>
          <w:tcPr>
            <w:tcW w:type="dxa" w:w="3264"/>
          </w:tcPr>
          <w:p>
            <w:r>
              <w:t>Read-only</w:t>
            </w:r>
          </w:p>
        </w:tc>
      </w:tr>
    </w:tbl>
    <w:p>
      <w:pPr>
        <w:pStyle w:val="Heading2"/>
      </w:pPr>
      <w:r>
        <w:t>3. Functional requirements and priorities</w:t>
      </w:r>
    </w:p>
    <w:tbl>
      <w:tblPr>
        <w:tblStyle w:val="LightShading-Accent1"/>
        <w:tblW w:type="auto" w:w="0"/>
        <w:jc w:val="center"/>
        <w:tblLook w:firstColumn="1" w:firstRow="1" w:lastColumn="0" w:lastRow="0" w:noHBand="0" w:noVBand="1" w:val="04A0"/>
      </w:tblPr>
      <w:tblGrid>
        <w:gridCol w:w="2448"/>
        <w:gridCol w:w="2448"/>
        <w:gridCol w:w="2448"/>
        <w:gridCol w:w="2448"/>
      </w:tblGrid>
      <w:tr>
        <w:tc>
          <w:tcPr>
            <w:tcW w:type="dxa" w:w="2448"/>
          </w:tcPr>
          <w:p>
            <w:r>
              <w:t>ID</w:t>
            </w:r>
          </w:p>
        </w:tc>
        <w:tc>
          <w:tcPr>
            <w:tcW w:type="dxa" w:w="2448"/>
          </w:tcPr>
          <w:p>
            <w:r>
              <w:t>Requirement</w:t>
            </w:r>
          </w:p>
        </w:tc>
        <w:tc>
          <w:tcPr>
            <w:tcW w:type="dxa" w:w="2448"/>
          </w:tcPr>
          <w:p>
            <w:r>
              <w:t>Priority</w:t>
            </w:r>
          </w:p>
        </w:tc>
        <w:tc>
          <w:tcPr>
            <w:tcW w:type="dxa" w:w="2448"/>
          </w:tcPr>
          <w:p>
            <w:r>
              <w:t>Acceptance test</w:t>
            </w:r>
          </w:p>
        </w:tc>
      </w:tr>
      <w:tr>
        <w:tc>
          <w:tcPr>
            <w:tcW w:type="dxa" w:w="2448"/>
          </w:tcPr>
          <w:p>
            <w:r>
              <w:t>FR-01</w:t>
            </w:r>
          </w:p>
        </w:tc>
        <w:tc>
          <w:tcPr>
            <w:tcW w:type="dxa" w:w="2448"/>
          </w:tcPr>
          <w:p>
            <w:r>
              <w:t>Import taxpayers, filings, payments, employers, tax types</w:t>
            </w:r>
          </w:p>
        </w:tc>
        <w:tc>
          <w:tcPr>
            <w:tcW w:type="dxa" w:w="2448"/>
          </w:tcPr>
          <w:p>
            <w:r>
              <w:t>P0</w:t>
            </w:r>
          </w:p>
        </w:tc>
        <w:tc>
          <w:tcPr>
            <w:tcW w:type="dxa" w:w="2448"/>
          </w:tcPr>
          <w:p>
            <w:r>
              <w:t>Scheduled and manual imports with counts, errors, lineage</w:t>
            </w:r>
          </w:p>
        </w:tc>
      </w:tr>
      <w:tr>
        <w:tc>
          <w:tcPr>
            <w:tcW w:type="dxa" w:w="2448"/>
          </w:tcPr>
          <w:p>
            <w:r>
              <w:t>FR-02</w:t>
            </w:r>
          </w:p>
        </w:tc>
        <w:tc>
          <w:tcPr>
            <w:tcW w:type="dxa" w:w="2448"/>
          </w:tcPr>
          <w:p>
            <w:r>
              <w:t>Deduplicate and link persons, entities, employer relationships</w:t>
            </w:r>
          </w:p>
        </w:tc>
        <w:tc>
          <w:tcPr>
            <w:tcW w:type="dxa" w:w="2448"/>
          </w:tcPr>
          <w:p>
            <w:r>
              <w:t>P0</w:t>
            </w:r>
          </w:p>
        </w:tc>
        <w:tc>
          <w:tcPr>
            <w:tcW w:type="dxa" w:w="2448"/>
          </w:tcPr>
          <w:p>
            <w:r>
              <w:t>Candidate matches shown with confidence; manual merge approval</w:t>
            </w:r>
          </w:p>
        </w:tc>
      </w:tr>
      <w:tr>
        <w:tc>
          <w:tcPr>
            <w:tcW w:type="dxa" w:w="2448"/>
          </w:tcPr>
          <w:p>
            <w:r>
              <w:t>FR-03</w:t>
            </w:r>
          </w:p>
        </w:tc>
        <w:tc>
          <w:tcPr>
            <w:tcW w:type="dxa" w:w="2448"/>
          </w:tcPr>
          <w:p>
            <w:r>
              <w:t>Determine applicable obligations using versioned rules</w:t>
            </w:r>
          </w:p>
        </w:tc>
        <w:tc>
          <w:tcPr>
            <w:tcW w:type="dxa" w:w="2448"/>
          </w:tcPr>
          <w:p>
            <w:r>
              <w:t>P0</w:t>
            </w:r>
          </w:p>
        </w:tc>
        <w:tc>
          <w:tcPr>
            <w:tcW w:type="dxa" w:w="2448"/>
          </w:tcPr>
          <w:p>
            <w:r>
              <w:t>Historical period selects correct rule version</w:t>
            </w:r>
          </w:p>
        </w:tc>
      </w:tr>
      <w:tr>
        <w:tc>
          <w:tcPr>
            <w:tcW w:type="dxa" w:w="2448"/>
          </w:tcPr>
          <w:p>
            <w:r>
              <w:t>FR-04</w:t>
            </w:r>
          </w:p>
        </w:tc>
        <w:tc>
          <w:tcPr>
            <w:tcW w:type="dxa" w:w="2448"/>
          </w:tcPr>
          <w:p>
            <w:r>
              <w:t>Detect registration, filing, reporting, payment signals</w:t>
            </w:r>
          </w:p>
        </w:tc>
        <w:tc>
          <w:tcPr>
            <w:tcW w:type="dxa" w:w="2448"/>
          </w:tcPr>
          <w:p>
            <w:r>
              <w:t>P0</w:t>
            </w:r>
          </w:p>
        </w:tc>
        <w:tc>
          <w:tcPr>
            <w:tcW w:type="dxa" w:w="2448"/>
          </w:tcPr>
          <w:p>
            <w:r>
              <w:t>Each signal links to source and calculation</w:t>
            </w:r>
          </w:p>
        </w:tc>
      </w:tr>
      <w:tr>
        <w:tc>
          <w:tcPr>
            <w:tcW w:type="dxa" w:w="2448"/>
          </w:tcPr>
          <w:p>
            <w:r>
              <w:t>FR-05</w:t>
            </w:r>
          </w:p>
        </w:tc>
        <w:tc>
          <w:tcPr>
            <w:tcW w:type="dxa" w:w="2448"/>
          </w:tcPr>
          <w:p>
            <w:r>
              <w:t>Compute explainable risk and data-confidence scores</w:t>
            </w:r>
          </w:p>
        </w:tc>
        <w:tc>
          <w:tcPr>
            <w:tcW w:type="dxa" w:w="2448"/>
          </w:tcPr>
          <w:p>
            <w:r>
              <w:t>P0</w:t>
            </w:r>
          </w:p>
        </w:tc>
        <w:tc>
          <w:tcPr>
            <w:tcW w:type="dxa" w:w="2448"/>
          </w:tcPr>
          <w:p>
            <w:r>
              <w:t>Reproduce score for a past run</w:t>
            </w:r>
          </w:p>
        </w:tc>
      </w:tr>
      <w:tr>
        <w:tc>
          <w:tcPr>
            <w:tcW w:type="dxa" w:w="2448"/>
          </w:tcPr>
          <w:p>
            <w:r>
              <w:t>FR-06</w:t>
            </w:r>
          </w:p>
        </w:tc>
        <w:tc>
          <w:tcPr>
            <w:tcW w:type="dxa" w:w="2448"/>
          </w:tcPr>
          <w:p>
            <w:r>
              <w:t>Generate and triage risk alerts</w:t>
            </w:r>
          </w:p>
        </w:tc>
        <w:tc>
          <w:tcPr>
            <w:tcW w:type="dxa" w:w="2448"/>
          </w:tcPr>
          <w:p>
            <w:r>
              <w:t>P0</w:t>
            </w:r>
          </w:p>
        </w:tc>
        <w:tc>
          <w:tcPr>
            <w:tcW w:type="dxa" w:w="2448"/>
          </w:tcPr>
          <w:p>
            <w:r>
              <w:t>Dismiss/confirm/escalate with reason</w:t>
            </w:r>
          </w:p>
        </w:tc>
      </w:tr>
      <w:tr>
        <w:tc>
          <w:tcPr>
            <w:tcW w:type="dxa" w:w="2448"/>
          </w:tcPr>
          <w:p>
            <w:r>
              <w:t>FR-07</w:t>
            </w:r>
          </w:p>
        </w:tc>
        <w:tc>
          <w:tcPr>
            <w:tcW w:type="dxa" w:w="2448"/>
          </w:tcPr>
          <w:p>
            <w:r>
              <w:t>Manage interventions and cases</w:t>
            </w:r>
          </w:p>
        </w:tc>
        <w:tc>
          <w:tcPr>
            <w:tcW w:type="dxa" w:w="2448"/>
          </w:tcPr>
          <w:p>
            <w:r>
              <w:t>P0</w:t>
            </w:r>
          </w:p>
        </w:tc>
        <w:tc>
          <w:tcPr>
            <w:tcW w:type="dxa" w:w="2448"/>
          </w:tcPr>
          <w:p>
            <w:r>
              <w:t>Assignment, SLA, approvals, actions and closure logged</w:t>
            </w:r>
          </w:p>
        </w:tc>
      </w:tr>
      <w:tr>
        <w:tc>
          <w:tcPr>
            <w:tcW w:type="dxa" w:w="2448"/>
          </w:tcPr>
          <w:p>
            <w:r>
              <w:t>FR-08</w:t>
            </w:r>
          </w:p>
        </w:tc>
        <w:tc>
          <w:tcPr>
            <w:tcW w:type="dxa" w:w="2448"/>
          </w:tcPr>
          <w:p>
            <w:r>
              <w:t>Executive and operational dashboards</w:t>
            </w:r>
          </w:p>
        </w:tc>
        <w:tc>
          <w:tcPr>
            <w:tcW w:type="dxa" w:w="2448"/>
          </w:tcPr>
          <w:p>
            <w:r>
              <w:t>P0</w:t>
            </w:r>
          </w:p>
        </w:tc>
        <w:tc>
          <w:tcPr>
            <w:tcW w:type="dxa" w:w="2448"/>
          </w:tcPr>
          <w:p>
            <w:r>
              <w:t>Metric definitions, filters and freshness shown</w:t>
            </w:r>
          </w:p>
        </w:tc>
      </w:tr>
      <w:tr>
        <w:tc>
          <w:tcPr>
            <w:tcW w:type="dxa" w:w="2448"/>
          </w:tcPr>
          <w:p>
            <w:r>
              <w:t>FR-09</w:t>
            </w:r>
          </w:p>
        </w:tc>
        <w:tc>
          <w:tcPr>
            <w:tcW w:type="dxa" w:w="2448"/>
          </w:tcPr>
          <w:p>
            <w:r>
              <w:t>Full access and decision audit trail</w:t>
            </w:r>
          </w:p>
        </w:tc>
        <w:tc>
          <w:tcPr>
            <w:tcW w:type="dxa" w:w="2448"/>
          </w:tcPr>
          <w:p>
            <w:r>
              <w:t>P0</w:t>
            </w:r>
          </w:p>
        </w:tc>
        <w:tc>
          <w:tcPr>
            <w:tcW w:type="dxa" w:w="2448"/>
          </w:tcPr>
          <w:p>
            <w:r>
              <w:t>Tamper-evident events searchable by authorised auditor</w:t>
            </w:r>
          </w:p>
        </w:tc>
      </w:tr>
      <w:tr>
        <w:tc>
          <w:tcPr>
            <w:tcW w:type="dxa" w:w="2448"/>
          </w:tcPr>
          <w:p>
            <w:r>
              <w:t>FR-10</w:t>
            </w:r>
          </w:p>
        </w:tc>
        <w:tc>
          <w:tcPr>
            <w:tcW w:type="dxa" w:w="2448"/>
          </w:tcPr>
          <w:p>
            <w:r>
              <w:t>Role-based exports with masking</w:t>
            </w:r>
          </w:p>
        </w:tc>
        <w:tc>
          <w:tcPr>
            <w:tcW w:type="dxa" w:w="2448"/>
          </w:tcPr>
          <w:p>
            <w:r>
              <w:t>P0</w:t>
            </w:r>
          </w:p>
        </w:tc>
        <w:tc>
          <w:tcPr>
            <w:tcW w:type="dxa" w:w="2448"/>
          </w:tcPr>
          <w:p>
            <w:r>
              <w:t>Denied export leaves audit record</w:t>
            </w:r>
          </w:p>
        </w:tc>
      </w:tr>
      <w:tr>
        <w:tc>
          <w:tcPr>
            <w:tcW w:type="dxa" w:w="2448"/>
          </w:tcPr>
          <w:p>
            <w:r>
              <w:t>FR-11</w:t>
            </w:r>
          </w:p>
        </w:tc>
        <w:tc>
          <w:tcPr>
            <w:tcW w:type="dxa" w:w="2448"/>
          </w:tcPr>
          <w:p>
            <w:r>
              <w:t>Natural-language analytics assistant</w:t>
            </w:r>
          </w:p>
        </w:tc>
        <w:tc>
          <w:tcPr>
            <w:tcW w:type="dxa" w:w="2448"/>
          </w:tcPr>
          <w:p>
            <w:r>
              <w:t>P1</w:t>
            </w:r>
          </w:p>
        </w:tc>
        <w:tc>
          <w:tcPr>
            <w:tcW w:type="dxa" w:w="2448"/>
          </w:tcPr>
          <w:p>
            <w:r>
              <w:t>Grounded answers with source and permissions</w:t>
            </w:r>
          </w:p>
        </w:tc>
      </w:tr>
      <w:tr>
        <w:tc>
          <w:tcPr>
            <w:tcW w:type="dxa" w:w="2448"/>
          </w:tcPr>
          <w:p>
            <w:r>
              <w:t>FR-12</w:t>
            </w:r>
          </w:p>
        </w:tc>
        <w:tc>
          <w:tcPr>
            <w:tcW w:type="dxa" w:w="2448"/>
          </w:tcPr>
          <w:p>
            <w:r>
              <w:t>Campaign experimentation and outcome evaluation</w:t>
            </w:r>
          </w:p>
        </w:tc>
        <w:tc>
          <w:tcPr>
            <w:tcW w:type="dxa" w:w="2448"/>
          </w:tcPr>
          <w:p>
            <w:r>
              <w:t>P1</w:t>
            </w:r>
          </w:p>
        </w:tc>
        <w:tc>
          <w:tcPr>
            <w:tcW w:type="dxa" w:w="2448"/>
          </w:tcPr>
          <w:p>
            <w:r>
              <w:t>Comparison cohorts and metrics recorded</w:t>
            </w:r>
          </w:p>
        </w:tc>
      </w:tr>
      <w:tr>
        <w:tc>
          <w:tcPr>
            <w:tcW w:type="dxa" w:w="2448"/>
          </w:tcPr>
          <w:p>
            <w:r>
              <w:t>FR-13</w:t>
            </w:r>
          </w:p>
        </w:tc>
        <w:tc>
          <w:tcPr>
            <w:tcW w:type="dxa" w:w="2448"/>
          </w:tcPr>
          <w:p>
            <w:r>
              <w:t>Taxpayer compliance self-check portal</w:t>
            </w:r>
          </w:p>
        </w:tc>
        <w:tc>
          <w:tcPr>
            <w:tcW w:type="dxa" w:w="2448"/>
          </w:tcPr>
          <w:p>
            <w:r>
              <w:t>P2</w:t>
            </w:r>
          </w:p>
        </w:tc>
        <w:tc>
          <w:tcPr>
            <w:tcW w:type="dxa" w:w="2448"/>
          </w:tcPr>
          <w:p>
            <w:r>
              <w:t>No disclosure of internal risk scores</w:t>
            </w:r>
          </w:p>
        </w:tc>
      </w:tr>
      <w:tr>
        <w:tc>
          <w:tcPr>
            <w:tcW w:type="dxa" w:w="2448"/>
          </w:tcPr>
          <w:p>
            <w:r>
              <w:t>FR-14</w:t>
            </w:r>
          </w:p>
        </w:tc>
        <w:tc>
          <w:tcPr>
            <w:tcW w:type="dxa" w:w="2448"/>
          </w:tcPr>
          <w:p>
            <w:r>
              <w:t>Training simulator with synthetic cases</w:t>
            </w:r>
          </w:p>
        </w:tc>
        <w:tc>
          <w:tcPr>
            <w:tcW w:type="dxa" w:w="2448"/>
          </w:tcPr>
          <w:p>
            <w:r>
              <w:t>P2</w:t>
            </w:r>
          </w:p>
        </w:tc>
        <w:tc>
          <w:tcPr>
            <w:tcW w:type="dxa" w:w="2448"/>
          </w:tcPr>
          <w:p>
            <w:r>
              <w:t>Isolated from live taxpayer records</w:t>
            </w:r>
          </w:p>
        </w:tc>
      </w:tr>
    </w:tbl>
    <w:p>
      <w:pPr>
        <w:pStyle w:val="Heading2"/>
      </w:pPr>
      <w:r>
        <w:t>4. Core user journeys</w:t>
      </w:r>
    </w:p>
    <w:p>
      <w:r>
        <w:t>Journey A: Compliance analyst selects a tax period and sector → reviews data freshness and coverage → opens a risk alert → examines legal obligation, evidence, data quality and score explanation → confirms or dismisses → submits intervention proposal.</w:t>
      </w:r>
    </w:p>
    <w:p>
      <w:r>
        <w:t>Journey B: Compliance manager reviews proposal → checks proportionality and evidence → approves education/reminder/desk review or returns for revision → assigns officer → monitors SLA → closes with recorded outcome.</w:t>
      </w:r>
    </w:p>
    <w:p>
      <w:r>
        <w:t>Journey C: Audit manager reviews a referred case → evaluates materiality, evidence and available capacity → approves or rejects audit selection → records actual audit findings and downstream outcomes. The system never treats a risk signal as proof of evasion.</w:t>
      </w:r>
    </w:p>
    <w:p>
      <w:r>
        <w:t>Journey D: Executive filters dashboards by LGA, sector, tax type and period → reviews numerator, denominator, coverage and last-refresh metadata → downloads aggregate management brief.</w:t>
      </w:r>
    </w:p>
    <w:p>
      <w:pPr>
        <w:pStyle w:val="Heading2"/>
      </w:pPr>
      <w:r>
        <w:t>5. Screens and interaction design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Screen</w:t>
            </w:r>
          </w:p>
        </w:tc>
        <w:tc>
          <w:tcPr>
            <w:tcW w:type="dxa" w:w="4896"/>
          </w:tcPr>
          <w:p>
            <w:r>
              <w:t>Key components</w:t>
            </w:r>
          </w:p>
        </w:tc>
      </w:tr>
      <w:tr>
        <w:tc>
          <w:tcPr>
            <w:tcW w:type="dxa" w:w="4896"/>
          </w:tcPr>
          <w:p>
            <w:r>
              <w:t>01 Overview</w:t>
            </w:r>
          </w:p>
        </w:tc>
        <w:tc>
          <w:tcPr>
            <w:tcW w:type="dxa" w:w="4896"/>
          </w:tcPr>
          <w:p>
            <w:r>
              <w:t>Filing, payment and registration compliance; trend; source freshness; risk queue; intervention outcomes</w:t>
            </w:r>
          </w:p>
        </w:tc>
      </w:tr>
      <w:tr>
        <w:tc>
          <w:tcPr>
            <w:tcW w:type="dxa" w:w="4896"/>
          </w:tcPr>
          <w:p>
            <w:r>
              <w:t>02 Taxpayer 360</w:t>
            </w:r>
          </w:p>
        </w:tc>
        <w:tc>
          <w:tcPr>
            <w:tcW w:type="dxa" w:w="4896"/>
          </w:tcPr>
          <w:p>
            <w:r>
              <w:t>Identity links, obligations, filing/payment timeline, risks, evidence, permissions and case history</w:t>
            </w:r>
          </w:p>
        </w:tc>
      </w:tr>
      <w:tr>
        <w:tc>
          <w:tcPr>
            <w:tcW w:type="dxa" w:w="4896"/>
          </w:tcPr>
          <w:p>
            <w:r>
              <w:t>03 Risk workbench</w:t>
            </w:r>
          </w:p>
        </w:tc>
        <w:tc>
          <w:tcPr>
            <w:tcW w:type="dxa" w:w="4896"/>
          </w:tcPr>
          <w:p>
            <w:r>
              <w:t>Filters, saved views, priority queue, evidence panel, rule version, disposition</w:t>
            </w:r>
          </w:p>
        </w:tc>
      </w:tr>
      <w:tr>
        <w:tc>
          <w:tcPr>
            <w:tcW w:type="dxa" w:w="4896"/>
          </w:tcPr>
          <w:p>
            <w:r>
              <w:t>04 Risk model studio</w:t>
            </w:r>
          </w:p>
        </w:tc>
        <w:tc>
          <w:tcPr>
            <w:tcW w:type="dxa" w:w="4896"/>
          </w:tcPr>
          <w:p>
            <w:r>
              <w:t>Rule authoring, test sandbox, version comparison, approval, rollback</w:t>
            </w:r>
          </w:p>
        </w:tc>
      </w:tr>
      <w:tr>
        <w:tc>
          <w:tcPr>
            <w:tcW w:type="dxa" w:w="4896"/>
          </w:tcPr>
          <w:p>
            <w:r>
              <w:t>05 Compliance campaigns</w:t>
            </w:r>
          </w:p>
        </w:tc>
        <w:tc>
          <w:tcPr>
            <w:tcW w:type="dxa" w:w="4896"/>
          </w:tcPr>
          <w:p>
            <w:r>
              <w:t>Segment builder, treatment plan, channels, budget, outcome tracking</w:t>
            </w:r>
          </w:p>
        </w:tc>
      </w:tr>
      <w:tr>
        <w:tc>
          <w:tcPr>
            <w:tcW w:type="dxa" w:w="4896"/>
          </w:tcPr>
          <w:p>
            <w:r>
              <w:t>06 Case management</w:t>
            </w:r>
          </w:p>
        </w:tc>
        <w:tc>
          <w:tcPr>
            <w:tcW w:type="dxa" w:w="4896"/>
          </w:tcPr>
          <w:p>
            <w:r>
              <w:t>Case stages, officer assignments, SLA, notes, documents, approval history</w:t>
            </w:r>
          </w:p>
        </w:tc>
      </w:tr>
      <w:tr>
        <w:tc>
          <w:tcPr>
            <w:tcW w:type="dxa" w:w="4896"/>
          </w:tcPr>
          <w:p>
            <w:r>
              <w:t>07 Audit referrals</w:t>
            </w:r>
          </w:p>
        </w:tc>
        <w:tc>
          <w:tcPr>
            <w:tcW w:type="dxa" w:w="4896"/>
          </w:tcPr>
          <w:p>
            <w:r>
              <w:t>Audit selection rationale, queue, capacity, decisions, outcome linkage</w:t>
            </w:r>
          </w:p>
        </w:tc>
      </w:tr>
      <w:tr>
        <w:tc>
          <w:tcPr>
            <w:tcW w:type="dxa" w:w="4896"/>
          </w:tcPr>
          <w:p>
            <w:r>
              <w:t>08 Analytics</w:t>
            </w:r>
          </w:p>
        </w:tc>
        <w:tc>
          <w:tcPr>
            <w:tcW w:type="dxa" w:w="4896"/>
          </w:tcPr>
          <w:p>
            <w:r>
              <w:t>Tax type/sector/LGA trends, cohort comparison, definitions, confidence</w:t>
            </w:r>
          </w:p>
        </w:tc>
      </w:tr>
      <w:tr>
        <w:tc>
          <w:tcPr>
            <w:tcW w:type="dxa" w:w="4896"/>
          </w:tcPr>
          <w:p>
            <w:r>
              <w:t>09 Data quality</w:t>
            </w:r>
          </w:p>
        </w:tc>
        <w:tc>
          <w:tcPr>
            <w:tcW w:type="dxa" w:w="4896"/>
          </w:tcPr>
          <w:p>
            <w:r>
              <w:t>Connector status, unmapped records, matching review, stale feeds</w:t>
            </w:r>
          </w:p>
        </w:tc>
      </w:tr>
      <w:tr>
        <w:tc>
          <w:tcPr>
            <w:tcW w:type="dxa" w:w="4896"/>
          </w:tcPr>
          <w:p>
            <w:r>
              <w:t>10 Administration</w:t>
            </w:r>
          </w:p>
        </w:tc>
        <w:tc>
          <w:tcPr>
            <w:tcW w:type="dxa" w:w="4896"/>
          </w:tcPr>
          <w:p>
            <w:r>
              <w:t>Tenant config, users, role matrix, legal catalogue, retention, security</w:t>
            </w:r>
          </w:p>
        </w:tc>
      </w:tr>
      <w:tr>
        <w:tc>
          <w:tcPr>
            <w:tcW w:type="dxa" w:w="4896"/>
          </w:tcPr>
          <w:p>
            <w:r>
              <w:t>11 AI assistant (P1)</w:t>
            </w:r>
          </w:p>
        </w:tc>
        <w:tc>
          <w:tcPr>
            <w:tcW w:type="dxa" w:w="4896"/>
          </w:tcPr>
          <w:p>
            <w:r>
              <w:t>Questions, SQL-safe analytic tools, citations, uncertainty and escalation</w:t>
            </w:r>
          </w:p>
        </w:tc>
      </w:tr>
    </w:tbl>
    <w:p>
      <w:pPr>
        <w:pStyle w:val="Heading2"/>
      </w:pPr>
      <w:r>
        <w:t>6. Risk framework and score specification</w:t>
      </w:r>
    </w:p>
    <w:p>
      <w:r>
        <w:t>Model risk by tax type, taxpayer segment, obligation and period, not as one universal score. Registration, filing, reporting and payment each produce signals with severity, confidence, potential exposure and recommended next step. Illustrative initial weights are registration 15%, filing 25%, reporting 35% and payment 25%; these are placeholders, not validated policy.</w:t>
      </w:r>
    </w:p>
    <w:p>
      <w:r>
        <w:t>Score design: for each applicable dimension, compute a 0–100 rule score; exclude non-applicable dimensions and renormalise weights. Overall risk = sum(applicable dimension score × normalised weight). Independently compute data-confidence (coverage, timeliness, matching certainty and evidence reliability) and estimated revenue exposure, where defensible. Suppress adverse automated prioritisation when confidence is insufficient; refer for data verification.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Signal example</w:t>
            </w:r>
          </w:p>
        </w:tc>
        <w:tc>
          <w:tcPr>
            <w:tcW w:type="dxa" w:w="4896"/>
          </w:tcPr>
          <w:p>
            <w:r>
              <w:t>Safeguard / exception</w:t>
            </w:r>
          </w:p>
        </w:tc>
      </w:tr>
      <w:tr>
        <w:tc>
          <w:tcPr>
            <w:tcW w:type="dxa" w:w="4896"/>
          </w:tcPr>
          <w:p>
            <w:r>
              <w:t>Required PAYE return not received by legal deadline</w:t>
            </w:r>
          </w:p>
        </w:tc>
        <w:tc>
          <w:tcPr>
            <w:tcW w:type="dxa" w:w="4896"/>
          </w:tcPr>
          <w:p>
            <w:r>
              <w:t>Check active employer status, relevant period, valid extension and feed freshness</w:t>
            </w:r>
          </w:p>
        </w:tc>
      </w:tr>
      <w:tr>
        <w:tc>
          <w:tcPr>
            <w:tcW w:type="dxa" w:w="4896"/>
          </w:tcPr>
          <w:p>
            <w:r>
              <w:t>Payment below declared liability</w:t>
            </w:r>
          </w:p>
        </w:tc>
        <w:tc>
          <w:tcPr>
            <w:tcW w:type="dxa" w:w="4896"/>
          </w:tcPr>
          <w:p>
            <w:r>
              <w:t>Check adjustments, credits, disputes, allocations and payment reconciliation</w:t>
            </w:r>
          </w:p>
        </w:tc>
      </w:tr>
      <w:tr>
        <w:tc>
          <w:tcPr>
            <w:tcW w:type="dxa" w:w="4896"/>
          </w:tcPr>
          <w:p>
            <w:r>
              <w:t>Material unexplained income deviation</w:t>
            </w:r>
          </w:p>
        </w:tc>
        <w:tc>
          <w:tcPr>
            <w:tcW w:type="dxa" w:w="4896"/>
          </w:tcPr>
          <w:p>
            <w:r>
              <w:t>Flag as hypothesis; check seasonality, business closure and data reliability</w:t>
            </w:r>
          </w:p>
        </w:tc>
      </w:tr>
      <w:tr>
        <w:tc>
          <w:tcPr>
            <w:tcW w:type="dxa" w:w="4896"/>
          </w:tcPr>
          <w:p>
            <w:r>
              <w:t>Unregistered entity in authorised business dataset</w:t>
            </w:r>
          </w:p>
        </w:tc>
        <w:tc>
          <w:tcPr>
            <w:tcW w:type="dxa" w:w="4896"/>
          </w:tcPr>
          <w:p>
            <w:r>
              <w:t>Verify identity, jurisdiction and whether obligation applies</w:t>
            </w:r>
          </w:p>
        </w:tc>
      </w:tr>
    </w:tbl>
    <w:p>
      <w:r>
        <w:t>Every score stores: model_version, ruleset_version, obligation_version, evaluation_time, inputs and hashes, applicable weights, individual signals, reason codes, confidence, reviewer actions and superseding recalculations. Risk bands are configured only after back-testing and approval.</w:t>
      </w:r>
    </w:p>
    <w:p>
      <w:pPr>
        <w:pStyle w:val="Heading2"/>
      </w:pPr>
      <w:r>
        <w:t>7. Intervention decision policy</w:t>
      </w:r>
    </w:p>
    <w:p>
      <w:r>
        <w:t>Treatment options: no action; correct data; educational communication; filing reminder; assisted filing; desk verification; approved payment follow-up; audit referral; investigation referral. Treatment selection must consider materiality, confidence, previous contact, taxpayer rights, statutory limits and staff capacity. Legal notices and sanctions must be issued only by authorised processes and officers.</w:t>
      </w:r>
    </w:p>
    <w:p>
      <w:pPr>
        <w:pStyle w:val="Heading2"/>
      </w:pPr>
      <w:r>
        <w:t>8. KPI definitions and evaluation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KPI</w:t>
            </w:r>
          </w:p>
        </w:tc>
        <w:tc>
          <w:tcPr>
            <w:tcW w:type="dxa" w:w="4896"/>
          </w:tcPr>
          <w:p>
            <w:r>
              <w:t>Definition / caution</w:t>
            </w:r>
          </w:p>
        </w:tc>
      </w:tr>
      <w:tr>
        <w:tc>
          <w:tcPr>
            <w:tcW w:type="dxa" w:w="4896"/>
          </w:tcPr>
          <w:p>
            <w:r>
              <w:t>Timely filing rate</w:t>
            </w:r>
          </w:p>
        </w:tc>
        <w:tc>
          <w:tcPr>
            <w:tcW w:type="dxa" w:w="4896"/>
          </w:tcPr>
          <w:p>
            <w:r>
              <w:t>Returns filed by deadline ÷ returns legally due among eligible active taxpayers</w:t>
            </w:r>
          </w:p>
        </w:tc>
      </w:tr>
      <w:tr>
        <w:tc>
          <w:tcPr>
            <w:tcW w:type="dxa" w:w="4896"/>
          </w:tcPr>
          <w:p>
            <w:r>
              <w:t>Payment compliance rate</w:t>
            </w:r>
          </w:p>
        </w:tc>
        <w:tc>
          <w:tcPr>
            <w:tcW w:type="dxa" w:w="4896"/>
          </w:tcPr>
          <w:p>
            <w:r>
              <w:t>Obligations paid on time ÷ obligations due; distinguish count and value measures</w:t>
            </w:r>
          </w:p>
        </w:tc>
      </w:tr>
      <w:tr>
        <w:tc>
          <w:tcPr>
            <w:tcW w:type="dxa" w:w="4896"/>
          </w:tcPr>
          <w:p>
            <w:r>
              <w:t>Registration coverage</w:t>
            </w:r>
          </w:p>
        </w:tc>
        <w:tc>
          <w:tcPr>
            <w:tcW w:type="dxa" w:w="4896"/>
          </w:tcPr>
          <w:p>
            <w:r>
              <w:t>Registered liable population ÷ defensible estimated liable population; show estimate quality</w:t>
            </w:r>
          </w:p>
        </w:tc>
      </w:tr>
      <w:tr>
        <w:tc>
          <w:tcPr>
            <w:tcW w:type="dxa" w:w="4896"/>
          </w:tcPr>
          <w:p>
            <w:r>
              <w:t>Cases resolved within SLA</w:t>
            </w:r>
          </w:p>
        </w:tc>
        <w:tc>
          <w:tcPr>
            <w:tcW w:type="dxa" w:w="4896"/>
          </w:tcPr>
          <w:p>
            <w:r>
              <w:t>Closed within defined SLA ÷ closed cases; report case mix</w:t>
            </w:r>
          </w:p>
        </w:tc>
      </w:tr>
      <w:tr>
        <w:tc>
          <w:tcPr>
            <w:tcW w:type="dxa" w:w="4896"/>
          </w:tcPr>
          <w:p>
            <w:r>
              <w:t>Audit yield</w:t>
            </w:r>
          </w:p>
        </w:tc>
        <w:tc>
          <w:tcPr>
            <w:tcW w:type="dxa" w:w="4896"/>
          </w:tcPr>
          <w:p>
            <w:r>
              <w:t>Collected audit-related revenue net of refunds, plus separate assessment figure</w:t>
            </w:r>
          </w:p>
        </w:tc>
      </w:tr>
      <w:tr>
        <w:tc>
          <w:tcPr>
            <w:tcW w:type="dxa" w:w="4896"/>
          </w:tcPr>
          <w:p>
            <w:r>
              <w:t>Intervention uplift</w:t>
            </w:r>
          </w:p>
        </w:tc>
        <w:tc>
          <w:tcPr>
            <w:tcW w:type="dxa" w:w="4896"/>
          </w:tcPr>
          <w:p>
            <w:r>
              <w:t>Difference in outcomes vs credible comparison group; show uncertainty</w:t>
            </w:r>
          </w:p>
        </w:tc>
      </w:tr>
      <w:tr>
        <w:tc>
          <w:tcPr>
            <w:tcW w:type="dxa" w:w="4896"/>
          </w:tcPr>
          <w:p>
            <w:r>
              <w:t>Revenue at risk</w:t>
            </w:r>
          </w:p>
        </w:tc>
        <w:tc>
          <w:tcPr>
            <w:tcW w:type="dxa" w:w="4896"/>
          </w:tcPr>
          <w:p>
            <w:r>
              <w:t>Scenario estimate with method, exclusions and confidence interval, not collectible debt</w:t>
            </w:r>
          </w:p>
        </w:tc>
      </w:tr>
    </w:tbl>
    <w:p>
      <w:pPr>
        <w:pStyle w:val="Heading2"/>
      </w:pPr>
      <w:r>
        <w:t>9. Non-functional requirements</w:t>
      </w:r>
    </w:p>
    <w:p>
      <w:pPr>
        <w:pStyle w:val="ListBullet"/>
      </w:pPr>
      <w:r>
        <w:t>Availability target: 99.5% monthly for pilot, excluding planned maintenance; higher production SLA subject to funding.</w:t>
      </w:r>
    </w:p>
    <w:p>
      <w:pPr>
        <w:pStyle w:val="ListBullet"/>
      </w:pPr>
      <w:r>
        <w:t>Performance: 95th percentile standard dashboard response &lt;4 seconds on representative pilot dataset; background scoring asynchronous.</w:t>
      </w:r>
    </w:p>
    <w:p>
      <w:pPr>
        <w:pStyle w:val="ListBullet"/>
      </w:pPr>
      <w:r>
        <w:t>Scale: design for millions of taxpayer and obligation records, tested against realistic volumes before rollout.</w:t>
      </w:r>
    </w:p>
    <w:p>
      <w:pPr>
        <w:pStyle w:val="ListBullet"/>
      </w:pPr>
      <w:r>
        <w:t>Security: encryption in transit and at rest, MFA for privileged users, least privilege, secrets vault, vulnerability scanning and penetration test.</w:t>
      </w:r>
    </w:p>
    <w:p>
      <w:pPr>
        <w:pStyle w:val="ListBullet"/>
      </w:pPr>
      <w:r>
        <w:t>Recovery: proposed RPO ≤24 hours and RTO ≤8 hours for pilot, to be tightened by agreed service levels.</w:t>
      </w:r>
    </w:p>
    <w:p>
      <w:pPr>
        <w:pStyle w:val="ListBullet"/>
      </w:pPr>
      <w:r>
        <w:t>Accessibility: keyboard support, readable contrast and responsive desktop/tablet interfaces.</w:t>
      </w:r>
    </w:p>
    <w:p>
      <w:pPr>
        <w:pStyle w:val="ListBullet"/>
      </w:pPr>
      <w:r>
        <w:t>Observability: metrics, traces, alerts, connector lag, job failures and risk-rule drift.</w:t>
      </w:r>
    </w:p>
    <w:p>
      <w:pPr>
        <w:pStyle w:val="ListBullet"/>
      </w:pPr>
      <w:r>
        <w:t>Data residency, retention and breach procedures determined through legal review and state procurement requirements.</w:t>
      </w:r>
    </w:p>
    <w:p>
      <w:pPr>
        <w:pStyle w:val="Heading1"/>
      </w:pPr>
      <w:r>
        <w:t>PART B | TECHNICAL ARCHITECTURE</w:t>
      </w:r>
    </w:p>
    <w:p>
      <w:pPr>
        <w:pStyle w:val="Heading2"/>
      </w:pPr>
      <w:r>
        <w:t>10. Logical architecture</w:t>
      </w:r>
    </w:p>
    <w:p>
      <w:r>
        <w:t>Source systems → secure ingestion gateway → raw immutable landing zone → validation and normalisation → taxpayer/entity master → obligation engine → compliance signal engine → risk and exposure engine → case/workflow service → API gateway → web dashboards and controlled AI assistant. All services emit audit events and observability telemetry.</w:t>
      </w:r>
    </w:p>
    <w:p>
      <w:r>
        <w:t>Recommended deployment: modular monolith for transactional services at MVP, with separate ingestion/scoring workers and analytical storage. This is simpler to secure and operate than premature microservices. Split services only where scaling or governance warrants it.</w:t>
      </w:r>
    </w:p>
    <w:p>
      <w:pPr>
        <w:pStyle w:val="Heading2"/>
      </w:pPr>
      <w:r>
        <w:t>11. Suggested technology stack</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Layer</w:t>
            </w:r>
          </w:p>
        </w:tc>
        <w:tc>
          <w:tcPr>
            <w:tcW w:type="dxa" w:w="3264"/>
          </w:tcPr>
          <w:p>
            <w:r>
              <w:t>Suggested implementation</w:t>
            </w:r>
          </w:p>
        </w:tc>
        <w:tc>
          <w:tcPr>
            <w:tcW w:type="dxa" w:w="3264"/>
          </w:tcPr>
          <w:p>
            <w:r>
              <w:t>Notes</w:t>
            </w:r>
          </w:p>
        </w:tc>
      </w:tr>
      <w:tr>
        <w:tc>
          <w:tcPr>
            <w:tcW w:type="dxa" w:w="3264"/>
          </w:tcPr>
          <w:p>
            <w:r>
              <w:t>Frontend</w:t>
            </w:r>
          </w:p>
        </w:tc>
        <w:tc>
          <w:tcPr>
            <w:tcW w:type="dxa" w:w="3264"/>
          </w:tcPr>
          <w:p>
            <w:r>
              <w:t>Next.js / React + TypeScript</w:t>
            </w:r>
          </w:p>
        </w:tc>
        <w:tc>
          <w:tcPr>
            <w:tcW w:type="dxa" w:w="3264"/>
          </w:tcPr>
          <w:p>
            <w:r>
              <w:t>Accessible component library; role-aware views</w:t>
            </w:r>
          </w:p>
        </w:tc>
      </w:tr>
      <w:tr>
        <w:tc>
          <w:tcPr>
            <w:tcW w:type="dxa" w:w="3264"/>
          </w:tcPr>
          <w:p>
            <w:r>
              <w:t>Backend</w:t>
            </w:r>
          </w:p>
        </w:tc>
        <w:tc>
          <w:tcPr>
            <w:tcW w:type="dxa" w:w="3264"/>
          </w:tcPr>
          <w:p>
            <w:r>
              <w:t>Python FastAPI or Django</w:t>
            </w:r>
          </w:p>
        </w:tc>
        <w:tc>
          <w:tcPr>
            <w:tcW w:type="dxa" w:w="3264"/>
          </w:tcPr>
          <w:p>
            <w:r>
              <w:t>API-first, typed contracts, clear permission checks</w:t>
            </w:r>
          </w:p>
        </w:tc>
      </w:tr>
      <w:tr>
        <w:tc>
          <w:tcPr>
            <w:tcW w:type="dxa" w:w="3264"/>
          </w:tcPr>
          <w:p>
            <w:r>
              <w:t>Transactional database</w:t>
            </w:r>
          </w:p>
        </w:tc>
        <w:tc>
          <w:tcPr>
            <w:tcW w:type="dxa" w:w="3264"/>
          </w:tcPr>
          <w:p>
            <w:r>
              <w:t>PostgreSQL</w:t>
            </w:r>
          </w:p>
        </w:tc>
        <w:tc>
          <w:tcPr>
            <w:tcW w:type="dxa" w:w="3264"/>
          </w:tcPr>
          <w:p>
            <w:r>
              <w:t>Tenant/state isolation, row-level controls where appropriate</w:t>
            </w:r>
          </w:p>
        </w:tc>
      </w:tr>
      <w:tr>
        <w:tc>
          <w:tcPr>
            <w:tcW w:type="dxa" w:w="3264"/>
          </w:tcPr>
          <w:p>
            <w:r>
              <w:t>Background tasks</w:t>
            </w:r>
          </w:p>
        </w:tc>
        <w:tc>
          <w:tcPr>
            <w:tcW w:type="dxa" w:w="3264"/>
          </w:tcPr>
          <w:p>
            <w:r>
              <w:t>Celery + Redis / managed queue</w:t>
            </w:r>
          </w:p>
        </w:tc>
        <w:tc>
          <w:tcPr>
            <w:tcW w:type="dxa" w:w="3264"/>
          </w:tcPr>
          <w:p>
            <w:r>
              <w:t>Idempotent import, scoring and notification jobs</w:t>
            </w:r>
          </w:p>
        </w:tc>
      </w:tr>
      <w:tr>
        <w:tc>
          <w:tcPr>
            <w:tcW w:type="dxa" w:w="3264"/>
          </w:tcPr>
          <w:p>
            <w:r>
              <w:t>Analytics</w:t>
            </w:r>
          </w:p>
        </w:tc>
        <w:tc>
          <w:tcPr>
            <w:tcW w:type="dxa" w:w="3264"/>
          </w:tcPr>
          <w:p>
            <w:r>
              <w:t>PostgreSQL marts initially; warehouse later</w:t>
            </w:r>
          </w:p>
        </w:tc>
        <w:tc>
          <w:tcPr>
            <w:tcW w:type="dxa" w:w="3264"/>
          </w:tcPr>
          <w:p>
            <w:r>
              <w:t>Pre-aggregations, lineage and metric catalogue</w:t>
            </w:r>
          </w:p>
        </w:tc>
      </w:tr>
      <w:tr>
        <w:tc>
          <w:tcPr>
            <w:tcW w:type="dxa" w:w="3264"/>
          </w:tcPr>
          <w:p>
            <w:r>
              <w:t>Files / evidence</w:t>
            </w:r>
          </w:p>
        </w:tc>
        <w:tc>
          <w:tcPr>
            <w:tcW w:type="dxa" w:w="3264"/>
          </w:tcPr>
          <w:p>
            <w:r>
              <w:t>Encrypted object storage</w:t>
            </w:r>
          </w:p>
        </w:tc>
        <w:tc>
          <w:tcPr>
            <w:tcW w:type="dxa" w:w="3264"/>
          </w:tcPr>
          <w:p>
            <w:r>
              <w:t>Versioning, malware scanning and retention</w:t>
            </w:r>
          </w:p>
        </w:tc>
      </w:tr>
      <w:tr>
        <w:tc>
          <w:tcPr>
            <w:tcW w:type="dxa" w:w="3264"/>
          </w:tcPr>
          <w:p>
            <w:r>
              <w:t>Search</w:t>
            </w:r>
          </w:p>
        </w:tc>
        <w:tc>
          <w:tcPr>
            <w:tcW w:type="dxa" w:w="3264"/>
          </w:tcPr>
          <w:p>
            <w:r>
              <w:t>PostgreSQL full text initially</w:t>
            </w:r>
          </w:p>
        </w:tc>
        <w:tc>
          <w:tcPr>
            <w:tcW w:type="dxa" w:w="3264"/>
          </w:tcPr>
          <w:p>
            <w:r>
              <w:t>Dedicated search only when justified</w:t>
            </w:r>
          </w:p>
        </w:tc>
      </w:tr>
      <w:tr>
        <w:tc>
          <w:tcPr>
            <w:tcW w:type="dxa" w:w="3264"/>
          </w:tcPr>
          <w:p>
            <w:r>
              <w:t>Identity</w:t>
            </w:r>
          </w:p>
        </w:tc>
        <w:tc>
          <w:tcPr>
            <w:tcW w:type="dxa" w:w="3264"/>
          </w:tcPr>
          <w:p>
            <w:r>
              <w:t>OIDC/SAML-compatible identity provider</w:t>
            </w:r>
          </w:p>
        </w:tc>
        <w:tc>
          <w:tcPr>
            <w:tcW w:type="dxa" w:w="3264"/>
          </w:tcPr>
          <w:p>
            <w:r>
              <w:t>MFA, RBAC and possible ABAC</w:t>
            </w:r>
          </w:p>
        </w:tc>
      </w:tr>
      <w:tr>
        <w:tc>
          <w:tcPr>
            <w:tcW w:type="dxa" w:w="3264"/>
          </w:tcPr>
          <w:p>
            <w:r>
              <w:t>AI assistant (P1)</w:t>
            </w:r>
          </w:p>
        </w:tc>
        <w:tc>
          <w:tcPr>
            <w:tcW w:type="dxa" w:w="3264"/>
          </w:tcPr>
          <w:p>
            <w:r>
              <w:t>Approved LLM gateway + retrieval + bounded analytic tools</w:t>
            </w:r>
          </w:p>
        </w:tc>
        <w:tc>
          <w:tcPr>
            <w:tcW w:type="dxa" w:w="3264"/>
          </w:tcPr>
          <w:p>
            <w:r>
              <w:t>No direct unrestricted SQL or autonomous enforcement</w:t>
            </w:r>
          </w:p>
        </w:tc>
      </w:tr>
      <w:tr>
        <w:tc>
          <w:tcPr>
            <w:tcW w:type="dxa" w:w="3264"/>
          </w:tcPr>
          <w:p>
            <w:r>
              <w:t>Infrastructure</w:t>
            </w:r>
          </w:p>
        </w:tc>
        <w:tc>
          <w:tcPr>
            <w:tcW w:type="dxa" w:w="3264"/>
          </w:tcPr>
          <w:p>
            <w:r>
              <w:t>Containers, managed database, IaC, CI/CD</w:t>
            </w:r>
          </w:p>
        </w:tc>
        <w:tc>
          <w:tcPr>
            <w:tcW w:type="dxa" w:w="3264"/>
          </w:tcPr>
          <w:p>
            <w:r>
              <w:t>State-controlled tenancy and auditability</w:t>
            </w:r>
          </w:p>
        </w:tc>
      </w:tr>
    </w:tbl>
    <w:p>
      <w:pPr>
        <w:pStyle w:val="Heading2"/>
      </w:pPr>
      <w:r>
        <w:t>12. Data model: minimum entities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Entity</w:t>
            </w:r>
          </w:p>
        </w:tc>
        <w:tc>
          <w:tcPr>
            <w:tcW w:type="dxa" w:w="4896"/>
          </w:tcPr>
          <w:p>
            <w:r>
              <w:t>Core fields</w:t>
            </w:r>
          </w:p>
        </w:tc>
      </w:tr>
      <w:tr>
        <w:tc>
          <w:tcPr>
            <w:tcW w:type="dxa" w:w="4896"/>
          </w:tcPr>
          <w:p>
            <w:r>
              <w:t>Tenant / State</w:t>
            </w:r>
          </w:p>
        </w:tc>
        <w:tc>
          <w:tcPr>
            <w:tcW w:type="dxa" w:w="4896"/>
          </w:tcPr>
          <w:p>
            <w:r>
              <w:t>tenant_id, state_code, config_version, legal_jurisdiction</w:t>
            </w:r>
          </w:p>
        </w:tc>
      </w:tr>
      <w:tr>
        <w:tc>
          <w:tcPr>
            <w:tcW w:type="dxa" w:w="4896"/>
          </w:tcPr>
          <w:p>
            <w:r>
              <w:t>Taxpayer</w:t>
            </w:r>
          </w:p>
        </w:tc>
        <w:tc>
          <w:tcPr>
            <w:tcW w:type="dxa" w:w="4896"/>
          </w:tcPr>
          <w:p>
            <w:r>
              <w:t>taxpayer_id, type, name, registration_status, tax_residence, source_refs</w:t>
            </w:r>
          </w:p>
        </w:tc>
      </w:tr>
      <w:tr>
        <w:tc>
          <w:tcPr>
            <w:tcW w:type="dxa" w:w="4896"/>
          </w:tcPr>
          <w:p>
            <w:r>
              <w:t>IdentityLink</w:t>
            </w:r>
          </w:p>
        </w:tc>
        <w:tc>
          <w:tcPr>
            <w:tcW w:type="dxa" w:w="4896"/>
          </w:tcPr>
          <w:p>
            <w:r>
              <w:t>link_id, taxpayer_id, identifier_type, hashed_identifier, match_confidence, approved_by</w:t>
            </w:r>
          </w:p>
        </w:tc>
      </w:tr>
      <w:tr>
        <w:tc>
          <w:tcPr>
            <w:tcW w:type="dxa" w:w="4896"/>
          </w:tcPr>
          <w:p>
            <w:r>
              <w:t>TaxObligation</w:t>
            </w:r>
          </w:p>
        </w:tc>
        <w:tc>
          <w:tcPr>
            <w:tcW w:type="dxa" w:w="4896"/>
          </w:tcPr>
          <w:p>
            <w:r>
              <w:t>obligation_id, taxpayer_id, tax_type, period, due_date, rule_version, status</w:t>
            </w:r>
          </w:p>
        </w:tc>
      </w:tr>
      <w:tr>
        <w:tc>
          <w:tcPr>
            <w:tcW w:type="dxa" w:w="4896"/>
          </w:tcPr>
          <w:p>
            <w:r>
              <w:t>Return</w:t>
            </w:r>
          </w:p>
        </w:tc>
        <w:tc>
          <w:tcPr>
            <w:tcW w:type="dxa" w:w="4896"/>
          </w:tcPr>
          <w:p>
            <w:r>
              <w:t>return_id, obligation_id, filing_date, reported_amount, source_system, source_record_id</w:t>
            </w:r>
          </w:p>
        </w:tc>
      </w:tr>
      <w:tr>
        <w:tc>
          <w:tcPr>
            <w:tcW w:type="dxa" w:w="4896"/>
          </w:tcPr>
          <w:p>
            <w:r>
              <w:t>Payment</w:t>
            </w:r>
          </w:p>
        </w:tc>
        <w:tc>
          <w:tcPr>
            <w:tcW w:type="dxa" w:w="4896"/>
          </w:tcPr>
          <w:p>
            <w:r>
              <w:t>payment_id, taxpayer_id, obligation_id, amount, payment_date, allocation_status</w:t>
            </w:r>
          </w:p>
        </w:tc>
      </w:tr>
      <w:tr>
        <w:tc>
          <w:tcPr>
            <w:tcW w:type="dxa" w:w="4896"/>
          </w:tcPr>
          <w:p>
            <w:r>
              <w:t>RiskSignal</w:t>
            </w:r>
          </w:p>
        </w:tc>
        <w:tc>
          <w:tcPr>
            <w:tcW w:type="dxa" w:w="4896"/>
          </w:tcPr>
          <w:p>
            <w:r>
              <w:t>signal_id, taxpayer_id, obligation_id, rule_id, evidence_ref, severity, confidence</w:t>
            </w:r>
          </w:p>
        </w:tc>
      </w:tr>
      <w:tr>
        <w:tc>
          <w:tcPr>
            <w:tcW w:type="dxa" w:w="4896"/>
          </w:tcPr>
          <w:p>
            <w:r>
              <w:t>RiskAssessment</w:t>
            </w:r>
          </w:p>
        </w:tc>
        <w:tc>
          <w:tcPr>
            <w:tcW w:type="dxa" w:w="4896"/>
          </w:tcPr>
          <w:p>
            <w:r>
              <w:t>assessment_id, run_id, model_version, score, confidence, exposure_estimate</w:t>
            </w:r>
          </w:p>
        </w:tc>
      </w:tr>
      <w:tr>
        <w:tc>
          <w:tcPr>
            <w:tcW w:type="dxa" w:w="4896"/>
          </w:tcPr>
          <w:p>
            <w:r>
              <w:t>Alert / Case</w:t>
            </w:r>
          </w:p>
        </w:tc>
        <w:tc>
          <w:tcPr>
            <w:tcW w:type="dxa" w:w="4896"/>
          </w:tcPr>
          <w:p>
            <w:r>
              <w:t>case_id, taxpayer_id, alert_id, owner, status, SLA, disposition</w:t>
            </w:r>
          </w:p>
        </w:tc>
      </w:tr>
      <w:tr>
        <w:tc>
          <w:tcPr>
            <w:tcW w:type="dxa" w:w="4896"/>
          </w:tcPr>
          <w:p>
            <w:r>
              <w:t>Intervention</w:t>
            </w:r>
          </w:p>
        </w:tc>
        <w:tc>
          <w:tcPr>
            <w:tcW w:type="dxa" w:w="4896"/>
          </w:tcPr>
          <w:p>
            <w:r>
              <w:t>intervention_id, case_id, type, approved_by, execution_time, outcome</w:t>
            </w:r>
          </w:p>
        </w:tc>
      </w:tr>
      <w:tr>
        <w:tc>
          <w:tcPr>
            <w:tcW w:type="dxa" w:w="4896"/>
          </w:tcPr>
          <w:p>
            <w:r>
              <w:t>LegalRule</w:t>
            </w:r>
          </w:p>
        </w:tc>
        <w:tc>
          <w:tcPr>
            <w:tcW w:type="dxa" w:w="4896"/>
          </w:tcPr>
          <w:p>
            <w:r>
              <w:t>rule_id, jurisdiction, tax_type, valid_from/to, approved_version</w:t>
            </w:r>
          </w:p>
        </w:tc>
      </w:tr>
      <w:tr>
        <w:tc>
          <w:tcPr>
            <w:tcW w:type="dxa" w:w="4896"/>
          </w:tcPr>
          <w:p>
            <w:r>
              <w:t>AuditEvent</w:t>
            </w:r>
          </w:p>
        </w:tc>
        <w:tc>
          <w:tcPr>
            <w:tcW w:type="dxa" w:w="4896"/>
          </w:tcPr>
          <w:p>
            <w:r>
              <w:t>event_id, actor, action, resource, timestamp, before_after_hash</w:t>
            </w:r>
          </w:p>
        </w:tc>
      </w:tr>
    </w:tbl>
    <w:p>
      <w:r>
        <w:t>Every operational table includes tenant_id and created/updated timestamps. Use UUID primary keys, separate source identifiers, explicit provenance and soft-deletion/retention controls. Never assume that a business and its owner are the same taxpayer.</w:t>
      </w:r>
    </w:p>
    <w:p>
      <w:pPr>
        <w:pStyle w:val="Heading2"/>
      </w:pPr>
      <w:r>
        <w:t>13. Integration and ingestion contracts</w:t>
      </w:r>
    </w:p>
    <w:p>
      <w:r>
        <w:t>Prioritise read-only connectors to existing state taxpayer registers, PAYE returns, direct-assessment records, payments and employer registries. Each connector has owner, legal basis, refresh cadence, data dictionary, schema version, reconciliation totals, error handling and revocation mechanism.</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Interface</w:t>
            </w:r>
          </w:p>
        </w:tc>
        <w:tc>
          <w:tcPr>
            <w:tcW w:type="dxa" w:w="4896"/>
          </w:tcPr>
          <w:p>
            <w:r>
              <w:t>Example contract</w:t>
            </w:r>
          </w:p>
        </w:tc>
      </w:tr>
      <w:tr>
        <w:tc>
          <w:tcPr>
            <w:tcW w:type="dxa" w:w="4896"/>
          </w:tcPr>
          <w:p>
            <w:r>
              <w:t>POST /v1/imports</w:t>
            </w:r>
          </w:p>
        </w:tc>
        <w:tc>
          <w:tcPr>
            <w:tcW w:type="dxa" w:w="4896"/>
          </w:tcPr>
          <w:p>
            <w:r>
              <w:t>Register ingestion batch and checksum; async validation; idempotency key</w:t>
            </w:r>
          </w:p>
        </w:tc>
      </w:tr>
      <w:tr>
        <w:tc>
          <w:tcPr>
            <w:tcW w:type="dxa" w:w="4896"/>
          </w:tcPr>
          <w:p>
            <w:r>
              <w:t>GET /v1/imports/{id}</w:t>
            </w:r>
          </w:p>
        </w:tc>
        <w:tc>
          <w:tcPr>
            <w:tcW w:type="dxa" w:w="4896"/>
          </w:tcPr>
          <w:p>
            <w:r>
              <w:t>Counts accepted/rejected/duplicate; lineage; reconciliation status</w:t>
            </w:r>
          </w:p>
        </w:tc>
      </w:tr>
      <w:tr>
        <w:tc>
          <w:tcPr>
            <w:tcW w:type="dxa" w:w="4896"/>
          </w:tcPr>
          <w:p>
            <w:r>
              <w:t>GET /v1/taxpayers/{id}</w:t>
            </w:r>
          </w:p>
        </w:tc>
        <w:tc>
          <w:tcPr>
            <w:tcW w:type="dxa" w:w="4896"/>
          </w:tcPr>
          <w:p>
            <w:r>
              <w:t>Authorised taxpayer profile with masked sensitive fields</w:t>
            </w:r>
          </w:p>
        </w:tc>
      </w:tr>
      <w:tr>
        <w:tc>
          <w:tcPr>
            <w:tcW w:type="dxa" w:w="4896"/>
          </w:tcPr>
          <w:p>
            <w:r>
              <w:t>GET /v1/risk-assessments</w:t>
            </w:r>
          </w:p>
        </w:tc>
        <w:tc>
          <w:tcPr>
            <w:tcW w:type="dxa" w:w="4896"/>
          </w:tcPr>
          <w:p>
            <w:r>
              <w:t>Filters: tax type, period, sector, LGA, confidence and status</w:t>
            </w:r>
          </w:p>
        </w:tc>
      </w:tr>
      <w:tr>
        <w:tc>
          <w:tcPr>
            <w:tcW w:type="dxa" w:w="4896"/>
          </w:tcPr>
          <w:p>
            <w:r>
              <w:t>POST /v1/risk-runs</w:t>
            </w:r>
          </w:p>
        </w:tc>
        <w:tc>
          <w:tcPr>
            <w:tcW w:type="dxa" w:w="4896"/>
          </w:tcPr>
          <w:p>
            <w:r>
              <w:t>Authorised rule/model version and dataset snapshot; returns job ID</w:t>
            </w:r>
          </w:p>
        </w:tc>
      </w:tr>
      <w:tr>
        <w:tc>
          <w:tcPr>
            <w:tcW w:type="dxa" w:w="4896"/>
          </w:tcPr>
          <w:p>
            <w:r>
              <w:t>POST /v1/cases</w:t>
            </w:r>
          </w:p>
        </w:tc>
        <w:tc>
          <w:tcPr>
            <w:tcW w:type="dxa" w:w="4896"/>
          </w:tcPr>
          <w:p>
            <w:r>
              <w:t>Create case from reviewed alert; duplicate prevention</w:t>
            </w:r>
          </w:p>
        </w:tc>
      </w:tr>
      <w:tr>
        <w:tc>
          <w:tcPr>
            <w:tcW w:type="dxa" w:w="4896"/>
          </w:tcPr>
          <w:p>
            <w:r>
              <w:t>POST /v1/cases/{id}/actions</w:t>
            </w:r>
          </w:p>
        </w:tc>
        <w:tc>
          <w:tcPr>
            <w:tcW w:type="dxa" w:w="4896"/>
          </w:tcPr>
          <w:p>
            <w:r>
              <w:t>Workflow transition with permission, justification and audit event</w:t>
            </w:r>
          </w:p>
        </w:tc>
      </w:tr>
      <w:tr>
        <w:tc>
          <w:tcPr>
            <w:tcW w:type="dxa" w:w="4896"/>
          </w:tcPr>
          <w:p>
            <w:r>
              <w:t>GET /v1/metrics</w:t>
            </w:r>
          </w:p>
        </w:tc>
        <w:tc>
          <w:tcPr>
            <w:tcW w:type="dxa" w:w="4896"/>
          </w:tcPr>
          <w:p>
            <w:r>
              <w:t>Approved definitions, numerator/denominator, data freshness</w:t>
            </w:r>
          </w:p>
        </w:tc>
      </w:tr>
    </w:tbl>
    <w:p>
      <w:r>
        <w:t>API standards: OpenAPI 3.x, OAuth2/OIDC, request validation, rate limits, pagination, idempotent write semantics, signed webhooks where used and no sensitive values in application logs.</w:t>
      </w:r>
    </w:p>
    <w:p>
      <w:pPr>
        <w:pStyle w:val="Heading2"/>
      </w:pPr>
      <w:r>
        <w:t>14. Security, privacy and model governance</w:t>
      </w:r>
    </w:p>
    <w:p>
      <w:pPr>
        <w:pStyle w:val="ListBullet"/>
      </w:pPr>
      <w:r>
        <w:t>Conduct a data protection impact assessment and jurisdiction-specific legal review before production integrations.</w:t>
      </w:r>
    </w:p>
    <w:p>
      <w:pPr>
        <w:pStyle w:val="ListBullet"/>
      </w:pPr>
      <w:r>
        <w:t>Keep state data segregated: tenant-aware authorisation in application and database; dedicated database/instance available for higher assurance.</w:t>
      </w:r>
    </w:p>
    <w:p>
      <w:pPr>
        <w:pStyle w:val="ListBullet"/>
      </w:pPr>
      <w:r>
        <w:t>Encrypt backups and object storage; centralised key management; short-lived service credentials.</w:t>
      </w:r>
    </w:p>
    <w:p>
      <w:pPr>
        <w:pStyle w:val="ListBullet"/>
      </w:pPr>
      <w:r>
        <w:t>Log every taxpayer record access and export; implement unusual-access detection and periodic access recertification.</w:t>
      </w:r>
    </w:p>
    <w:p>
      <w:pPr>
        <w:pStyle w:val="ListBullet"/>
      </w:pPr>
      <w:r>
        <w:t>Require dual control for taxpayer merges, rule publication and high-impact case escalation.</w:t>
      </w:r>
    </w:p>
    <w:p>
      <w:pPr>
        <w:pStyle w:val="ListBullet"/>
      </w:pPr>
      <w:r>
        <w:t>AI must retrieve from approved legal and case sources, cite them internally, abstain when unsupported and use tool-level permissions.</w:t>
      </w:r>
    </w:p>
    <w:p>
      <w:pPr>
        <w:pStyle w:val="ListBullet"/>
      </w:pPr>
      <w:r>
        <w:t>Never train external foundation models on confidential taxpayer data by default; prohibit raw taxpayer data in unapproved third-party services.</w:t>
      </w:r>
    </w:p>
    <w:p>
      <w:pPr>
        <w:pStyle w:val="ListBullet"/>
      </w:pPr>
      <w:r>
        <w:t>Evaluate model precision, false positives, segment disparities, concept drift and intervention outcomes quarterly.</w:t>
      </w:r>
    </w:p>
    <w:p>
      <w:pPr>
        <w:pStyle w:val="ListBullet"/>
      </w:pPr>
      <w:r>
        <w:t>Document retention, correction, appeal and lawful sharing procedures before deployment.</w:t>
      </w:r>
    </w:p>
    <w:p>
      <w:pPr>
        <w:pStyle w:val="Heading2"/>
      </w:pPr>
      <w:r>
        <w:t>15. Rule engine and AI orchestration</w:t>
      </w:r>
    </w:p>
    <w:p>
      <w:r>
        <w:t>Represent legal obligations as declarative rules with jurisdiction, tax type, taxpayer eligibility, effective dates, filing deadlines, exemptions, evidence requirements and approval history. Rules execute deterministically. AI may explain and draft, but must not silently modify legal rules or produce binding tax conclusions.</w:t>
      </w:r>
    </w:p>
    <w:p>
      <w:r>
        <w:t>P1 assistant flow: user query → identity/permission checks → classify request → retrieve authorised data and versioned legal sources → invoke constrained metrics/query services → generate explanation with source references, dates and confidence → log request and result. Block prompt-injection instructions found in imported documents.</w:t>
      </w:r>
    </w:p>
    <w:p>
      <w:pPr>
        <w:pStyle w:val="Heading2"/>
      </w:pPr>
      <w:r>
        <w:t>16. Testing and acceptance plan</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Test category</w:t>
            </w:r>
          </w:p>
        </w:tc>
        <w:tc>
          <w:tcPr>
            <w:tcW w:type="dxa" w:w="4896"/>
          </w:tcPr>
          <w:p>
            <w:r>
              <w:t>Minimum release criterion</w:t>
            </w:r>
          </w:p>
        </w:tc>
      </w:tr>
      <w:tr>
        <w:tc>
          <w:tcPr>
            <w:tcW w:type="dxa" w:w="4896"/>
          </w:tcPr>
          <w:p>
            <w:r>
              <w:t>Data reconciliation</w:t>
            </w:r>
          </w:p>
        </w:tc>
        <w:tc>
          <w:tcPr>
            <w:tcW w:type="dxa" w:w="4896"/>
          </w:tcPr>
          <w:p>
            <w:r>
              <w:t>100% of imported records accounted for as accepted, rejected or quarantined; no silent loss</w:t>
            </w:r>
          </w:p>
        </w:tc>
      </w:tr>
      <w:tr>
        <w:tc>
          <w:tcPr>
            <w:tcW w:type="dxa" w:w="4896"/>
          </w:tcPr>
          <w:p>
            <w:r>
              <w:t>Legal correctness</w:t>
            </w:r>
          </w:p>
        </w:tc>
        <w:tc>
          <w:tcPr>
            <w:tcW w:type="dxa" w:w="4896"/>
          </w:tcPr>
          <w:p>
            <w:r>
              <w:t>Approved scenario tests cover deadlines, exemptions, jurisdiction and historical changes</w:t>
            </w:r>
          </w:p>
        </w:tc>
      </w:tr>
      <w:tr>
        <w:tc>
          <w:tcPr>
            <w:tcW w:type="dxa" w:w="4896"/>
          </w:tcPr>
          <w:p>
            <w:r>
              <w:t>Scoring reproducibility</w:t>
            </w:r>
          </w:p>
        </w:tc>
        <w:tc>
          <w:tcPr>
            <w:tcW w:type="dxa" w:w="4896"/>
          </w:tcPr>
          <w:p>
            <w:r>
              <w:t>Same frozen inputs and version produce identical results</w:t>
            </w:r>
          </w:p>
        </w:tc>
      </w:tr>
      <w:tr>
        <w:tc>
          <w:tcPr>
            <w:tcW w:type="dxa" w:w="4896"/>
          </w:tcPr>
          <w:p>
            <w:r>
              <w:t>Case workflow</w:t>
            </w:r>
          </w:p>
        </w:tc>
        <w:tc>
          <w:tcPr>
            <w:tcW w:type="dxa" w:w="4896"/>
          </w:tcPr>
          <w:p>
            <w:r>
              <w:t>Unauthorised transitions denied; approvals and reason captured</w:t>
            </w:r>
          </w:p>
        </w:tc>
      </w:tr>
      <w:tr>
        <w:tc>
          <w:tcPr>
            <w:tcW w:type="dxa" w:w="4896"/>
          </w:tcPr>
          <w:p>
            <w:r>
              <w:t>Security</w:t>
            </w:r>
          </w:p>
        </w:tc>
        <w:tc>
          <w:tcPr>
            <w:tcW w:type="dxa" w:w="4896"/>
          </w:tcPr>
          <w:p>
            <w:r>
              <w:t>No critical/high unresolved findings from independent security review</w:t>
            </w:r>
          </w:p>
        </w:tc>
      </w:tr>
      <w:tr>
        <w:tc>
          <w:tcPr>
            <w:tcW w:type="dxa" w:w="4896"/>
          </w:tcPr>
          <w:p>
            <w:r>
              <w:t>Access isolation</w:t>
            </w:r>
          </w:p>
        </w:tc>
        <w:tc>
          <w:tcPr>
            <w:tcW w:type="dxa" w:w="4896"/>
          </w:tcPr>
          <w:p>
            <w:r>
              <w:t>Automated tests prove no cross-tenant taxpayer access</w:t>
            </w:r>
          </w:p>
        </w:tc>
      </w:tr>
      <w:tr>
        <w:tc>
          <w:tcPr>
            <w:tcW w:type="dxa" w:w="4896"/>
          </w:tcPr>
          <w:p>
            <w:r>
              <w:t>Performance</w:t>
            </w:r>
          </w:p>
        </w:tc>
        <w:tc>
          <w:tcPr>
            <w:tcW w:type="dxa" w:w="4896"/>
          </w:tcPr>
          <w:p>
            <w:r>
              <w:t>Representative load tests meet agreed SLO</w:t>
            </w:r>
          </w:p>
        </w:tc>
      </w:tr>
      <w:tr>
        <w:tc>
          <w:tcPr>
            <w:tcW w:type="dxa" w:w="4896"/>
          </w:tcPr>
          <w:p>
            <w:r>
              <w:t>User acceptance</w:t>
            </w:r>
          </w:p>
        </w:tc>
        <w:tc>
          <w:tcPr>
            <w:tcW w:type="dxa" w:w="4896"/>
          </w:tcPr>
          <w:p>
            <w:r>
              <w:t>Pilot users complete core journeys with documented sign-off</w:t>
            </w:r>
          </w:p>
        </w:tc>
      </w:tr>
    </w:tbl>
    <w:p>
      <w:pPr>
        <w:pStyle w:val="Heading1"/>
      </w:pPr>
      <w:r>
        <w:t>PART C | DELIVERY PLAN</w:t>
      </w:r>
    </w:p>
    <w:p>
      <w:pPr>
        <w:pStyle w:val="Heading2"/>
      </w:pPr>
      <w:r>
        <w:t>17. Implementation work packages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Sprint group</w:t>
            </w:r>
          </w:p>
        </w:tc>
        <w:tc>
          <w:tcPr>
            <w:tcW w:type="dxa" w:w="3264"/>
          </w:tcPr>
          <w:p>
            <w:r>
              <w:t>Deliverables</w:t>
            </w:r>
          </w:p>
        </w:tc>
        <w:tc>
          <w:tcPr>
            <w:tcW w:type="dxa" w:w="3264"/>
          </w:tcPr>
          <w:p>
            <w:r>
              <w:t>Exit condition</w:t>
            </w:r>
          </w:p>
        </w:tc>
      </w:tr>
      <w:tr>
        <w:tc>
          <w:tcPr>
            <w:tcW w:type="dxa" w:w="3264"/>
          </w:tcPr>
          <w:p>
            <w:r>
              <w:t>0: Discovery (2–3 weeks)</w:t>
            </w:r>
          </w:p>
        </w:tc>
        <w:tc>
          <w:tcPr>
            <w:tcW w:type="dxa" w:w="3264"/>
          </w:tcPr>
          <w:p>
            <w:r>
              <w:t>Process maps, data inventory, legal rules register, baseline KPIs, DPIA scope</w:t>
            </w:r>
          </w:p>
        </w:tc>
        <w:tc>
          <w:tcPr>
            <w:tcW w:type="dxa" w:w="3264"/>
          </w:tcPr>
          <w:p>
            <w:r>
              <w:t>State sponsor signs requirements and source inventory</w:t>
            </w:r>
          </w:p>
        </w:tc>
      </w:tr>
      <w:tr>
        <w:tc>
          <w:tcPr>
            <w:tcW w:type="dxa" w:w="3264"/>
          </w:tcPr>
          <w:p>
            <w:r>
              <w:t>1–2: Foundations (4 weeks)</w:t>
            </w:r>
          </w:p>
        </w:tc>
        <w:tc>
          <w:tcPr>
            <w:tcW w:type="dxa" w:w="3264"/>
          </w:tcPr>
          <w:p>
            <w:r>
              <w:t>Auth, tenant config, ingestion framework, schema, audit log</w:t>
            </w:r>
          </w:p>
        </w:tc>
        <w:tc>
          <w:tcPr>
            <w:tcW w:type="dxa" w:w="3264"/>
          </w:tcPr>
          <w:p>
            <w:r>
              <w:t>End-to-end import of synthetic data</w:t>
            </w:r>
          </w:p>
        </w:tc>
      </w:tr>
      <w:tr>
        <w:tc>
          <w:tcPr>
            <w:tcW w:type="dxa" w:w="3264"/>
          </w:tcPr>
          <w:p>
            <w:r>
              <w:t>3–4: Data and rules (4 weeks)</w:t>
            </w:r>
          </w:p>
        </w:tc>
        <w:tc>
          <w:tcPr>
            <w:tcW w:type="dxa" w:w="3264"/>
          </w:tcPr>
          <w:p>
            <w:r>
              <w:t>Taxpayer master, obligation engine, data-quality workbench</w:t>
            </w:r>
          </w:p>
        </w:tc>
        <w:tc>
          <w:tcPr>
            <w:tcW w:type="dxa" w:w="3264"/>
          </w:tcPr>
          <w:p>
            <w:r>
              <w:t>Approved PAYE/direct-assessment test cases pass</w:t>
            </w:r>
          </w:p>
        </w:tc>
      </w:tr>
      <w:tr>
        <w:tc>
          <w:tcPr>
            <w:tcW w:type="dxa" w:w="3264"/>
          </w:tcPr>
          <w:p>
            <w:r>
              <w:t>5–6: Risk and cases (4 weeks)</w:t>
            </w:r>
          </w:p>
        </w:tc>
        <w:tc>
          <w:tcPr>
            <w:tcW w:type="dxa" w:w="3264"/>
          </w:tcPr>
          <w:p>
            <w:r>
              <w:t>Signals, scoring, alert review, case workflow</w:t>
            </w:r>
          </w:p>
        </w:tc>
        <w:tc>
          <w:tcPr>
            <w:tcW w:type="dxa" w:w="3264"/>
          </w:tcPr>
          <w:p>
            <w:r>
              <w:t>Reproducible risk-to-case journey</w:t>
            </w:r>
          </w:p>
        </w:tc>
      </w:tr>
      <w:tr>
        <w:tc>
          <w:tcPr>
            <w:tcW w:type="dxa" w:w="3264"/>
          </w:tcPr>
          <w:p>
            <w:r>
              <w:t>7: Dashboards (2 weeks)</w:t>
            </w:r>
          </w:p>
        </w:tc>
        <w:tc>
          <w:tcPr>
            <w:tcW w:type="dxa" w:w="3264"/>
          </w:tcPr>
          <w:p>
            <w:r>
              <w:t>Metrics, management views, exports</w:t>
            </w:r>
          </w:p>
        </w:tc>
        <w:tc>
          <w:tcPr>
            <w:tcW w:type="dxa" w:w="3264"/>
          </w:tcPr>
          <w:p>
            <w:r>
              <w:t>Validated figures reconcile to source</w:t>
            </w:r>
          </w:p>
        </w:tc>
      </w:tr>
      <w:tr>
        <w:tc>
          <w:tcPr>
            <w:tcW w:type="dxa" w:w="3264"/>
          </w:tcPr>
          <w:p>
            <w:r>
              <w:t>8: Hardening/pilot (3–5 weeks)</w:t>
            </w:r>
          </w:p>
        </w:tc>
        <w:tc>
          <w:tcPr>
            <w:tcW w:type="dxa" w:w="3264"/>
          </w:tcPr>
          <w:p>
            <w:r>
              <w:t>Security, UAT, training, production cutover, monitoring</w:t>
            </w:r>
          </w:p>
        </w:tc>
        <w:tc>
          <w:tcPr>
            <w:tcW w:type="dxa" w:w="3264"/>
          </w:tcPr>
          <w:p>
            <w:r>
              <w:t>Signed pilot go-live checklist</w:t>
            </w:r>
          </w:p>
        </w:tc>
      </w:tr>
    </w:tbl>
    <w:p>
      <w:r>
        <w:t>Estimated MVP timeline: approximately 5–6 months, subject to data access, legal review, staffing and existing system quality. P1 AI and experiments should follow a stable rules-based MVP.</w:t>
      </w:r>
    </w:p>
    <w:p>
      <w:pPr>
        <w:pStyle w:val="Heading2"/>
      </w:pPr>
      <w:r>
        <w:t>18. Delivery team and responsibilities</w:t>
      </w:r>
    </w:p>
    <w:p>
      <w:r>
        <w:t>Minimum core team: product owner with SIRS experience; tax legal/policy lead; compliance risk specialist; technical architect/backend engineer; frontend engineer; data engineer; QA/security support; UX designer part-time; state data stewards and pilot users. ACTG could lead domain design, training and evaluation, with a dedicated engineering partner responsible for production delivery.</w:t>
      </w:r>
    </w:p>
    <w:p>
      <w:pPr>
        <w:pStyle w:val="Heading2"/>
      </w:pPr>
      <w:r>
        <w:t>19. Pilot design: Niger State</w:t>
      </w:r>
    </w:p>
    <w:p>
      <w:r>
        <w:t>Pilot cohort: PAYE employers and direct-assessment taxpayers, with 12–24 months of available history where lawful and reliable. Establish baseline completeness and filing/payment metrics before scoring. Begin with read-only data integration, run shadow risk assessments, review a stratified sample with experienced officers, then authorise limited interventions. Compare outcomes to matched or randomised eligible controls where feasible.</w:t>
      </w:r>
    </w:p>
    <w:p>
      <w:r>
        <w:t>Go/no-go criteria: verified legal rules; acceptable data quality; risk precision and false-positive review; no critical security issues; signed operating procedures; human approval for all consequential actions; measurable improvement potential relative to baseline.</w:t>
      </w:r>
    </w:p>
    <w:p>
      <w:pPr>
        <w:pStyle w:val="Heading2"/>
      </w:pPr>
      <w:r>
        <w:t>20. Risks and mitigations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Risk</w:t>
            </w:r>
          </w:p>
        </w:tc>
        <w:tc>
          <w:tcPr>
            <w:tcW w:type="dxa" w:w="4896"/>
          </w:tcPr>
          <w:p>
            <w:r>
              <w:t>Mitigation</w:t>
            </w:r>
          </w:p>
        </w:tc>
      </w:tr>
      <w:tr>
        <w:tc>
          <w:tcPr>
            <w:tcW w:type="dxa" w:w="4896"/>
          </w:tcPr>
          <w:p>
            <w:r>
              <w:t>Poor or incomplete source data</w:t>
            </w:r>
          </w:p>
        </w:tc>
        <w:tc>
          <w:tcPr>
            <w:tcW w:type="dxa" w:w="4896"/>
          </w:tcPr>
          <w:p>
            <w:r>
              <w:t>Data quality scores, quarantines, manual verification and staged connectors</w:t>
            </w:r>
          </w:p>
        </w:tc>
      </w:tr>
      <w:tr>
        <w:tc>
          <w:tcPr>
            <w:tcW w:type="dxa" w:w="4896"/>
          </w:tcPr>
          <w:p>
            <w:r>
              <w:t>Incorrect legal interpretation</w:t>
            </w:r>
          </w:p>
        </w:tc>
        <w:tc>
          <w:tcPr>
            <w:tcW w:type="dxa" w:w="4896"/>
          </w:tcPr>
          <w:p>
            <w:r>
              <w:t>Tax counsel sign-off, effective-date versioning and test library</w:t>
            </w:r>
          </w:p>
        </w:tc>
      </w:tr>
      <w:tr>
        <w:tc>
          <w:tcPr>
            <w:tcW w:type="dxa" w:w="4896"/>
          </w:tcPr>
          <w:p>
            <w:r>
              <w:t>False positives / unfair targeting</w:t>
            </w:r>
          </w:p>
        </w:tc>
        <w:tc>
          <w:tcPr>
            <w:tcW w:type="dxa" w:w="4896"/>
          </w:tcPr>
          <w:p>
            <w:r>
              <w:t>Explainability, confidence gates, sampling review and appeal/correction paths</w:t>
            </w:r>
          </w:p>
        </w:tc>
      </w:tr>
      <w:tr>
        <w:tc>
          <w:tcPr>
            <w:tcW w:type="dxa" w:w="4896"/>
          </w:tcPr>
          <w:p>
            <w:r>
              <w:t>Vendor lock-in</w:t>
            </w:r>
          </w:p>
        </w:tc>
        <w:tc>
          <w:tcPr>
            <w:tcW w:type="dxa" w:w="4896"/>
          </w:tcPr>
          <w:p>
            <w:r>
              <w:t>Open APIs, exportable schemas, infrastructure-as-code and documented deployment</w:t>
            </w:r>
          </w:p>
        </w:tc>
      </w:tr>
      <w:tr>
        <w:tc>
          <w:tcPr>
            <w:tcW w:type="dxa" w:w="4896"/>
          </w:tcPr>
          <w:p>
            <w:r>
              <w:t>Officer resistance</w:t>
            </w:r>
          </w:p>
        </w:tc>
        <w:tc>
          <w:tcPr>
            <w:tcW w:type="dxa" w:w="4896"/>
          </w:tcPr>
          <w:p>
            <w:r>
              <w:t>Co-design, training, case feedback and transparent performance measures</w:t>
            </w:r>
          </w:p>
        </w:tc>
      </w:tr>
      <w:tr>
        <w:tc>
          <w:tcPr>
            <w:tcW w:type="dxa" w:w="4896"/>
          </w:tcPr>
          <w:p>
            <w:r>
              <w:t>Data-sharing restrictions</w:t>
            </w:r>
          </w:p>
        </w:tc>
        <w:tc>
          <w:tcPr>
            <w:tcW w:type="dxa" w:w="4896"/>
          </w:tcPr>
          <w:p>
            <w:r>
              <w:t>Legal basis review and source-by-source agreements</w:t>
            </w:r>
          </w:p>
        </w:tc>
      </w:tr>
      <w:tr>
        <w:tc>
          <w:tcPr>
            <w:tcW w:type="dxa" w:w="4896"/>
          </w:tcPr>
          <w:p>
            <w:r>
              <w:t>AI hallucination / leakage</w:t>
            </w:r>
          </w:p>
        </w:tc>
        <w:tc>
          <w:tcPr>
            <w:tcW w:type="dxa" w:w="4896"/>
          </w:tcPr>
          <w:p>
            <w:r>
              <w:t>Grounded retrieval, least privilege, redaction, tool constraints and abstention</w:t>
            </w:r>
          </w:p>
        </w:tc>
      </w:tr>
      <w:tr>
        <w:tc>
          <w:tcPr>
            <w:tcW w:type="dxa" w:w="4896"/>
          </w:tcPr>
          <w:p>
            <w:r>
              <w:t>Over-complex MVP</w:t>
            </w:r>
          </w:p>
        </w:tc>
        <w:tc>
          <w:tcPr>
            <w:tcW w:type="dxa" w:w="4896"/>
          </w:tcPr>
          <w:p>
            <w:r>
              <w:t>Strict P0 scope and acceptance-based release gates</w:t>
            </w:r>
          </w:p>
        </w:tc>
      </w:tr>
    </w:tbl>
    <w:p>
      <w:pPr>
        <w:pStyle w:val="Heading2"/>
      </w:pPr>
      <w:r>
        <w:t>21. Build instructions for an AI-assisted development environment</w:t>
      </w:r>
    </w:p>
    <w:p>
      <w:r>
        <w:t>Create a new repository; do not modify an existing revenue system. Start with architecture decision records, data contracts, threat model and an executable synthetic-data fixture. Implement features in vertical slices with migrations, typed API schemas, tests and screenshots. Keep state-specific rules in configuration and versioned rule tables, not hard-coded UI logic.</w:t>
      </w:r>
    </w:p>
    <w:p>
      <w:pPr>
        <w:pStyle w:val="ListBullet"/>
      </w:pPr>
      <w:r>
        <w:t>Repository layout: apps/web; apps/api; workers/ingestion; workers/risk; packages/contracts; infra; docs; tests; fixtures/synthetic.</w:t>
      </w:r>
    </w:p>
    <w:p>
      <w:pPr>
        <w:pStyle w:val="ListBullet"/>
      </w:pPr>
      <w:r>
        <w:t>First slice: login → synthetic taxpayer import → taxpayer profile → obligation → risk signal → analyst review → approved case → dashboard metric.</w:t>
      </w:r>
    </w:p>
    <w:p>
      <w:pPr>
        <w:pStyle w:val="ListBullet"/>
      </w:pPr>
      <w:r>
        <w:t>For each feature, require user story, API contract, database migration, permission test, audit event, integration test and acceptance screenshot.</w:t>
      </w:r>
    </w:p>
    <w:p>
      <w:pPr>
        <w:pStyle w:val="ListBullet"/>
      </w:pPr>
      <w:r>
        <w:t>Seed demo data with clearly fictional Nigerian names and businesses; never insert real taxpayer records into AI development prompts.</w:t>
      </w:r>
    </w:p>
    <w:p>
      <w:pPr>
        <w:pStyle w:val="ListBullet"/>
      </w:pPr>
      <w:r>
        <w:t>Maintain decision log for unresolved legal, privacy, data and deployment questions.</w:t>
      </w:r>
    </w:p>
    <w:p>
      <w:pPr>
        <w:pStyle w:val="Heading2"/>
      </w:pPr>
      <w:r>
        <w:t>22. Definition of done and next decisions</w:t>
      </w:r>
    </w:p>
    <w:p>
      <w:r>
        <w:t>Definition of done: all P0 acceptance tests pass; security and privacy reviews completed; state-specific legal catalogue signed off; data reconciled; operational runbooks and backup restore tested; trained pilot users sign off; executive metrics have transparent definitions.</w:t>
      </w:r>
    </w:p>
    <w:p>
      <w:r>
        <w:t>Decisions required before coding production connectors: (1) sponsoring SIRS and technical counterpart; (2) approved tax types and reporting periods; (3) inventory of actual revenue software and APIs; (4) hosting/data residency and procurement approach; (5) authorised data-sharing sources; (6) who approves legal rules, risk thresholds and interventions; (7) available pilot staffing and budget.</w:t>
      </w:r>
    </w:p>
    <w:p>
      <w:pPr>
        <w:pStyle w:val="Heading2"/>
      </w:pPr>
      <w:r>
        <w:t>Appendix | Initial backlog examples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Story</w:t>
            </w:r>
          </w:p>
        </w:tc>
        <w:tc>
          <w:tcPr>
            <w:tcW w:type="dxa" w:w="4896"/>
          </w:tcPr>
          <w:p>
            <w:r>
              <w:t>Acceptance</w:t>
            </w:r>
          </w:p>
        </w:tc>
      </w:tr>
      <w:tr>
        <w:tc>
          <w:tcPr>
            <w:tcW w:type="dxa" w:w="4896"/>
          </w:tcPr>
          <w:p>
            <w:r>
              <w:t>As a risk analyst, I can inspect why a taxpayer was flagged</w:t>
            </w:r>
          </w:p>
        </w:tc>
        <w:tc>
          <w:tcPr>
            <w:tcW w:type="dxa" w:w="4896"/>
          </w:tcPr>
          <w:p>
            <w:r>
              <w:t>See obligation, evidence, data timestamp, score contributions and uncertainty</w:t>
            </w:r>
          </w:p>
        </w:tc>
      </w:tr>
      <w:tr>
        <w:tc>
          <w:tcPr>
            <w:tcW w:type="dxa" w:w="4896"/>
          </w:tcPr>
          <w:p>
            <w:r>
              <w:t>As a manager, I can reject an audit referral</w:t>
            </w:r>
          </w:p>
        </w:tc>
        <w:tc>
          <w:tcPr>
            <w:tcW w:type="dxa" w:w="4896"/>
          </w:tcPr>
          <w:p>
            <w:r>
              <w:t>Decision requires reason; immutable event; case returns to review</w:t>
            </w:r>
          </w:p>
        </w:tc>
      </w:tr>
      <w:tr>
        <w:tc>
          <w:tcPr>
            <w:tcW w:type="dxa" w:w="4896"/>
          </w:tcPr>
          <w:p>
            <w:r>
              <w:t>As a data steward, I can resolve a potential duplicate</w:t>
            </w:r>
          </w:p>
        </w:tc>
        <w:tc>
          <w:tcPr>
            <w:tcW w:type="dxa" w:w="4896"/>
          </w:tcPr>
          <w:p>
            <w:r>
              <w:t>Merge preview, dual approval, rollback trace</w:t>
            </w:r>
          </w:p>
        </w:tc>
      </w:tr>
      <w:tr>
        <w:tc>
          <w:tcPr>
            <w:tcW w:type="dxa" w:w="4896"/>
          </w:tcPr>
          <w:p>
            <w:r>
              <w:t>As an executive, I can see filing rates by LGA</w:t>
            </w:r>
          </w:p>
        </w:tc>
        <w:tc>
          <w:tcPr>
            <w:tcW w:type="dxa" w:w="4896"/>
          </w:tcPr>
          <w:p>
            <w:r>
              <w:t>Numerator/denominator and coverage metadata visible</w:t>
            </w:r>
          </w:p>
        </w:tc>
      </w:tr>
      <w:tr>
        <w:tc>
          <w:tcPr>
            <w:tcW w:type="dxa" w:w="4896"/>
          </w:tcPr>
          <w:p>
            <w:r>
              <w:t>As a legal officer, I can publish a new deadline rule</w:t>
            </w:r>
          </w:p>
        </w:tc>
        <w:tc>
          <w:tcPr>
            <w:tcW w:type="dxa" w:w="4896"/>
          </w:tcPr>
          <w:p>
            <w:r>
              <w:t>Two-person approval; future and historical tests; version rollback</w:t>
            </w:r>
          </w:p>
        </w:tc>
      </w:tr>
    </w:tbl>
    <w:p>
      <w:r>
        <w:t>Status: product and engineering design for validation, not a legal opinion or confirmed representation of any state’s existing datasets. All sample scores, timings and KPIs are design assumptions requiring pilot validation.</w:t>
      </w:r>
    </w:p>
    <w:sectPr w:rsidR="00FC693F" w:rsidRPr="0006063C" w:rsidSect="00034616">
      <w:headerReference w:type="default" r:id="rId9"/>
      <w:footerReference w:type="default" r:id="rId10"/>
      <w:pgSz w:w="12240" w:h="15840"/>
      <w:pgMar w:top="1123"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Concept design  |  21 October 2026  |  Draft for validation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24A3D"/>
      </w:rPr>
      <w:t>TAXCRIS  /  PRODUCT &amp; TECHNICAL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24A3D"/>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Display" w:hAnsi="Aptos Display"/>
      <w:b/>
      <w:bCs/>
      <w:color w:val="124A3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60"/>
      <w:contextualSpacing/>
    </w:pPr>
    <w:rPr>
      <w:rFonts w:asciiTheme="majorHAnsi" w:eastAsiaTheme="majorEastAsia" w:hAnsiTheme="majorHAnsi" w:cstheme="majorBidi" w:ascii="Aptos Display" w:hAnsi="Aptos Display"/>
      <w:b/>
      <w:color w:val="124A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