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aps/>
          <w:color w:val="5D3FD3"/>
          <w:sz w:val="22"/>
          <w:szCs w:val="22"/>
        </w:rPr>
        <w:t xml:space="preserve">MUSTAPHA UKIZURU</w:t>
      </w:r>
    </w:p>
    <w:p>
      <w:pPr>
        <w:spacing w:after="120"/>
      </w:pPr>
      <w:r>
        <w:rPr>
          <w:b/>
          <w:bCs/>
          <w:color w:val="1A1B23"/>
          <w:sz w:val="56"/>
          <w:szCs w:val="56"/>
        </w:rPr>
        <w:t xml:space="preserve">Strategic IT Consulting</w:t>
      </w:r>
    </w:p>
    <w:p>
      <w:pPr>
        <w:spacing w:after="240"/>
      </w:pPr>
      <w:r>
        <w:rPr>
          <w:color w:val="64748B"/>
          <w:sz w:val="28"/>
          <w:szCs w:val="28"/>
        </w:rPr>
        <w:t xml:space="preserve">Service Line Playbook — Advisory, Audits &amp; Assessments</w:t>
      </w:r>
    </w:p>
    <w:p>
      <w:pPr>
        <w:spacing w:after="60"/>
      </w:pPr>
      <w:r>
        <w:rPr>
          <w:color w:val="64748B"/>
          <w:sz w:val="21"/>
          <w:szCs w:val="21"/>
        </w:rPr>
        <w:t xml:space="preserve">Version 1.0 · July 2026 · Companion to the Service Delivery Playbook v2.1 · mustaphaukizuru.com</w:t>
      </w:r>
    </w:p>
    <w:p>
      <w:pPr>
        <w:pBdr>
          <w:bottom w:val="single" w:color="5D3FD3" w:sz="12" w:space="4"/>
        </w:pBdr>
        <w:spacing w:after="400"/>
      </w:pPr>
      <w:r>
        <w:rPr>
          <w:i/>
          <w:iCs/>
          <w:color w:val="1A1B23"/>
          <w:sz w:val="22"/>
          <w:szCs w:val="22"/>
        </w:rPr>
        <w:t xml:space="preserve">Complexity, simplified.</w:t>
      </w:r>
    </w:p>
    <w:p>
      <w:pPr>
        <w:pStyle w:val="Heading1"/>
      </w:pPr>
      <w:r>
        <w:t xml:space="preserve">What This Line Sells</w:t>
      </w:r>
    </w:p>
    <w:p>
      <w:pPr>
        <w:spacing w:after="120"/>
      </w:pPr>
      <w:r>
        <w:t xml:space="preserve">Engineering delivers working software; consulting delivers a defensible decision backed by evidence. The deliverable is always a document a non-technical leader can act on: what we found, what it costs you, what to do, in what order. Independence is the product — the client pays for advice that no vendor commission can bend.</w:t>
      </w:r>
    </w:p>
    <w:p>
      <w:pPr>
        <w:pStyle w:val="Heading2"/>
      </w:pPr>
      <w:r>
        <w:t xml:space="preserve">Audiences</w:t>
      </w:r>
    </w:p>
    <w:p>
      <w:pPr>
        <w:spacing w:after="120"/>
      </w:pPr>
      <w:r>
        <w:t xml:space="preserve">Primary: SMEs (owner-operators drowning in subscriptions and vendor quotes) and institutions (schools and organizations with compliance exposure, procurement processes, and no technical leadership). Individuals/professionals buy only the IT Health Check and Second Opinion. Institutional work aligns with the STEM &amp; School Solutions brand line.</w:t>
      </w:r>
    </w:p>
    <w:p>
      <w:pPr>
        <w:pStyle w:val="Heading2"/>
      </w:pPr>
      <w:r>
        <w:t xml:space="preserve">Launch Discipline</w:t>
      </w:r>
    </w:p>
    <w:p>
      <w:pPr>
        <w:spacing w:after="120"/>
      </w:pPr>
      <w:r>
        <w:t xml:space="preserve">Eight products are defined below; launch with three — IT Health Check (funnel), Software Stack Audit (flagship), Fractional CTO (annuity) — and let demand pull the rest out of the drawer. A solo practice listing eight consulting products signals a generalist and wins none of them.</w:t>
      </w:r>
    </w:p>
    <w:p>
      <w:pPr>
        <w:pStyle w:val="Heading1"/>
        <w:pageBreakBefore/>
      </w:pPr>
      <w:r>
        <w:t xml:space="preserve">Service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800"/>
        <w:gridCol w:w="1900"/>
        <w:gridCol w:w="1500"/>
      </w:tblGrid>
      <w:tr>
        <w:trPr>
          <w:tblHeader/>
        </w:trPr>
        <w:tc>
          <w:tcPr>
            <w:tcW w:type="dxa" w:w="21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Product</w:t>
            </w:r>
          </w:p>
        </w:tc>
        <w:tc>
          <w:tcPr>
            <w:tcW w:type="dxa" w:w="38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Deliverable</w:t>
            </w:r>
          </w:p>
        </w:tc>
        <w:tc>
          <w:tcPr>
            <w:tcW w:type="dxa" w:w="19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Duration · Model</w:t>
            </w:r>
          </w:p>
        </w:tc>
        <w:tc>
          <w:tcPr>
            <w:tcW w:type="dxa" w:w="15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Converts To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IT Health Check (funnel)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One-page scorecard: stack spend snapshot, security hygiene basics, backup reality check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days · low fixed fee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Stack Audit, Cyber Hygiene, retainer</w:t>
            </w:r>
          </w:p>
        </w:tc>
      </w:tr>
      <w:tr>
        <w:tc>
          <w:tcPr>
            <w:tcW w:type="dxa" w:w="2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Software Stack Audit (flagship)</w:t>
            </w:r>
          </w:p>
        </w:tc>
        <w:tc>
          <w:tcPr>
            <w:tcW w:type="dxa" w:w="38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Spend map, duplicate/waste findings, quantified annual savings, cancellation &amp; consolidation plan</w:t>
            </w:r>
          </w:p>
        </w:tc>
        <w:tc>
          <w:tcPr>
            <w:tcW w:type="dxa" w:w="19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1–2 weeks · fixed fee</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Annual re-audit; goal: findings exceed the fee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Cyber Hygiene Assessment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MFA/access coverage, phishing exposure, ransomware readiness, backup isolation, prioritized fixes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week · fixed fee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hardening (Engineering line)</w:t>
            </w:r>
          </w:p>
        </w:tc>
      </w:tr>
      <w:tr>
        <w:tc>
          <w:tcPr>
            <w:tcW w:type="dxa" w:w="2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Vendor &amp; RFP Evaluation</w:t>
            </w:r>
          </w:p>
        </w:tc>
        <w:tc>
          <w:tcPr>
            <w:tcW w:type="dxa" w:w="38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Weighted scoring matrix vs. requirements, 3-year TCO comparison, contract red flags, recommendation memo</w:t>
            </w:r>
          </w:p>
        </w:tc>
        <w:tc>
          <w:tcPr>
            <w:tcW w:type="dxa" w:w="19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Tied to procurement · fixed fee</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Implementation oversight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Digital Transformation Roadmap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Current-state process map (paper/spreadsheets), phased automation roadmap, budget bands, quick wins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weeks · fixed fee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engagements — the Engineering pipeline</w:t>
            </w:r>
          </w:p>
        </w:tc>
      </w:tr>
      <w:tr>
        <w:tc>
          <w:tcPr>
            <w:tcW w:type="dxa" w:w="2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Compliance &amp; Risk — LFPDPPP 2025</w:t>
            </w:r>
          </w:p>
        </w:tc>
        <w:tc>
          <w:tcPr>
            <w:tcW w:type="dxa" w:w="38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Gap analysis vs. privacy-notice, ARCO, security-measure, breach and transfer obligations; remediation plan</w:t>
            </w:r>
          </w:p>
        </w:tc>
        <w:tc>
          <w:tcPr>
            <w:tcW w:type="dxa" w:w="19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1–3 weeks · fixed fee + partner lawyer</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Remediation work + annual re-check</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Second Opinion / Incident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Crisis or dispute response: hacked site, vanished developer, suspicious quote — rapid written assessment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48h response · day rate, no fixed scope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Highest-converting retainer entry</w:t>
            </w:r>
          </w:p>
        </w:tc>
      </w:tr>
      <w:tr>
        <w:tc>
          <w:tcPr>
            <w:tcW w:type="dxa" w:w="2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Fractional CTO (annuity)</w:t>
            </w:r>
          </w:p>
        </w:tc>
        <w:tc>
          <w:tcPr>
            <w:tcW w:type="dxa" w:w="38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Monthly technology leadership: vendor/hiring decisions, security posture, budget and roadmap ownership</w:t>
            </w:r>
          </w:p>
        </w:tc>
        <w:tc>
          <w:tcPr>
            <w:tcW w:type="dxa" w:w="19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Recurring monthly · retainer</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Feeds every other product</w:t>
            </w:r>
          </w:p>
        </w:tc>
      </w:tr>
    </w:tbl>
    <w:p>
      <w:pPr>
        <w:spacing w:after="120"/>
      </w:pPr>
    </w:p>
    <w:p>
      <w:pPr>
        <w:spacing w:after="120"/>
      </w:pPr>
      <w:r>
        <w:rPr>
          <w:i/>
          <w:iCs/>
          <w:color w:val="64748B"/>
          <w:sz w:val="20"/>
          <w:szCs w:val="20"/>
        </w:rPr>
        <w:t xml:space="preserve">The Fractional CTO offering is shared with the Service Delivery Playbook (step C8) and contracted on the same Advisory Retainer Agreement (delivery toolkit 12). One product, one contract, two doors in.</w:t>
      </w:r>
    </w:p>
    <w:p>
      <w:pPr>
        <w:pStyle w:val="Heading1"/>
        <w:pageBreakBefore/>
      </w:pPr>
      <w:r>
        <w:t xml:space="preserve">Engagement Lifecycle — E1 to E5</w:t>
      </w:r>
    </w:p>
    <w:p>
      <w:pPr>
        <w:spacing w:after="120"/>
      </w:pPr>
      <w:r>
        <w:t xml:space="preserve">Every diagnostic product runs the same five phases and three gates. Only the Fractional CTO (monthly cycle) and Second Opinion (compressed to 48–72 hours) deviate.</w:t>
      </w:r>
    </w:p>
    <w:p>
      <w:pPr>
        <w:pStyle w:val="Heading2"/>
      </w:pPr>
      <w:r>
        <w:t xml:space="preserve">E1 · Engage</w:t>
      </w:r>
    </w:p>
    <w:p>
      <w:pPr>
        <w:pStyle w:val="ListParagraph"/>
        <w:numPr>
          <w:ilvl w:val="0"/>
          <w:numId w:val="2"/>
        </w:numPr>
        <w:spacing w:after="80"/>
      </w:pPr>
      <w:r>
        <w:rPr>
          <w:b/>
          <w:bCs/>
        </w:rPr>
        <w:t xml:space="preserve">Define the Decision: </w:t>
      </w:r>
      <w:r>
        <w:t xml:space="preserve">Not 'audit our software' but 'should we cancel, consolidate, or renegotiate — and what does each save?' The report exists to answer a named decision; write that sentence into the agreement.</w:t>
      </w:r>
    </w:p>
    <w:p>
      <w:pPr>
        <w:pStyle w:val="ListParagraph"/>
        <w:numPr>
          <w:ilvl w:val="0"/>
          <w:numId w:val="2"/>
        </w:numPr>
        <w:spacing w:after="80"/>
      </w:pPr>
      <w:r>
        <w:rPr>
          <w:b/>
          <w:bCs/>
        </w:rPr>
        <w:t xml:space="preserve">Scope the Questions: </w:t>
      </w:r>
      <w:r>
        <w:t xml:space="preserve">List the specific questions the report will answer. Everything else is out of scope — consulting scope creep arrives as 'while you're here…' and is declined in writing.</w:t>
      </w:r>
    </w:p>
    <w:p>
      <w:pPr>
        <w:pStyle w:val="ListParagraph"/>
        <w:numPr>
          <w:ilvl w:val="0"/>
          <w:numId w:val="2"/>
        </w:numPr>
        <w:spacing w:after="80"/>
      </w:pPr>
      <w:r>
        <w:rPr>
          <w:b/>
          <w:bCs/>
        </w:rPr>
        <w:t xml:space="preserve">Fix the Price: </w:t>
      </w:r>
      <w:r>
        <w:t xml:space="preserve">Diagnostics are fixed-fee, never hourly — the client buys an answer, not your time. Second Opinion work is the one day-rate exception.</w:t>
      </w:r>
    </w:p>
    <w:p>
      <w:pPr>
        <w:pStyle w:val="ListParagraph"/>
        <w:numPr>
          <w:ilvl w:val="0"/>
          <w:numId w:val="2"/>
        </w:numPr>
        <w:spacing w:after="80"/>
      </w:pPr>
      <w:r>
        <w:rPr>
          <w:b/>
          <w:bCs/>
        </w:rPr>
        <w:t xml:space="preserve">Sign: </w:t>
      </w:r>
      <w:r>
        <w:t xml:space="preserve">Consulting Agreement + NDA (toolkit 01) with liability cap and independence clause.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C0 — Engagement</w:t>
            </w:r>
          </w:p>
          <w:p>
            <w:r>
              <w:rPr>
                <w:sz w:val="21"/>
                <w:szCs w:val="21"/>
              </w:rPr>
              <w:t xml:space="preserve">Signed agreement + deposit + Data Request List (toolkit 02) issued with deadline. The clock starts when the data arrives, not when the contract signs.</w:t>
            </w:r>
          </w:p>
        </w:tc>
      </w:tr>
    </w:tbl>
    <w:p>
      <w:pPr>
        <w:spacing w:after="120"/>
      </w:pPr>
    </w:p>
    <w:p>
      <w:pPr>
        <w:pStyle w:val="Heading2"/>
      </w:pPr>
      <w:r>
        <w:t xml:space="preserve">E2 · Discover</w:t>
      </w:r>
    </w:p>
    <w:p>
      <w:pPr>
        <w:pStyle w:val="ListParagraph"/>
        <w:numPr>
          <w:ilvl w:val="0"/>
          <w:numId w:val="2"/>
        </w:numPr>
        <w:spacing w:after="80"/>
      </w:pPr>
      <w:r>
        <w:rPr>
          <w:b/>
          <w:bCs/>
        </w:rPr>
        <w:t xml:space="preserve">Gather Evidence: </w:t>
      </w:r>
      <w:r>
        <w:t xml:space="preserve">Stakeholder interviews, license and invoice inventories, read-only system access, process observation.</w:t>
      </w:r>
    </w:p>
    <w:p>
      <w:pPr>
        <w:pStyle w:val="ListParagraph"/>
        <w:numPr>
          <w:ilvl w:val="0"/>
          <w:numId w:val="2"/>
        </w:numPr>
        <w:spacing w:after="80"/>
      </w:pPr>
      <w:r>
        <w:rPr>
          <w:b/>
          <w:bCs/>
        </w:rPr>
        <w:t xml:space="preserve">Enforce the Data SLA: </w:t>
      </w:r>
      <w:r>
        <w:t xml:space="preserve">Consulting stalls on client data, not your work. Items outstanding past the deadline shift the timeline day-for-day — same discipline as the engineering SLA.</w:t>
      </w:r>
    </w:p>
    <w:p>
      <w:pPr>
        <w:pStyle w:val="ListParagraph"/>
        <w:numPr>
          <w:ilvl w:val="0"/>
          <w:numId w:val="2"/>
        </w:numPr>
        <w:spacing w:after="80"/>
      </w:pPr>
      <w:r>
        <w:rPr>
          <w:b/>
          <w:bCs/>
        </w:rPr>
        <w:t xml:space="preserve">Stay Read-Only: </w:t>
      </w:r>
      <w:r>
        <w:t xml:space="preserve">A consultant who changes things during a diagnostic owns every problem discovered afterward. If something is on fire, document it, notify in writing, and offer a separate emergency engagement.</w:t>
      </w:r>
    </w:p>
    <w:p>
      <w:pPr>
        <w:pStyle w:val="Heading2"/>
      </w:pPr>
      <w:r>
        <w:t xml:space="preserve">E3 · Analyze</w:t>
      </w:r>
    </w:p>
    <w:p>
      <w:pPr>
        <w:pStyle w:val="ListParagraph"/>
        <w:numPr>
          <w:ilvl w:val="0"/>
          <w:numId w:val="2"/>
        </w:numPr>
        <w:spacing w:after="80"/>
      </w:pPr>
      <w:r>
        <w:rPr>
          <w:b/>
          <w:bCs/>
        </w:rPr>
        <w:t xml:space="preserve">Quantify Everything: </w:t>
      </w:r>
      <w:r>
        <w:t xml:space="preserve">A finding without a number is an opinion: waste in MXN/year, risk as likelihood × impact, vendor bids on 3-year TCO.</w:t>
      </w:r>
    </w:p>
    <w:p>
      <w:pPr>
        <w:pStyle w:val="ListParagraph"/>
        <w:numPr>
          <w:ilvl w:val="0"/>
          <w:numId w:val="2"/>
        </w:numPr>
        <w:spacing w:after="80"/>
      </w:pPr>
      <w:r>
        <w:rPr>
          <w:b/>
          <w:bCs/>
        </w:rPr>
        <w:t xml:space="preserve">One Finding Structure: </w:t>
      </w:r>
      <w:r>
        <w:t xml:space="preserve">Evidence → impact → recommendation → effort. Every finding in every report, no exceptions.</w:t>
      </w:r>
    </w:p>
    <w:p>
      <w:pPr>
        <w:pStyle w:val="ListParagraph"/>
        <w:numPr>
          <w:ilvl w:val="0"/>
          <w:numId w:val="2"/>
        </w:numPr>
        <w:spacing w:after="80"/>
      </w:pPr>
      <w:r>
        <w:rPr>
          <w:b/>
          <w:bCs/>
        </w:rPr>
        <w:t xml:space="preserve">Develop Options, Not Ultimatums: </w:t>
      </w:r>
      <w:r>
        <w:t xml:space="preserve">Present 2–3 paths with costs and trade-offs, and recommend one. A report with no recommendation is an invoice with no product.</w:t>
      </w:r>
    </w:p>
    <w:p>
      <w:pPr>
        <w:pStyle w:val="Heading2"/>
      </w:pPr>
      <w:r>
        <w:t xml:space="preserve">E4 · Recommend</w:t>
      </w:r>
    </w:p>
    <w:p>
      <w:pPr>
        <w:pStyle w:val="ListParagraph"/>
        <w:numPr>
          <w:ilvl w:val="0"/>
          <w:numId w:val="2"/>
        </w:numPr>
        <w:spacing w:after="80"/>
      </w:pPr>
      <w:r>
        <w:rPr>
          <w:b/>
          <w:bCs/>
        </w:rPr>
        <w:t xml:space="preserve">Draft Review Session: </w:t>
      </w:r>
      <w:r>
        <w:t xml:space="preserve">The client corrects facts, not conclusions. If a fact changes, the conclusion may change; the client never edits the verdict directly — this discipline is what independence means in practice.</w:t>
      </w:r>
    </w:p>
    <w:p>
      <w:pPr>
        <w:pStyle w:val="ListParagraph"/>
        <w:numPr>
          <w:ilvl w:val="0"/>
          <w:numId w:val="2"/>
        </w:numPr>
        <w:spacing w:after="80"/>
      </w:pPr>
      <w:r>
        <w:rPr>
          <w:b/>
          <w:bCs/>
        </w:rPr>
        <w:t xml:space="preserve">Final Report + Executive Presentation: </w:t>
      </w:r>
      <w:r>
        <w:t xml:space="preserve">Report template (toolkit 08) plus a 30-minute plain-language walkthrough for leadership. The Spanish version is the authoritative one for Mexican clients (see Operational Standards).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C1 — Acceptance</w:t>
            </w:r>
          </w:p>
          <w:p>
            <w:r>
              <w:rPr>
                <w:sz w:val="21"/>
                <w:szCs w:val="21"/>
              </w:rPr>
              <w:t xml:space="preserve">Report accepted in the review session; balance invoiced. Any implementation quote arrives after acceptance, as a separate document.</w:t>
            </w:r>
          </w:p>
        </w:tc>
      </w:tr>
    </w:tbl>
    <w:p>
      <w:pPr>
        <w:spacing w:after="120"/>
      </w:pPr>
    </w:p>
    <w:p>
      <w:pPr>
        <w:pStyle w:val="Heading2"/>
      </w:pPr>
      <w:r>
        <w:t xml:space="preserve">E5 · Enable</w:t>
      </w:r>
    </w:p>
    <w:p>
      <w:pPr>
        <w:pStyle w:val="ListParagraph"/>
        <w:numPr>
          <w:ilvl w:val="0"/>
          <w:numId w:val="2"/>
        </w:numPr>
        <w:spacing w:after="80"/>
      </w:pPr>
      <w:r>
        <w:rPr>
          <w:b/>
          <w:bCs/>
        </w:rPr>
        <w:t xml:space="preserve">30-Day Question Window: </w:t>
      </w:r>
      <w:r>
        <w:t xml:space="preserve">Included support for questions about the report — not for new analysis.</w:t>
      </w:r>
    </w:p>
    <w:p>
      <w:pPr>
        <w:pStyle w:val="ListParagraph"/>
        <w:numPr>
          <w:ilvl w:val="0"/>
          <w:numId w:val="2"/>
        </w:numPr>
        <w:spacing w:after="80"/>
      </w:pPr>
      <w:r>
        <w:rPr>
          <w:b/>
          <w:bCs/>
        </w:rPr>
        <w:t xml:space="preserve">Conversion Paths: </w:t>
      </w:r>
      <w:r>
        <w:t xml:space="preserve">Implementation work flows into the Service Delivery Playbook through its own Gate 0. Recurring oversight becomes the Fractional CTO retainer.</w:t>
      </w:r>
    </w:p>
    <w:p>
      <w:pPr>
        <w:pStyle w:val="ListParagraph"/>
        <w:numPr>
          <w:ilvl w:val="0"/>
          <w:numId w:val="2"/>
        </w:numPr>
        <w:spacing w:after="80"/>
      </w:pPr>
      <w:r>
        <w:rPr>
          <w:b/>
          <w:bCs/>
        </w:rPr>
        <w:t xml:space="preserve">Book the Re-Assessment: </w:t>
      </w:r>
      <w:r>
        <w:t xml:space="preserve">The report's final section is a dated annual re-audit offer. Stacks drift, laws change, vendors re-price — the renewal email writes itself: 'here is what changed since last year.'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C2 — Follow-Through</w:t>
            </w:r>
          </w:p>
          <w:p>
            <w:r>
              <w:rPr>
                <w:sz w:val="21"/>
                <w:szCs w:val="21"/>
              </w:rPr>
              <w:t xml:space="preserve">Day-30 call: questions closed, conversion decisions made, re-assessment date agreed.</w:t>
            </w:r>
          </w:p>
        </w:tc>
      </w:tr>
    </w:tbl>
    <w:p>
      <w:pPr>
        <w:pStyle w:val="Heading1"/>
        <w:pageBreakBefore/>
      </w:pPr>
      <w:r>
        <w:t xml:space="preserve">Working Rules — Non-Negotiable</w:t>
      </w:r>
    </w:p>
    <w:p>
      <w:pPr>
        <w:pStyle w:val="ListParagraph"/>
        <w:numPr>
          <w:ilvl w:val="0"/>
          <w:numId w:val="2"/>
        </w:numPr>
        <w:spacing w:after="80"/>
      </w:pPr>
      <w:r>
        <w:rPr>
          <w:b/>
          <w:bCs/>
        </w:rPr>
        <w:t xml:space="preserve">Independence Is Declared in Writing: </w:t>
      </w:r>
      <w:r>
        <w:t xml:space="preserve">No vendor commissions, referral fees, or reseller margins — stated in every agreement and every RFP evaluation. It is the entire reason a client pays you instead of trusting the vendor's pitch.</w:t>
      </w:r>
    </w:p>
    <w:p>
      <w:pPr>
        <w:pStyle w:val="ListParagraph"/>
        <w:numPr>
          <w:ilvl w:val="0"/>
          <w:numId w:val="2"/>
        </w:numPr>
        <w:spacing w:after="80"/>
      </w:pPr>
      <w:r>
        <w:rPr>
          <w:b/>
          <w:bCs/>
        </w:rPr>
        <w:t xml:space="preserve">Diagnosis Is Priced Separately From Treatment: </w:t>
      </w:r>
      <w:r>
        <w:t xml:space="preserve">When your own audit surfaces work you could build, the report presents vendor-neutral options first; your quote arrives after acceptance as a separate document. This protects you from 'the audit was a sales brochure' — the reputational kill-shot in consulting.</w:t>
      </w:r>
    </w:p>
    <w:p>
      <w:pPr>
        <w:pStyle w:val="ListParagraph"/>
        <w:numPr>
          <w:ilvl w:val="0"/>
          <w:numId w:val="2"/>
        </w:numPr>
        <w:spacing w:after="80"/>
      </w:pPr>
      <w:r>
        <w:rPr>
          <w:b/>
          <w:bCs/>
        </w:rPr>
        <w:t xml:space="preserve">Keep a Conflict Registry: </w:t>
      </w:r>
      <w:r>
        <w:t xml:space="preserve">A simple log of every vendor relationship, partnership, or affiliate arrangement. When a client asks 'do you benefit from this recommendation?', the answer is a document, not a promise.</w:t>
      </w:r>
    </w:p>
    <w:p>
      <w:pPr>
        <w:pStyle w:val="ListParagraph"/>
        <w:numPr>
          <w:ilvl w:val="0"/>
          <w:numId w:val="2"/>
        </w:numPr>
        <w:spacing w:after="80"/>
      </w:pPr>
      <w:r>
        <w:rPr>
          <w:b/>
          <w:bCs/>
        </w:rPr>
        <w:t xml:space="preserve">Facts Belong to the Client, Conclusions Belong to You: </w:t>
      </w:r>
      <w:r>
        <w:t xml:space="preserve">Clients correct data in draft review; they do not negotiate verdicts. If a client demands a changed conclusion without new facts, decline and deliver as-is.</w:t>
      </w:r>
    </w:p>
    <w:p>
      <w:pPr>
        <w:pStyle w:val="ListParagraph"/>
        <w:numPr>
          <w:ilvl w:val="0"/>
          <w:numId w:val="2"/>
        </w:numPr>
        <w:spacing w:after="80"/>
      </w:pPr>
      <w:r>
        <w:rPr>
          <w:b/>
          <w:bCs/>
        </w:rPr>
        <w:t xml:space="preserve">Everything Quantified in Client Currency: </w:t>
      </w:r>
      <w:r>
        <w:t xml:space="preserve">MXN for Mexican clients, with annualized figures. 'Significant savings' is banned vocabulary; '$84,000 MXN/year across four duplicated tools' is the standard.</w:t>
      </w:r>
    </w:p>
    <w:p>
      <w:pPr>
        <w:pStyle w:val="Heading1"/>
      </w:pPr>
      <w:r>
        <w:t xml:space="preserve">Operational Standards</w:t>
      </w:r>
    </w:p>
    <w:p>
      <w:pPr>
        <w:pStyle w:val="ListParagraph"/>
        <w:numPr>
          <w:ilvl w:val="0"/>
          <w:numId w:val="2"/>
        </w:numPr>
        <w:spacing w:after="80"/>
      </w:pPr>
      <w:r>
        <w:rPr>
          <w:b/>
          <w:bCs/>
        </w:rPr>
        <w:t xml:space="preserve">Professional Liability First: </w:t>
      </w:r>
      <w:r>
        <w:t xml:space="preserve">Errores y omisiones (E&amp;O) insurance before the first compliance or vendor engagement — relied-upon advice creates claims, not apologies. Liability cap in the agreement: fee paid, or 2× fee.</w:t>
      </w:r>
    </w:p>
    <w:p>
      <w:pPr>
        <w:pStyle w:val="ListParagraph"/>
        <w:numPr>
          <w:ilvl w:val="0"/>
          <w:numId w:val="2"/>
        </w:numPr>
        <w:spacing w:after="80"/>
      </w:pPr>
      <w:r>
        <w:rPr>
          <w:b/>
          <w:bCs/>
        </w:rPr>
        <w:t xml:space="preserve">Spanish Deliverables Are the Product: </w:t>
      </w:r>
      <w:r>
        <w:t xml:space="preserve">Mexican SME owners and school directors do not act on English reports. Deliverables are bilingual with the Spanish version authoritative; every client-facing Spanish report gets professional review before delivery — never machine-translated. Same rule as the platform's Phase 4 copy standard.</w:t>
      </w:r>
    </w:p>
    <w:p>
      <w:pPr>
        <w:pStyle w:val="ListParagraph"/>
        <w:numPr>
          <w:ilvl w:val="0"/>
          <w:numId w:val="2"/>
        </w:numPr>
        <w:spacing w:after="80"/>
      </w:pPr>
      <w:r>
        <w:rPr>
          <w:b/>
          <w:bCs/>
        </w:rPr>
        <w:t xml:space="preserve">Partner Lawyer for Compliance Work: </w:t>
      </w:r>
      <w:r>
        <w:t xml:space="preserve">You deliver the technical and organizational assessment; the legal opinion carries a lawyer's signature. Fix the partnership before selling the first LFPDPPP engagement.</w:t>
      </w:r>
    </w:p>
    <w:p>
      <w:pPr>
        <w:pStyle w:val="ListParagraph"/>
        <w:numPr>
          <w:ilvl w:val="0"/>
          <w:numId w:val="2"/>
        </w:numPr>
        <w:spacing w:after="80"/>
      </w:pPr>
      <w:r>
        <w:rPr>
          <w:b/>
          <w:bCs/>
        </w:rPr>
        <w:t xml:space="preserve">Annual Annuity Built In: </w:t>
      </w:r>
      <w:r>
        <w:t xml:space="preserve">Every report ends with a dated re-assessment offer. An audit that recurs annually is worth several times one that does not.</w:t>
      </w:r>
    </w:p>
    <w:p>
      <w:pPr>
        <w:pStyle w:val="ListParagraph"/>
        <w:numPr>
          <w:ilvl w:val="0"/>
          <w:numId w:val="2"/>
        </w:numPr>
        <w:spacing w:after="80"/>
      </w:pPr>
      <w:r>
        <w:rPr>
          <w:b/>
          <w:bCs/>
        </w:rPr>
        <w:t xml:space="preserve">Evidence Retention: </w:t>
      </w:r>
      <w:r>
        <w:t xml:space="preserve">Working papers, interview notes, and data extracts retained per the agreement's confidentiality terms — they are your defense if a recommendation is later disputed.</w:t>
      </w:r>
    </w:p>
    <w:p>
      <w:pPr>
        <w:pStyle w:val="Heading1"/>
        <w:pageBreakBefore/>
      </w:pPr>
      <w:r>
        <w:t xml:space="preserve">Compliance Context — LFPDPPP 2025</w:t>
      </w:r>
    </w:p>
    <w:p>
      <w:pPr>
        <w:spacing w:after="120"/>
      </w:pPr>
      <w:r>
        <w:t xml:space="preserve">The 2010 LFPDPPP was repealed. The new Ley Federal de Protección de Datos Personales en Posesión de los Particulares was published 20 March 2025 and took effect 21 March 2025. INAI was dissolved; supervision and enforcement moved to the Secretaría de Anticorrupción y Buen Gobierno. Challenges to authority resolutions proceed via amparo before specialized courts. All service copy, proposals, and gap checklists must reference the 2025 law — citing the 2010 framework in a 2026 proposal is an instant credibility loss.</w:t>
      </w:r>
    </w:p>
    <w:p>
      <w:pPr>
        <w:pStyle w:val="Heading2"/>
      </w:pPr>
      <w:r>
        <w:t xml:space="preserve">What the Gap Assessment Covers (toolkit 06)</w:t>
      </w:r>
    </w:p>
    <w:p>
      <w:pPr>
        <w:pStyle w:val="ListParagraph"/>
        <w:numPr>
          <w:ilvl w:val="0"/>
          <w:numId w:val="2"/>
        </w:numPr>
        <w:spacing w:after="60"/>
      </w:pPr>
      <w:r>
        <w:t xml:space="preserve">Aviso de privacidad: existence, content, delivery moments, and consent capture.</w:t>
      </w:r>
    </w:p>
    <w:p>
      <w:pPr>
        <w:pStyle w:val="ListParagraph"/>
        <w:numPr>
          <w:ilvl w:val="0"/>
          <w:numId w:val="2"/>
        </w:numPr>
        <w:spacing w:after="60"/>
      </w:pPr>
      <w:r>
        <w:t xml:space="preserve">ARCO rights: intake channel, response process, and deadlines.</w:t>
      </w:r>
    </w:p>
    <w:p>
      <w:pPr>
        <w:pStyle w:val="ListParagraph"/>
        <w:numPr>
          <w:ilvl w:val="0"/>
          <w:numId w:val="2"/>
        </w:numPr>
        <w:spacing w:after="60"/>
      </w:pPr>
      <w:r>
        <w:t xml:space="preserve">Security measures: administrative, technical, and physical — proportional to data sensitivity.</w:t>
      </w:r>
    </w:p>
    <w:p>
      <w:pPr>
        <w:pStyle w:val="ListParagraph"/>
        <w:numPr>
          <w:ilvl w:val="0"/>
          <w:numId w:val="2"/>
        </w:numPr>
        <w:spacing w:after="60"/>
      </w:pPr>
      <w:r>
        <w:t xml:space="preserve">Breach readiness: detection, internal escalation, and notification obligations.</w:t>
      </w:r>
    </w:p>
    <w:p>
      <w:pPr>
        <w:pStyle w:val="ListParagraph"/>
        <w:numPr>
          <w:ilvl w:val="0"/>
          <w:numId w:val="2"/>
        </w:numPr>
        <w:spacing w:after="60"/>
      </w:pPr>
      <w:r>
        <w:t xml:space="preserve">Transfers and processors: contracts, cross-border flows, and cloud/AI providers.</w:t>
      </w:r>
    </w:p>
    <w:p>
      <w:pPr>
        <w:pStyle w:val="ListParagraph"/>
        <w:numPr>
          <w:ilvl w:val="0"/>
          <w:numId w:val="2"/>
        </w:numPr>
        <w:spacing w:after="60"/>
      </w:pPr>
      <w:r>
        <w:t xml:space="preserve">Special categories: minors' data (schools), financial and health data — heightened care.</w:t>
      </w:r>
    </w:p>
    <w:p>
      <w:pPr>
        <w:spacing w:after="120"/>
      </w:pPr>
      <w:r>
        <w:rPr>
          <w:i/>
          <w:iCs/>
          <w:color w:val="64748B"/>
          <w:sz w:val="20"/>
          <w:szCs w:val="20"/>
        </w:rPr>
        <w:t xml:space="preserve">Verify current secondary regulations and authority guidance at engagement start — the post-INAI framework is young and still settling. Technical assessment only; legal opinion via partner lawyer.</w:t>
      </w:r>
    </w:p>
    <w:p>
      <w:pPr>
        <w:pStyle w:val="Heading1"/>
      </w:pPr>
      <w:r>
        <w:t xml:space="preserve">Cross-Line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Consulting Output</w:t>
            </w:r>
          </w:p>
        </w:tc>
        <w:tc>
          <w:tcPr>
            <w:tcW w:type="dxa" w:w="51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Feeds Into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Health Check scorecard red flags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Stack Audit, Cyber Hygiene, or Rescue Packages (delivery toolkit 10)</w:t>
            </w:r>
          </w:p>
        </w:tc>
      </w:tr>
      <w:tr>
        <w:tc>
          <w:tcPr>
            <w:tcW w:type="dxa" w:w="42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Stack Audit consolidation plan</w:t>
            </w:r>
          </w:p>
        </w:tc>
        <w:tc>
          <w:tcPr>
            <w:tcW w:type="dxa" w:w="5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Migration/integration builds via Service Delivery Gate 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Transformation Roadmap phases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engagements — each phase is a scoped project</w:t>
            </w:r>
          </w:p>
        </w:tc>
      </w:tr>
      <w:tr>
        <w:tc>
          <w:tcPr>
            <w:tcW w:type="dxa" w:w="42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LFPDPPP remediation plan</w:t>
            </w:r>
          </w:p>
        </w:tc>
        <w:tc>
          <w:tcPr>
            <w:tcW w:type="dxa" w:w="5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Security hardening + privacy features via Engineering line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Vendor evaluation 'build instead' verdict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Discovery Sprint (delivery toolkit 10)</w:t>
            </w:r>
          </w:p>
        </w:tc>
      </w:tr>
      <w:tr>
        <w:tc>
          <w:tcPr>
            <w:tcW w:type="dxa" w:w="42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Any engagement's day-30 call</w:t>
            </w:r>
          </w:p>
        </w:tc>
        <w:tc>
          <w:tcPr>
            <w:tcW w:type="dxa" w:w="5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Fractional CTO retainer (delivery toolkit 12)</w:t>
            </w:r>
          </w:p>
        </w:tc>
      </w:tr>
    </w:tbl>
    <w:p>
      <w:pPr>
        <w:spacing w:after="120"/>
      </w:pPr>
    </w:p>
    <w:p>
      <w:pPr>
        <w:pStyle w:val="Heading2"/>
      </w:pPr>
      <w:r>
        <w:t xml:space="preserve">Document Changelog</w:t>
      </w:r>
    </w:p>
    <w:p>
      <w:pPr>
        <w:pStyle w:val="ListParagraph"/>
        <w:numPr>
          <w:ilvl w:val="0"/>
          <w:numId w:val="2"/>
        </w:numPr>
        <w:spacing w:after="60"/>
      </w:pPr>
      <w:r>
        <w:t xml:space="preserve">v1.0 · July 2026 — Initial consulting playbook: 8-product catalog (5 original + IT Health Check, Cyber Hygiene, Second Opinion), E1–E5 lifecycle with gates C0–C2, working rules, operational standards (E&amp;O, Spanish deliverables, annual annuity), LFPDPPP 2025 context, cross-line conversion 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 Complexity, simplified.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4748B"/>
        <w:sz w:val="18"/>
        <w:szCs w:val="18"/>
      </w:rPr>
      <w:t xml:space="preserve">mustaphaukizuru.com</w:t>
    </w:r>
    <w:r>
      <w:rPr>
        <w:color w:val="64748B"/>
        <w:sz w:val="18"/>
        <w:szCs w:val="18"/>
      </w:rPr>
      <w:t xml:space="preserve">	Strategic IT Consulting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B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D3FD3" w:sz="6" w:space="2"/>
      </w:pBdr>
      <w:spacing w:after="160" w:before="280"/>
      <w:outlineLvl w:val="0"/>
    </w:pPr>
    <w:rPr>
      <w:rFonts w:ascii="Arial" w:cs="Arial" w:eastAsia="Arial" w:hAnsi="Arial"/>
      <w:b/>
      <w:bCs/>
      <w:color w:val="1A1B23"/>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5D3FD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2026-07-08T19:14:46.397Z</dcterms:created>
  <dcterms:modified xsi:type="dcterms:W3CDTF">2026-07-08T19:14:46.397Z</dcterms:modified>
</cp:coreProperties>
</file>

<file path=docProps/custom.xml><?xml version="1.0" encoding="utf-8"?>
<Properties xmlns="http://schemas.openxmlformats.org/officeDocument/2006/custom-properties" xmlns:vt="http://schemas.openxmlformats.org/officeDocument/2006/docPropsVTypes"/>
</file>