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keepNext w:val="false"/>
        <w:spacing w:after="220" w:before="0" w:line="276"/>
        <w:jc w:val="left"/>
      </w:pPr>
      <w:r>
        <w:rPr>
          <w:rFonts w:ascii="JetBrains Mono" w:cs="JetBrains Mono" w:eastAsia="JetBrains Mono" w:hAnsi="JetBrains Mono"/>
          <w:b/>
          <w:bCs/>
          <w:i w:val="false"/>
          <w:iCs w:val="false"/>
          <w:caps/>
          <w:color w:val="5D3FD3"/>
          <w:spacing w:val="60"/>
          <w:sz w:val="18"/>
          <w:szCs w:val="18"/>
        </w:rPr>
        <w:t xml:space="preserve">SERVICE CATALOGUE  v1.0</w:t>
      </w:r>
    </w:p>
    <w:p>
      <w:pPr>
        <w:keepNext w:val="false"/>
        <w:spacing w:after="0" w:before="0" w:line="880" w:lineRule="exact"/>
        <w:jc w:val="left"/>
      </w:pPr>
      <w:r>
        <w:rPr>
          <w:rFonts w:ascii="Sora" w:cs="Sora" w:eastAsia="Sora" w:hAnsi="Sora"/>
          <w:b/>
          <w:bCs/>
          <w:i w:val="false"/>
          <w:iCs w:val="false"/>
          <w:caps w:val="false"/>
          <w:color w:val="1A1B23"/>
          <w:spacing w:val="-30"/>
          <w:sz w:val="72"/>
          <w:szCs w:val="72"/>
        </w:rPr>
        <w:t xml:space="preserve">Business Architecture</w:t>
      </w:r>
    </w:p>
    <w:p>
      <w:pPr>
        <w:keepNext w:val="false"/>
        <w:spacing w:after="340" w:before="0" w:line="880" w:lineRule="exact"/>
        <w:jc w:val="left"/>
      </w:pPr>
      <w:r>
        <w:rPr>
          <w:rFonts w:ascii="Sora" w:cs="Sora" w:eastAsia="Sora" w:hAnsi="Sora"/>
          <w:b/>
          <w:bCs/>
          <w:i w:val="false"/>
          <w:iCs w:val="false"/>
          <w:caps w:val="false"/>
          <w:color w:val="5D3FD3"/>
          <w:spacing w:val="-30"/>
          <w:sz w:val="72"/>
          <w:szCs w:val="72"/>
        </w:rPr>
        <w:t xml:space="preserve">&amp; Micro-Service Portfolio</w:t>
      </w:r>
    </w:p>
    <w:tbl>
      <w:tblPr>
        <w:tblW w:type="dxa" w:w="13680"/>
        <w:tblBorders>
          <w:top w:val="single" w:color="DCDCE4" w:sz="8"/>
          <w:left w:val="none" w:color="auto" w:sz="0"/>
          <w:bottom w:val="none" w:color="auto" w:sz="0"/>
          <w:right w:val="none" w:color="auto" w:sz="0"/>
          <w:insideH w:val="none" w:color="auto" w:sz="0"/>
          <w:insideV w:val="none" w:color="auto" w:sz="0"/>
        </w:tblBorders>
      </w:tblPr>
      <w:tblGrid>
        <w:gridCol w:w="13680"/>
      </w:tblGrid>
      <w:tr>
        <w:tc>
          <w:tcPr>
            <w:tcW w:type="dxa" w:w="13680"/>
            <w:tcMar>
              <w:top w:type="dxa" w:w="220"/>
              <w:left w:type="dxa" w:w="0"/>
              <w:bottom w:type="dxa" w:w="0"/>
              <w:right w:type="dxa" w:w="0"/>
            </w:tcMar>
          </w:tcPr>
          <w:p>
            <w:pPr>
              <w:keepNext w:val="false"/>
              <w:spacing w:after="100" w:before="0" w:line="276"/>
              <w:jc w:val="left"/>
            </w:pPr>
            <w:r>
              <w:rPr>
                <w:rFonts w:ascii="Sora" w:cs="Sora" w:eastAsia="Sora" w:hAnsi="Sora"/>
                <w:b w:val="false"/>
                <w:bCs w:val="false"/>
                <w:i w:val="false"/>
                <w:iCs w:val="false"/>
                <w:caps w:val="false"/>
                <w:color w:val="1A1B23"/>
                <w:sz w:val="24"/>
                <w:szCs w:val="24"/>
              </w:rPr>
              <w:t xml:space="preserve">Mustapha Ukizuru — Technology Consulting · Digital Products · STEM &amp; School Solutions</w:t>
            </w:r>
          </w:p>
          <w:p>
            <w:pPr>
              <w:keepNext w:val="false"/>
              <w:spacing w:after="70" w:before="0" w:line="276"/>
              <w:jc w:val="left"/>
            </w:pPr>
            <w:r>
              <w:rPr>
                <w:rFonts w:ascii="Sora" w:cs="Sora" w:eastAsia="Sora" w:hAnsi="Sora"/>
                <w:b w:val="false"/>
                <w:bCs w:val="false"/>
                <w:i w:val="false"/>
                <w:iCs w:val="false"/>
                <w:caps w:val="false"/>
                <w:color w:val="64748B"/>
                <w:sz w:val="20"/>
                <w:szCs w:val="20"/>
              </w:rPr>
              <w:t xml:space="preserve">Market: Mexico (primary) · LATAM &amp; remote-international (secondary)</w:t>
            </w:r>
          </w:p>
          <w:p>
            <w:pPr>
              <w:keepNext w:val="false"/>
              <w:spacing w:after="640" w:before="0" w:line="276"/>
              <w:jc w:val="left"/>
            </w:pPr>
            <w:r>
              <w:rPr>
                <w:rFonts w:ascii="JetBrains Mono" w:cs="JetBrains Mono" w:eastAsia="JetBrains Mono" w:hAnsi="JetBrains Mono"/>
                <w:b w:val="false"/>
                <w:bCs w:val="false"/>
                <w:i w:val="false"/>
                <w:iCs w:val="false"/>
                <w:caps w:val="false"/>
                <w:color w:val="64748B"/>
                <w:sz w:val="18"/>
                <w:szCs w:val="18"/>
              </w:rPr>
              <w:t xml:space="preserve">July 2026</w:t>
            </w:r>
            <w:r>
              <w:rPr>
                <w:rFonts w:ascii="Sora" w:cs="Sora" w:eastAsia="Sora" w:hAnsi="Sora"/>
                <w:b w:val="false"/>
                <w:bCs w:val="false"/>
                <w:i w:val="false"/>
                <w:iCs w:val="false"/>
                <w:caps w:val="false"/>
                <w:color w:val="DCDCE4"/>
                <w:sz w:val="18"/>
                <w:szCs w:val="18"/>
              </w:rPr>
              <w:t xml:space="preserve">   ·   </w:t>
            </w:r>
            <w:r>
              <w:rPr>
                <w:rFonts w:ascii="JetBrains Mono" w:cs="JetBrains Mono" w:eastAsia="JetBrains Mono" w:hAnsi="JetBrains Mono"/>
                <w:b w:val="false"/>
                <w:bCs w:val="false"/>
                <w:i w:val="false"/>
                <w:iCs w:val="false"/>
                <w:caps w:val="false"/>
                <w:color w:val="64748B"/>
                <w:sz w:val="18"/>
                <w:szCs w:val="18"/>
              </w:rPr>
              <w:t xml:space="preserve">34 micro-services · 6 categories</w:t>
            </w:r>
            <w:r>
              <w:rPr>
                <w:rFonts w:ascii="Sora" w:cs="Sora" w:eastAsia="Sora" w:hAnsi="Sora"/>
                <w:b w:val="false"/>
                <w:bCs w:val="false"/>
                <w:i w:val="false"/>
                <w:iCs w:val="false"/>
                <w:caps w:val="false"/>
                <w:color w:val="DCDCE4"/>
                <w:sz w:val="18"/>
                <w:szCs w:val="18"/>
              </w:rPr>
              <w:t xml:space="preserve">   ·   </w:t>
            </w:r>
            <w:r>
              <w:rPr>
                <w:rFonts w:ascii="JetBrains Mono" w:cs="JetBrains Mono" w:eastAsia="JetBrains Mono" w:hAnsi="JetBrains Mono"/>
                <w:b/>
                <w:bCs/>
                <w:i w:val="false"/>
                <w:iCs w:val="false"/>
                <w:caps w:val="false"/>
                <w:color w:val="0284C7"/>
                <w:sz w:val="18"/>
                <w:szCs w:val="18"/>
              </w:rPr>
              <w:t xml:space="preserve">Status: Draft for approval</w:t>
            </w:r>
          </w:p>
          <w:p>
            <w:pPr>
              <w:keepNext w:val="false"/>
              <w:spacing w:after="0" w:before="0" w:line="276"/>
              <w:jc w:val="left"/>
            </w:pPr>
            <w:r>
              <w:rPr>
                <w:rFonts w:ascii="Sora" w:cs="Sora" w:eastAsia="Sora" w:hAnsi="Sora"/>
                <w:b w:val="false"/>
                <w:bCs w:val="false"/>
                <w:i/>
                <w:iCs/>
                <w:caps w:val="false"/>
                <w:color w:val="5D3FD3"/>
                <w:spacing w:val="-10"/>
                <w:sz w:val="26"/>
                <w:szCs w:val="26"/>
              </w:rPr>
              <w:t xml:space="preserve">Complexity, simplified.</w:t>
            </w:r>
          </w:p>
        </w:tc>
      </w:tr>
    </w:tbl>
    <w:p>
      <w:r>
        <w:br w:type="page"/>
      </w:r>
    </w:p>
    <w:p>
      <w:pPr>
        <w:keepNext w:val="false"/>
        <w:spacing w:after="200" w:before="0" w:line="276"/>
        <w:jc w:val="left"/>
      </w:pPr>
      <w:r>
        <w:rPr>
          <w:rFonts w:ascii="Sora" w:cs="Sora" w:eastAsia="Sora" w:hAnsi="Sora"/>
          <w:b/>
          <w:bCs/>
          <w:i w:val="false"/>
          <w:iCs w:val="false"/>
          <w:caps w:val="false"/>
          <w:color w:val="1A1B23"/>
          <w:spacing w:val="-12"/>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0"/>
      </w:pPr>
      <w:r>
        <w:rPr>
          <w:rFonts w:ascii="Sora" w:cs="Sora" w:eastAsia="Sora" w:hAnsi="Sora"/>
          <w:b w:val="false"/>
          <w:bCs w:val="false"/>
          <w:i w:val="false"/>
          <w:iCs w:val="false"/>
          <w:caps w:val="false"/>
          <w:color w:val="1A1B23"/>
          <w:sz w:val="2"/>
          <w:szCs w:val="2"/>
        </w:rPr>
        <w:t xml:space="preserve">00 · How this catalogue is built</w:t>
      </w:r>
    </w:p>
    <w:tbl>
      <w:tblPr>
        <w:tblW w:type="dxa" w:w="13680"/>
        <w:tblBorders>
          <w:top w:val="none" w:color="auto" w:sz="0"/>
          <w:left w:val="single" w:color="5D3FD3" w:sz="24"/>
          <w:bottom w:val="none" w:color="auto" w:sz="0"/>
          <w:right w:val="none" w:color="auto" w:sz="0"/>
          <w:insideH w:val="none" w:color="auto" w:sz="0"/>
          <w:insideV w:val="none" w:color="auto" w:sz="0"/>
        </w:tblBorders>
      </w:tblPr>
      <w:tblGrid>
        <w:gridCol w:w="13680"/>
      </w:tblGrid>
      <w:tr>
        <w:trPr>
          <w:cantSplit/>
        </w:trPr>
        <w:tc>
          <w:tcPr>
            <w:tcW w:type="dxa" w:w="13680"/>
            <w:shd w:fill="EDE9FB" w:color="auto" w:val="clear"/>
            <w:tcMar>
              <w:top w:type="dxa" w:w="160"/>
              <w:left w:type="dxa" w:w="220"/>
              <w:bottom w:type="dxa" w:w="160"/>
              <w:right w:type="dxa" w:w="220"/>
            </w:tcMar>
          </w:tcPr>
          <w:p>
            <w:pPr>
              <w:keepNext w:val="false"/>
              <w:spacing w:after="40" w:before="0" w:line="276"/>
              <w:jc w:val="left"/>
            </w:pPr>
            <w:r>
              <w:rPr>
                <w:rFonts w:ascii="JetBrains Mono" w:cs="JetBrains Mono" w:eastAsia="JetBrains Mono" w:hAnsi="JetBrains Mono"/>
                <w:b/>
                <w:bCs/>
                <w:i w:val="false"/>
                <w:iCs w:val="false"/>
                <w:caps w:val="false"/>
                <w:color w:val="5D3FD3"/>
                <w:sz w:val="22"/>
                <w:szCs w:val="22"/>
              </w:rPr>
              <w:t xml:space="preserve">00  </w:t>
            </w:r>
            <w:r>
              <w:rPr>
                <w:rFonts w:ascii="Sora" w:cs="Sora" w:eastAsia="Sora" w:hAnsi="Sora"/>
                <w:b/>
                <w:bCs/>
                <w:i w:val="false"/>
                <w:iCs w:val="false"/>
                <w:caps w:val="false"/>
                <w:color w:val="1A1B23"/>
                <w:spacing w:val="-8"/>
                <w:sz w:val="30"/>
                <w:szCs w:val="30"/>
              </w:rPr>
              <w:t xml:space="preserve">How this catalogue is built</w:t>
            </w:r>
          </w:p>
          <w:p>
            <w:pPr>
              <w:keepNext w:val="false"/>
              <w:spacing w:after="0" w:before="0" w:line="276"/>
              <w:jc w:val="left"/>
            </w:pPr>
            <w:r>
              <w:rPr>
                <w:rFonts w:ascii="Sora" w:cs="Sora" w:eastAsia="Sora" w:hAnsi="Sora"/>
                <w:b w:val="false"/>
                <w:bCs w:val="false"/>
                <w:i/>
                <w:iCs/>
                <w:caps w:val="false"/>
                <w:color w:val="64748B"/>
                <w:sz w:val="18"/>
                <w:szCs w:val="18"/>
              </w:rPr>
              <w:t xml:space="preserve">Design constraints that shape every SKU below</w:t>
            </w:r>
          </w:p>
        </w:tc>
      </w:tr>
    </w:tbl>
    <w:p>
      <w:pPr>
        <w:spacing w:after="160"/>
      </w:pPr>
    </w:p>
    <w:p>
      <w:pPr>
        <w:keepNext w:val="false"/>
        <w:spacing w:after="120" w:before="0" w:line="276"/>
        <w:jc w:val="left"/>
      </w:pPr>
      <w:r>
        <w:rPr>
          <w:rFonts w:ascii="Sora" w:cs="Sora" w:eastAsia="Sora" w:hAnsi="Sora"/>
          <w:b w:val="false"/>
          <w:bCs w:val="false"/>
          <w:i w:val="false"/>
          <w:iCs w:val="false"/>
          <w:caps w:val="false"/>
          <w:color w:val="1A1B23"/>
          <w:sz w:val="20"/>
          <w:szCs w:val="20"/>
        </w:rPr>
        <w:t xml:space="preserve">Every micro-service below is a SKU: fixed scope, fixed price, fixed delivery window, defined exclusions. Nothing is sold hourly. This is deliberate — the operator is capacity-constrained (approximately 55 billable hours per month alongside a full-time role), so the portfolio is engineered for fixed-scope delivery, recurring retainers, and zero-marginal-cost products rather than open-ended consulting.</w:t>
      </w:r>
    </w:p>
    <w:p>
      <w:pPr>
        <w:spacing w:after="80"/>
      </w:pPr>
    </w:p>
    <w:p>
      <w:pPr>
        <w:keepNext/>
        <w:spacing w:after="100" w:before="0" w:line="276"/>
        <w:jc w:val="left"/>
      </w:pPr>
      <w:r>
        <w:rPr>
          <w:rFonts w:ascii="Sora" w:cs="Sora" w:eastAsia="Sora" w:hAnsi="Sora"/>
          <w:b/>
          <w:bCs/>
          <w:i w:val="false"/>
          <w:iCs w:val="false"/>
          <w:caps w:val="false"/>
          <w:color w:val="1A1B23"/>
          <w:sz w:val="20"/>
          <w:szCs w:val="20"/>
        </w:rPr>
        <w:t xml:space="preserve">The revenue ladder — every SKU occupies exactly one rung</w:t>
      </w:r>
    </w:p>
    <w:tbl>
      <w:tblPr>
        <w:tblW w:type="dxa" w:w="13680"/>
        <w:tblBorders>
          <w:top w:val="single" w:color="DCDCE4" w:sz="2"/>
          <w:left w:val="single" w:color="DCDCE4" w:sz="2"/>
          <w:bottom w:val="single" w:color="DCDCE4" w:sz="2"/>
          <w:right w:val="single" w:color="DCDCE4" w:sz="2"/>
          <w:insideH w:val="single" w:color="DCDCE4" w:sz="2"/>
          <w:insideV w:val="single" w:color="DCDCE4" w:sz="2"/>
        </w:tblBorders>
      </w:tblPr>
      <w:tblGrid>
        <w:gridCol w:w="3420"/>
        <w:gridCol w:w="3420"/>
        <w:gridCol w:w="3420"/>
        <w:gridCol w:w="3420"/>
      </w:tblGrid>
      <w:tr>
        <w:trPr>
          <w:cantSplit/>
          <w:tblHeader/>
        </w:trPr>
        <w:tc>
          <w:tcPr>
            <w:tcW w:type="dxa" w:w="342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Tripwire</w:t>
            </w:r>
          </w:p>
        </w:tc>
        <w:tc>
          <w:tcPr>
            <w:tcW w:type="dxa" w:w="342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Core Project</w:t>
            </w:r>
          </w:p>
        </w:tc>
        <w:tc>
          <w:tcPr>
            <w:tcW w:type="dxa" w:w="342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Retainer</w:t>
            </w:r>
          </w:p>
        </w:tc>
        <w:tc>
          <w:tcPr>
            <w:tcW w:type="dxa" w:w="342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Product</w:t>
            </w:r>
          </w:p>
        </w:tc>
      </w:tr>
      <w:tr>
        <w:trPr>
          <w:cantSplit/>
        </w:trPr>
        <w:tc>
          <w:tcPr>
            <w:tcW w:type="dxa" w:w="342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MXN 8,000 – 15,000</w:t>
            </w:r>
          </w:p>
        </w:tc>
        <w:tc>
          <w:tcPr>
            <w:tcW w:type="dxa" w:w="342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MXN 25,000 – 90,000</w:t>
            </w:r>
          </w:p>
        </w:tc>
        <w:tc>
          <w:tcPr>
            <w:tcW w:type="dxa" w:w="342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MXN 6,000 – 25,000 / mo</w:t>
            </w:r>
          </w:p>
        </w:tc>
        <w:tc>
          <w:tcPr>
            <w:tcW w:type="dxa" w:w="342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MXN 900 – 3,500</w:t>
            </w:r>
          </w:p>
        </w:tc>
      </w:tr>
      <w:tr>
        <w:trPr>
          <w:cantSplit/>
        </w:trPr>
        <w:tc>
          <w:tcPr>
            <w:tcW w:type="dxa" w:w="342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Acquire — buys a paid audience and a documented list of their problems</w:t>
            </w:r>
          </w:p>
        </w:tc>
        <w:tc>
          <w:tcPr>
            <w:tcW w:type="dxa" w:w="342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Fund — the cash that pays for the business</w:t>
            </w:r>
          </w:p>
        </w:tc>
        <w:tc>
          <w:tcPr>
            <w:tcW w:type="dxa" w:w="342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Stabilise — a predictable monthly floor</w:t>
            </w:r>
          </w:p>
        </w:tc>
        <w:tc>
          <w:tcPr>
            <w:tcW w:type="dxa" w:w="342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Scale — revenue with no delivery hours attached</w:t>
            </w:r>
          </w:p>
        </w:tc>
      </w:tr>
    </w:tbl>
    <w:p>
      <w:pPr>
        <w:spacing w:after="160"/>
      </w:pPr>
    </w:p>
    <w:p>
      <w:pPr>
        <w:keepNext/>
        <w:spacing w:after="100" w:before="0" w:line="276"/>
        <w:jc w:val="left"/>
      </w:pPr>
      <w:r>
        <w:rPr>
          <w:rFonts w:ascii="Sora" w:cs="Sora" w:eastAsia="Sora" w:hAnsi="Sora"/>
          <w:b/>
          <w:bCs/>
          <w:i w:val="false"/>
          <w:iCs w:val="false"/>
          <w:caps w:val="false"/>
          <w:color w:val="1A1B23"/>
          <w:sz w:val="20"/>
          <w:szCs w:val="20"/>
        </w:rPr>
        <w:t xml:space="preserve">Conventions</w:t>
      </w:r>
    </w:p>
    <w:tbl>
      <w:tblPr>
        <w:tblW w:type="dxa" w:w="13680"/>
        <w:tblBorders>
          <w:top w:val="single" w:color="DCDCE4" w:sz="2"/>
          <w:left w:val="single" w:color="DCDCE4" w:sz="2"/>
          <w:bottom w:val="single" w:color="DCDCE4" w:sz="2"/>
          <w:right w:val="single" w:color="DCDCE4" w:sz="2"/>
          <w:insideH w:val="single" w:color="DCDCE4" w:sz="2"/>
          <w:insideV w:val="single" w:color="DCDCE4" w:sz="2"/>
        </w:tblBorders>
      </w:tblPr>
      <w:tblGrid>
        <w:gridCol w:w="2400"/>
        <w:gridCol w:w="11280"/>
      </w:tblGrid>
      <w:tr>
        <w:trPr>
          <w:cantSplit/>
          <w:tblHeader/>
        </w:trPr>
        <w:tc>
          <w:tcPr>
            <w:tcW w:type="dxa" w:w="240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Field</w:t>
            </w:r>
          </w:p>
        </w:tc>
        <w:tc>
          <w:tcPr>
            <w:tcW w:type="dxa" w:w="1128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Meaning</w:t>
            </w:r>
          </w:p>
        </w:tc>
      </w:tr>
      <w:tr>
        <w:trPr>
          <w:cantSplit/>
        </w:trPr>
        <w:tc>
          <w:tcPr>
            <w:tcW w:type="dxa" w:w="24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Price</w:t>
            </w:r>
          </w:p>
        </w:tc>
        <w:tc>
          <w:tcPr>
            <w:tcW w:type="dxa" w:w="1128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All figures in MXN, excluding IVA. These are internal anchors — never published on the website. Publish outcomes; price in the call.</w:t>
            </w:r>
          </w:p>
        </w:tc>
      </w:tr>
      <w:tr>
        <w:trPr>
          <w:cantSplit/>
        </w:trPr>
        <w:tc>
          <w:tcPr>
            <w:tcW w:type="dxa" w:w="240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Effort (Hrs)</w:t>
            </w:r>
          </w:p>
        </w:tc>
        <w:tc>
          <w:tcPr>
            <w:tcW w:type="dxa" w:w="1128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Estimated delivery hours for a single operator. Used to protect margin and prevent capacity overrun.</w:t>
            </w:r>
          </w:p>
        </w:tc>
      </w:tr>
      <w:tr>
        <w:trPr>
          <w:cantSplit/>
        </w:trPr>
        <w:tc>
          <w:tcPr>
            <w:tcW w:type="dxa" w:w="240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0284C7"/>
                <w:sz w:val="17"/>
                <w:szCs w:val="17"/>
              </w:rPr>
              <w:t xml:space="preserve">ONE</w:t>
            </w:r>
          </w:p>
        </w:tc>
        <w:tc>
          <w:tcPr>
            <w:tcW w:type="dxa" w:w="1128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One-off engagement, fixed fee.</w:t>
            </w:r>
          </w:p>
        </w:tc>
      </w:tr>
      <w:tr>
        <w:trPr>
          <w:cantSplit/>
        </w:trPr>
        <w:tc>
          <w:tcPr>
            <w:tcW w:type="dxa" w:w="240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0284C7"/>
                <w:sz w:val="17"/>
                <w:szCs w:val="17"/>
              </w:rPr>
              <w:t xml:space="preserve">RET</w:t>
            </w:r>
          </w:p>
        </w:tc>
        <w:tc>
          <w:tcPr>
            <w:tcW w:type="dxa" w:w="1128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Recurring monthly or annual retainer.</w:t>
            </w:r>
          </w:p>
        </w:tc>
      </w:tr>
      <w:tr>
        <w:trPr>
          <w:cantSplit/>
        </w:trPr>
        <w:tc>
          <w:tcPr>
            <w:tcW w:type="dxa" w:w="240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0284C7"/>
                <w:sz w:val="17"/>
                <w:szCs w:val="17"/>
              </w:rPr>
              <w:t xml:space="preserve">HYB</w:t>
            </w:r>
          </w:p>
        </w:tc>
        <w:tc>
          <w:tcPr>
            <w:tcW w:type="dxa" w:w="1128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Setup fee plus retainer. Preferred model — sell the setup, keep the client.</w:t>
            </w:r>
          </w:p>
        </w:tc>
      </w:tr>
      <w:tr>
        <w:trPr>
          <w:cantSplit/>
        </w:trPr>
        <w:tc>
          <w:tcPr>
            <w:tcW w:type="dxa" w:w="240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0284C7"/>
                <w:sz w:val="17"/>
                <w:szCs w:val="17"/>
              </w:rPr>
              <w:t xml:space="preserve">PRD</w:t>
            </w:r>
          </w:p>
        </w:tc>
        <w:tc>
          <w:tcPr>
            <w:tcW w:type="dxa" w:w="1128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Digital product. Zero marginal cost, sold through the store.</w:t>
            </w:r>
          </w:p>
        </w:tc>
      </w:tr>
      <w:tr>
        <w:trPr>
          <w:cantSplit/>
        </w:trPr>
        <w:tc>
          <w:tcPr>
            <w:tcW w:type="dxa" w:w="240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0284C7"/>
                <w:sz w:val="17"/>
                <w:szCs w:val="17"/>
              </w:rPr>
              <w:t xml:space="preserve">ADV</w:t>
            </w:r>
          </w:p>
        </w:tc>
        <w:tc>
          <w:tcPr>
            <w:tcW w:type="dxa" w:w="1128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Advisory — offered to existing clients only, never marketed cold.</w:t>
            </w:r>
          </w:p>
        </w:tc>
      </w:tr>
      <w:tr>
        <w:trPr>
          <w:cantSplit/>
        </w:trPr>
        <w:tc>
          <w:tcPr>
            <w:tcW w:type="dxa" w:w="240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TRIPWIRE</w:t>
            </w:r>
          </w:p>
        </w:tc>
        <w:tc>
          <w:tcPr>
            <w:tcW w:type="dxa" w:w="1128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Low-cost acquisition offer. Highlighted rows. Not a profit centre — it buys a qualified, paying audience.</w:t>
            </w:r>
          </w:p>
        </w:tc>
      </w:tr>
    </w:tbl>
    <w:p>
      <w:r>
        <w:br w:type="page"/>
      </w:r>
    </w:p>
    <w:p>
      <w:pPr>
        <w:keepNext/>
        <w:spacing w:after="140" w:before="0" w:line="276"/>
        <w:jc w:val="left"/>
      </w:pPr>
      <w:r>
        <w:rPr>
          <w:rFonts w:ascii="Sora" w:cs="Sora" w:eastAsia="Sora" w:hAnsi="Sora"/>
          <w:b/>
          <w:bCs/>
          <w:i w:val="false"/>
          <w:iCs w:val="false"/>
          <w:caps w:val="false"/>
          <w:color w:val="1A1B23"/>
          <w:spacing w:val="-8"/>
          <w:sz w:val="24"/>
          <w:szCs w:val="24"/>
        </w:rPr>
        <w:t xml:space="preserve">The six categories at a glance</w:t>
      </w:r>
    </w:p>
    <w:tbl>
      <w:tblPr>
        <w:tblW w:type="dxa" w:w="13680"/>
        <w:tblBorders>
          <w:top w:val="single" w:color="DCDCE4" w:sz="2"/>
          <w:left w:val="single" w:color="DCDCE4" w:sz="2"/>
          <w:bottom w:val="single" w:color="DCDCE4" w:sz="2"/>
          <w:right w:val="single" w:color="DCDCE4" w:sz="2"/>
          <w:insideH w:val="single" w:color="DCDCE4" w:sz="2"/>
          <w:insideV w:val="single" w:color="DCDCE4" w:sz="2"/>
        </w:tblBorders>
      </w:tblPr>
      <w:tblGrid>
        <w:gridCol w:w="740"/>
        <w:gridCol w:w="3600"/>
        <w:gridCol w:w="3600"/>
        <w:gridCol w:w="2680"/>
        <w:gridCol w:w="3060"/>
      </w:tblGrid>
      <w:tr>
        <w:trPr>
          <w:cantSplit/>
          <w:tblHeader/>
        </w:trPr>
        <w:tc>
          <w:tcPr>
            <w:tcW w:type="dxa" w:w="74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w:t>
            </w:r>
          </w:p>
        </w:tc>
        <w:tc>
          <w:tcPr>
            <w:tcW w:type="dxa" w:w="360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Category</w:t>
            </w:r>
          </w:p>
        </w:tc>
        <w:tc>
          <w:tcPr>
            <w:tcW w:type="dxa" w:w="360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Role in the business</w:t>
            </w:r>
          </w:p>
        </w:tc>
        <w:tc>
          <w:tcPr>
            <w:tcW w:type="dxa" w:w="268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Sales cycle</w:t>
            </w:r>
          </w:p>
        </w:tc>
        <w:tc>
          <w:tcPr>
            <w:tcW w:type="dxa" w:w="306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Scales past your hours?</w:t>
            </w:r>
          </w:p>
        </w:tc>
      </w:tr>
      <w:tr>
        <w:trPr>
          <w:cantSplit/>
        </w:trPr>
        <w:tc>
          <w:tcPr>
            <w:tcW w:type="dxa" w:w="74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01</w:t>
            </w:r>
          </w:p>
        </w:tc>
        <w:tc>
          <w:tcPr>
            <w:tcW w:type="dxa" w:w="36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AI Automation &amp; Business Systems</w:t>
            </w:r>
          </w:p>
        </w:tc>
        <w:tc>
          <w:tcPr>
            <w:tcW w:type="dxa" w:w="36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Cash engine — highest demand in Mexico</w:t>
            </w:r>
          </w:p>
        </w:tc>
        <w:tc>
          <w:tcPr>
            <w:tcW w:type="dxa" w:w="268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1A1B23"/>
                <w:sz w:val="17"/>
                <w:szCs w:val="17"/>
              </w:rPr>
              <w:t xml:space="preserve">1 – 3 weeks</w:t>
            </w:r>
          </w:p>
        </w:tc>
        <w:tc>
          <w:tcPr>
            <w:tcW w:type="dxa" w:w="306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E11D48"/>
                <w:sz w:val="17"/>
                <w:szCs w:val="17"/>
              </w:rPr>
              <w:t xml:space="preserve">No — capacity-bound</w:t>
            </w:r>
          </w:p>
        </w:tc>
      </w:tr>
      <w:tr>
        <w:trPr>
          <w:cantSplit/>
        </w:trPr>
        <w:tc>
          <w:tcPr>
            <w:tcW w:type="dxa" w:w="74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02</w:t>
            </w:r>
          </w:p>
        </w:tc>
        <w:tc>
          <w:tcPr>
            <w:tcW w:type="dxa" w:w="360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Data Compliance &amp; IT Governance</w:t>
            </w:r>
          </w:p>
        </w:tc>
        <w:tc>
          <w:tcPr>
            <w:tcW w:type="dxa" w:w="360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Tripwire — urgency-driven door opener</w:t>
            </w:r>
          </w:p>
        </w:tc>
        <w:tc>
          <w:tcPr>
            <w:tcW w:type="dxa" w:w="268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1A1B23"/>
                <w:sz w:val="17"/>
                <w:szCs w:val="17"/>
              </w:rPr>
              <w:t xml:space="preserve">1 – 2 weeks</w:t>
            </w:r>
          </w:p>
        </w:tc>
        <w:tc>
          <w:tcPr>
            <w:tcW w:type="dxa" w:w="306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F59E0B"/>
                <w:sz w:val="17"/>
                <w:szCs w:val="17"/>
              </w:rPr>
              <w:t xml:space="preserve">Partially — templatised</w:t>
            </w:r>
          </w:p>
        </w:tc>
      </w:tr>
      <w:tr>
        <w:trPr>
          <w:cantSplit/>
        </w:trPr>
        <w:tc>
          <w:tcPr>
            <w:tcW w:type="dxa" w:w="74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03</w:t>
            </w:r>
          </w:p>
        </w:tc>
        <w:tc>
          <w:tcPr>
            <w:tcW w:type="dxa" w:w="36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Digital Product Engineering</w:t>
            </w:r>
          </w:p>
        </w:tc>
        <w:tc>
          <w:tcPr>
            <w:tcW w:type="dxa" w:w="36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Delivery arm — highest ticket, not the lead offer</w:t>
            </w:r>
          </w:p>
        </w:tc>
        <w:tc>
          <w:tcPr>
            <w:tcW w:type="dxa" w:w="268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1A1B23"/>
                <w:sz w:val="17"/>
                <w:szCs w:val="17"/>
              </w:rPr>
              <w:t xml:space="preserve">4 – 10 weeks</w:t>
            </w:r>
          </w:p>
        </w:tc>
        <w:tc>
          <w:tcPr>
            <w:tcW w:type="dxa" w:w="306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E11D48"/>
                <w:sz w:val="17"/>
                <w:szCs w:val="17"/>
              </w:rPr>
              <w:t xml:space="preserve">No — capacity-bound</w:t>
            </w:r>
          </w:p>
        </w:tc>
      </w:tr>
      <w:tr>
        <w:trPr>
          <w:cantSplit/>
        </w:trPr>
        <w:tc>
          <w:tcPr>
            <w:tcW w:type="dxa" w:w="74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04</w:t>
            </w:r>
          </w:p>
        </w:tc>
        <w:tc>
          <w:tcPr>
            <w:tcW w:type="dxa" w:w="360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Cloud, Infrastructure &amp; Reliability</w:t>
            </w:r>
          </w:p>
        </w:tc>
        <w:tc>
          <w:tcPr>
            <w:tcW w:type="dxa" w:w="360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Support offer — downscoped to PyME reality</w:t>
            </w:r>
          </w:p>
        </w:tc>
        <w:tc>
          <w:tcPr>
            <w:tcW w:type="dxa" w:w="268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1A1B23"/>
                <w:sz w:val="17"/>
                <w:szCs w:val="17"/>
              </w:rPr>
              <w:t xml:space="preserve">2 – 6 weeks</w:t>
            </w:r>
          </w:p>
        </w:tc>
        <w:tc>
          <w:tcPr>
            <w:tcW w:type="dxa" w:w="306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E11D48"/>
                <w:sz w:val="17"/>
                <w:szCs w:val="17"/>
              </w:rPr>
              <w:t xml:space="preserve">No — capacity-bound</w:t>
            </w:r>
          </w:p>
        </w:tc>
      </w:tr>
      <w:tr>
        <w:trPr>
          <w:cantSplit/>
        </w:trPr>
        <w:tc>
          <w:tcPr>
            <w:tcW w:type="dxa" w:w="74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05</w:t>
            </w:r>
          </w:p>
        </w:tc>
        <w:tc>
          <w:tcPr>
            <w:tcW w:type="dxa" w:w="36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School &amp; Education Technology</w:t>
            </w:r>
          </w:p>
        </w:tc>
        <w:tc>
          <w:tcPr>
            <w:tcW w:type="dxa" w:w="36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The moat — your unfair advantage</w:t>
            </w:r>
          </w:p>
        </w:tc>
        <w:tc>
          <w:tcPr>
            <w:tcW w:type="dxa" w:w="268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1A1B23"/>
                <w:sz w:val="17"/>
                <w:szCs w:val="17"/>
              </w:rPr>
              <w:t xml:space="preserve">Budget cycle</w:t>
            </w:r>
          </w:p>
        </w:tc>
        <w:tc>
          <w:tcPr>
            <w:tcW w:type="dxa" w:w="306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F59E0B"/>
                <w:sz w:val="17"/>
                <w:szCs w:val="17"/>
              </w:rPr>
              <w:t xml:space="preserve">Partially — repeatable</w:t>
            </w:r>
          </w:p>
        </w:tc>
      </w:tr>
      <w:tr>
        <w:trPr>
          <w:cantSplit/>
        </w:trPr>
        <w:tc>
          <w:tcPr>
            <w:tcW w:type="dxa" w:w="74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06</w:t>
            </w:r>
          </w:p>
        </w:tc>
        <w:tc>
          <w:tcPr>
            <w:tcW w:type="dxa" w:w="360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Digital Products &amp; Training</w:t>
            </w:r>
          </w:p>
        </w:tc>
        <w:tc>
          <w:tcPr>
            <w:tcW w:type="dxa" w:w="360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Leverage — the compounding engine</w:t>
            </w:r>
          </w:p>
        </w:tc>
        <w:tc>
          <w:tcPr>
            <w:tcW w:type="dxa" w:w="268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1A1B23"/>
                <w:sz w:val="17"/>
                <w:szCs w:val="17"/>
              </w:rPr>
              <w:t xml:space="preserve">Instant</w:t>
            </w:r>
          </w:p>
        </w:tc>
        <w:tc>
          <w:tcPr>
            <w:tcW w:type="dxa" w:w="306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0B981"/>
                <w:sz w:val="17"/>
                <w:szCs w:val="17"/>
              </w:rPr>
              <w:t xml:space="preserve">Yes</w:t>
            </w:r>
          </w:p>
        </w:tc>
      </w:tr>
    </w:tbl>
    <w:p>
      <w:pPr>
        <w:spacing w:after="140"/>
      </w:pPr>
    </w:p>
    <w:tbl>
      <w:tblPr>
        <w:tblW w:type="dxa" w:w="13680"/>
        <w:tblBorders>
          <w:top w:val="none" w:color="auto" w:sz="0"/>
          <w:left w:val="single" w:color="0284C7" w:sz="18"/>
          <w:bottom w:val="none" w:color="auto" w:sz="0"/>
          <w:right w:val="none" w:color="auto" w:sz="0"/>
          <w:insideH w:val="none" w:color="auto" w:sz="0"/>
          <w:insideV w:val="none" w:color="auto" w:sz="0"/>
        </w:tblBorders>
      </w:tblPr>
      <w:tblGrid>
        <w:gridCol w:w="13680"/>
      </w:tblGrid>
      <w:tr>
        <w:trPr>
          <w:cantSplit/>
        </w:trPr>
        <w:tc>
          <w:tcPr>
            <w:tcW w:type="dxa" w:w="13680"/>
            <w:shd w:fill="E0F2FE" w:color="auto" w:val="clear"/>
            <w:tcMar>
              <w:top w:type="dxa" w:w="110"/>
              <w:left w:type="dxa" w:w="190"/>
              <w:bottom w:type="dxa" w:w="110"/>
              <w:right w:type="dxa" w:w="190"/>
            </w:tcMar>
          </w:tcPr>
          <w:p>
            <w:pPr>
              <w:keepNext w:val="false"/>
              <w:spacing w:after="60" w:before="0" w:line="276"/>
              <w:jc w:val="left"/>
            </w:pPr>
            <w:r>
              <w:rPr>
                <w:rFonts w:ascii="JetBrains Mono" w:cs="JetBrains Mono" w:eastAsia="JetBrains Mono" w:hAnsi="JetBrains Mono"/>
                <w:b/>
                <w:bCs/>
                <w:i w:val="false"/>
                <w:iCs w:val="false"/>
                <w:caps/>
                <w:color w:val="0284C7"/>
                <w:spacing w:val="20"/>
                <w:sz w:val="14"/>
                <w:szCs w:val="14"/>
              </w:rPr>
              <w:t xml:space="preserve">NOTE</w:t>
            </w:r>
          </w:p>
          <w:p>
            <w:pPr>
              <w:keepNext w:val="false"/>
              <w:spacing w:after="0" w:before="0" w:line="252"/>
              <w:jc w:val="left"/>
            </w:pPr>
            <w:r>
              <w:rPr>
                <w:rFonts w:ascii="Sora" w:cs="Sora" w:eastAsia="Sora" w:hAnsi="Sora"/>
                <w:b w:val="false"/>
                <w:bCs w:val="false"/>
                <w:i w:val="false"/>
                <w:iCs w:val="false"/>
                <w:caps w:val="false"/>
                <w:color w:val="1A1B23"/>
                <w:sz w:val="18"/>
                <w:szCs w:val="18"/>
              </w:rPr>
              <w:t xml:space="preserve">What changed from the original four-category list: Category 05 is new and is the strongest unit in the portfolio. Category 06 is new and is the only unit that scales. Category 04 was rebuilt around a winnable buyer. Fractional CTO and RFP Evaluation were demoted from headline offers to an advisory tier. The "up to 40% cost reduction" claim was retired.</w:t>
            </w:r>
          </w:p>
        </w:tc>
      </w:tr>
    </w:tbl>
    <w:p>
      <w:r>
        <w:br w:type="page"/>
      </w:r>
    </w:p>
    <w:p>
      <w:pPr>
        <w:pStyle w:val="Heading1"/>
        <w:spacing w:after="0"/>
      </w:pPr>
      <w:r>
        <w:rPr>
          <w:rFonts w:ascii="Sora" w:cs="Sora" w:eastAsia="Sora" w:hAnsi="Sora"/>
          <w:b w:val="false"/>
          <w:bCs w:val="false"/>
          <w:i w:val="false"/>
          <w:iCs w:val="false"/>
          <w:caps w:val="false"/>
          <w:color w:val="1A1B23"/>
          <w:sz w:val="2"/>
          <w:szCs w:val="2"/>
        </w:rPr>
        <w:t xml:space="preserve">01 · AI Automation &amp; Business Systems</w:t>
      </w:r>
    </w:p>
    <w:tbl>
      <w:tblPr>
        <w:tblW w:type="dxa" w:w="13680"/>
        <w:tblBorders>
          <w:top w:val="none" w:color="auto" w:sz="0"/>
          <w:left w:val="single" w:color="5D3FD3" w:sz="24"/>
          <w:bottom w:val="none" w:color="auto" w:sz="0"/>
          <w:right w:val="none" w:color="auto" w:sz="0"/>
          <w:insideH w:val="none" w:color="auto" w:sz="0"/>
          <w:insideV w:val="none" w:color="auto" w:sz="0"/>
        </w:tblBorders>
      </w:tblPr>
      <w:tblGrid>
        <w:gridCol w:w="13680"/>
      </w:tblGrid>
      <w:tr>
        <w:trPr>
          <w:cantSplit/>
        </w:trPr>
        <w:tc>
          <w:tcPr>
            <w:tcW w:type="dxa" w:w="13680"/>
            <w:shd w:fill="EDE9FB" w:color="auto" w:val="clear"/>
            <w:tcMar>
              <w:top w:type="dxa" w:w="160"/>
              <w:left w:type="dxa" w:w="220"/>
              <w:bottom w:type="dxa" w:w="160"/>
              <w:right w:type="dxa" w:w="220"/>
            </w:tcMar>
          </w:tcPr>
          <w:p>
            <w:pPr>
              <w:keepNext w:val="false"/>
              <w:spacing w:after="40" w:before="0" w:line="276"/>
              <w:jc w:val="left"/>
            </w:pPr>
            <w:r>
              <w:rPr>
                <w:rFonts w:ascii="JetBrains Mono" w:cs="JetBrains Mono" w:eastAsia="JetBrains Mono" w:hAnsi="JetBrains Mono"/>
                <w:b/>
                <w:bCs/>
                <w:i w:val="false"/>
                <w:iCs w:val="false"/>
                <w:caps w:val="false"/>
                <w:color w:val="5D3FD3"/>
                <w:sz w:val="22"/>
                <w:szCs w:val="22"/>
              </w:rPr>
              <w:t xml:space="preserve">01  </w:t>
            </w:r>
            <w:r>
              <w:rPr>
                <w:rFonts w:ascii="Sora" w:cs="Sora" w:eastAsia="Sora" w:hAnsi="Sora"/>
                <w:b/>
                <w:bCs/>
                <w:i w:val="false"/>
                <w:iCs w:val="false"/>
                <w:caps w:val="false"/>
                <w:color w:val="1A1B23"/>
                <w:spacing w:val="-8"/>
                <w:sz w:val="30"/>
                <w:szCs w:val="30"/>
              </w:rPr>
              <w:t xml:space="preserve">AI Automation &amp; Business Systems</w:t>
            </w:r>
          </w:p>
          <w:p>
            <w:pPr>
              <w:keepNext w:val="false"/>
              <w:spacing w:after="0" w:before="0" w:line="276"/>
              <w:jc w:val="left"/>
            </w:pPr>
            <w:r>
              <w:rPr>
                <w:rFonts w:ascii="Sora" w:cs="Sora" w:eastAsia="Sora" w:hAnsi="Sora"/>
                <w:b w:val="false"/>
                <w:bCs w:val="false"/>
                <w:i/>
                <w:iCs/>
                <w:caps w:val="false"/>
                <w:color w:val="64748B"/>
                <w:sz w:val="18"/>
                <w:szCs w:val="18"/>
              </w:rPr>
              <w:t xml:space="preserve">Automatización con IA y Sistemas de Negocio</w:t>
            </w:r>
          </w:p>
        </w:tc>
      </w:tr>
    </w:tbl>
    <w:p>
      <w:pPr>
        <w:spacing w:after="160"/>
      </w:pPr>
    </w:p>
    <w:p>
      <w:pPr>
        <w:keepNext w:val="false"/>
        <w:spacing w:after="120" w:before="0" w:line="276"/>
        <w:jc w:val="left"/>
      </w:pPr>
      <w:r>
        <w:rPr>
          <w:rFonts w:ascii="Sora" w:cs="Sora" w:eastAsia="Sora" w:hAnsi="Sora"/>
          <w:b w:val="false"/>
          <w:bCs w:val="false"/>
          <w:i w:val="false"/>
          <w:iCs w:val="false"/>
          <w:caps w:val="false"/>
          <w:color w:val="1A1B23"/>
          <w:sz w:val="20"/>
          <w:szCs w:val="20"/>
        </w:rPr>
        <w:t xml:space="preserve">Positioning: the cash engine. Highest demand in the Mexican market, shortest sales cycle, PyME-sized approval with no purchasing committee. Mexico is WhatsApp-first — this is not a marketing channel, it is where business actually happens.</w:t>
      </w:r>
    </w:p>
    <w:tbl>
      <w:tblPr>
        <w:tblW w:type="dxa" w:w="13680"/>
        <w:tblBorders>
          <w:top w:val="single" w:color="DCDCE4" w:sz="2"/>
          <w:left w:val="single" w:color="DCDCE4" w:sz="2"/>
          <w:bottom w:val="single" w:color="DCDCE4" w:sz="2"/>
          <w:right w:val="single" w:color="DCDCE4" w:sz="2"/>
          <w:insideH w:val="single" w:color="DCDCE4" w:sz="2"/>
          <w:insideV w:val="single" w:color="DCDCE4" w:sz="2"/>
        </w:tblBorders>
      </w:tblPr>
      <w:tblGrid>
        <w:gridCol w:w="2000"/>
        <w:gridCol w:w="11680"/>
      </w:tblGrid>
      <w:tr>
        <w:trPr>
          <w:cantSplit/>
          <w:tblHeader/>
        </w:trPr>
        <w:tc>
          <w:tcPr>
            <w:tcW w:type="dxa" w:w="200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Dimension</w:t>
            </w:r>
          </w:p>
        </w:tc>
        <w:tc>
          <w:tcPr>
            <w:tcW w:type="dxa" w:w="1168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Definition</w:t>
            </w:r>
          </w:p>
        </w:tc>
      </w:tr>
      <w:tr>
        <w:trPr>
          <w:cantSplit/>
        </w:trPr>
        <w:tc>
          <w:tcPr>
            <w:tcW w:type="dxa" w:w="20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Buyer</w:t>
            </w:r>
          </w:p>
        </w:tc>
        <w:tc>
          <w:tcPr>
            <w:tcW w:type="dxa" w:w="1168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SME owner, sales director, operations manager. Company size 5 – 100 staff.</w:t>
            </w:r>
          </w:p>
        </w:tc>
      </w:tr>
      <w:tr>
        <w:trPr>
          <w:cantSplit/>
        </w:trPr>
        <w:tc>
          <w:tcPr>
            <w:tcW w:type="dxa" w:w="200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Trigger event</w:t>
            </w:r>
          </w:p>
        </w:tc>
        <w:tc>
          <w:tcPr>
            <w:tcW w:type="dxa" w:w="1168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Losing leads after hours · drowning in manual data entry · the team cannot find internal information.</w:t>
            </w:r>
          </w:p>
        </w:tc>
      </w:tr>
    </w:tbl>
    <w:p>
      <w:pPr>
        <w:spacing w:after="160"/>
      </w:pPr>
    </w:p>
    <w:tbl>
      <w:tblPr>
        <w:tblW w:type="dxa" w:w="13680"/>
        <w:tblBorders>
          <w:top w:val="single" w:color="DCDCE4" w:sz="2"/>
          <w:left w:val="single" w:color="DCDCE4" w:sz="2"/>
          <w:bottom w:val="single" w:color="DCDCE4" w:sz="2"/>
          <w:right w:val="single" w:color="DCDCE4" w:sz="2"/>
          <w:insideH w:val="single" w:color="DCDCE4" w:sz="2"/>
          <w:insideV w:val="single" w:color="DCDCE4" w:sz="2"/>
        </w:tblBorders>
      </w:tblPr>
      <w:tblGrid>
        <w:gridCol w:w="660"/>
        <w:gridCol w:w="3940"/>
        <w:gridCol w:w="2180"/>
        <w:gridCol w:w="3300"/>
        <w:gridCol w:w="1400"/>
        <w:gridCol w:w="860"/>
        <w:gridCol w:w="1340"/>
      </w:tblGrid>
      <w:tr>
        <w:trPr>
          <w:cantSplit/>
          <w:tblHeader/>
        </w:trPr>
        <w:tc>
          <w:tcPr>
            <w:tcW w:type="dxa" w:w="66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SKU</w:t>
            </w:r>
          </w:p>
        </w:tc>
        <w:tc>
          <w:tcPr>
            <w:tcW w:type="dxa" w:w="394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Micro-service</w:t>
            </w:r>
          </w:p>
        </w:tc>
        <w:tc>
          <w:tcPr>
            <w:tcW w:type="dxa" w:w="218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Nombre comercial (ES)</w:t>
            </w:r>
          </w:p>
        </w:tc>
        <w:tc>
          <w:tcPr>
            <w:tcW w:type="dxa" w:w="330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Outcome sold</w:t>
            </w:r>
          </w:p>
        </w:tc>
        <w:tc>
          <w:tcPr>
            <w:tcW w:type="dxa" w:w="140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Price (MXN)</w:t>
            </w:r>
          </w:p>
        </w:tc>
        <w:tc>
          <w:tcPr>
            <w:tcW w:type="dxa" w:w="86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Hrs</w:t>
            </w:r>
          </w:p>
        </w:tc>
        <w:tc>
          <w:tcPr>
            <w:tcW w:type="dxa" w:w="134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Model</w:t>
            </w:r>
          </w:p>
        </w:tc>
      </w:tr>
      <w:tr>
        <w:trPr>
          <w:cantSplit/>
        </w:trPr>
        <w:tc>
          <w:tcPr>
            <w:tcW w:type="dxa" w:w="66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A1</w:t>
            </w:r>
          </w:p>
        </w:tc>
        <w:tc>
          <w:tcPr>
            <w:tcW w:type="dxa" w:w="394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WhatsApp Lead Qualifier — automated agent answers FAQs, qualifies prospects, syncs to CRM</w:t>
            </w:r>
          </w:p>
        </w:tc>
        <w:tc>
          <w:tcPr>
            <w:tcW w:type="dxa" w:w="218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iCs/>
                <w:caps w:val="false"/>
                <w:color w:val="64748B"/>
                <w:sz w:val="17"/>
                <w:szCs w:val="17"/>
              </w:rPr>
              <w:t xml:space="preserve">Vendedor WhatsApp 24/7</w:t>
            </w:r>
          </w:p>
        </w:tc>
        <w:tc>
          <w:tcPr>
            <w:tcW w:type="dxa" w:w="33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Atiende y califica clientes aunque estés dormido</w:t>
            </w:r>
          </w:p>
        </w:tc>
        <w:tc>
          <w:tcPr>
            <w:tcW w:type="dxa" w:w="140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35,000</w:t>
            </w:r>
          </w:p>
        </w:tc>
        <w:tc>
          <w:tcPr>
            <w:tcW w:type="dxa" w:w="86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64748B"/>
                <w:sz w:val="17"/>
                <w:szCs w:val="17"/>
              </w:rPr>
              <w:t xml:space="preserve">25 h</w:t>
            </w:r>
          </w:p>
        </w:tc>
        <w:tc>
          <w:tcPr>
            <w:tcW w:type="dxa" w:w="134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0284C7"/>
                <w:sz w:val="17"/>
                <w:szCs w:val="17"/>
              </w:rPr>
              <w:t xml:space="preserve">HYB</w:t>
            </w:r>
          </w:p>
        </w:tc>
      </w:tr>
      <w:tr>
        <w:trPr>
          <w:cantSplit/>
        </w:trPr>
        <w:tc>
          <w:tcPr>
            <w:tcW w:type="dxa" w:w="66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A2</w:t>
            </w:r>
          </w:p>
        </w:tc>
        <w:tc>
          <w:tcPr>
            <w:tcW w:type="dxa" w:w="394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Invoice &amp; Document Extraction — parse CFDI 4.0 XML/PDF, receipts and forms into clean spreadsheets or ERP</w:t>
            </w:r>
          </w:p>
        </w:tc>
        <w:tc>
          <w:tcPr>
            <w:tcW w:type="dxa" w:w="218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iCs/>
                <w:caps w:val="false"/>
                <w:color w:val="64748B"/>
                <w:sz w:val="17"/>
                <w:szCs w:val="17"/>
              </w:rPr>
              <w:t xml:space="preserve">CFDI a Excel Automático</w:t>
            </w:r>
          </w:p>
        </w:tc>
        <w:tc>
          <w:tcPr>
            <w:tcW w:type="dxa" w:w="330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Elimina la captura manual de facturas</w:t>
            </w:r>
          </w:p>
        </w:tc>
        <w:tc>
          <w:tcPr>
            <w:tcW w:type="dxa" w:w="140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25,000</w:t>
            </w:r>
          </w:p>
        </w:tc>
        <w:tc>
          <w:tcPr>
            <w:tcW w:type="dxa" w:w="86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64748B"/>
                <w:sz w:val="17"/>
                <w:szCs w:val="17"/>
              </w:rPr>
              <w:t xml:space="preserve">18 h</w:t>
            </w:r>
          </w:p>
        </w:tc>
        <w:tc>
          <w:tcPr>
            <w:tcW w:type="dxa" w:w="134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0284C7"/>
                <w:sz w:val="17"/>
                <w:szCs w:val="17"/>
              </w:rPr>
              <w:t xml:space="preserve">HYB</w:t>
            </w:r>
          </w:p>
        </w:tc>
      </w:tr>
      <w:tr>
        <w:trPr>
          <w:cantSplit/>
        </w:trPr>
        <w:tc>
          <w:tcPr>
            <w:tcW w:type="dxa" w:w="66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A3</w:t>
            </w:r>
          </w:p>
        </w:tc>
        <w:tc>
          <w:tcPr>
            <w:tcW w:type="dxa" w:w="394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Internal Knowledge Base (RAG) — private search engine over manuals, policies and contracts</w:t>
            </w:r>
          </w:p>
        </w:tc>
        <w:tc>
          <w:tcPr>
            <w:tcW w:type="dxa" w:w="218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iCs/>
                <w:caps w:val="false"/>
                <w:color w:val="64748B"/>
                <w:sz w:val="17"/>
                <w:szCs w:val="17"/>
              </w:rPr>
              <w:t xml:space="preserve">Buscador Interno Inteligente</w:t>
            </w:r>
          </w:p>
        </w:tc>
        <w:tc>
          <w:tcPr>
            <w:tcW w:type="dxa" w:w="33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Tu equipo encuentra cualquier documento en 5 segundos</w:t>
            </w:r>
          </w:p>
        </w:tc>
        <w:tc>
          <w:tcPr>
            <w:tcW w:type="dxa" w:w="140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40,000</w:t>
            </w:r>
          </w:p>
        </w:tc>
        <w:tc>
          <w:tcPr>
            <w:tcW w:type="dxa" w:w="86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64748B"/>
                <w:sz w:val="17"/>
                <w:szCs w:val="17"/>
              </w:rPr>
              <w:t xml:space="preserve">28 h</w:t>
            </w:r>
          </w:p>
        </w:tc>
        <w:tc>
          <w:tcPr>
            <w:tcW w:type="dxa" w:w="134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0284C7"/>
                <w:sz w:val="17"/>
                <w:szCs w:val="17"/>
              </w:rPr>
              <w:t xml:space="preserve">HYB</w:t>
            </w:r>
          </w:p>
        </w:tc>
      </w:tr>
      <w:tr>
        <w:trPr>
          <w:cantSplit/>
        </w:trPr>
        <w:tc>
          <w:tcPr>
            <w:tcW w:type="dxa" w:w="66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A4</w:t>
            </w:r>
          </w:p>
        </w:tc>
        <w:tc>
          <w:tcPr>
            <w:tcW w:type="dxa" w:w="394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Custom Brand Assistant — LLM assistant trained on brand voice, catalogue and documents</w:t>
            </w:r>
          </w:p>
        </w:tc>
        <w:tc>
          <w:tcPr>
            <w:tcW w:type="dxa" w:w="218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iCs/>
                <w:caps w:val="false"/>
                <w:color w:val="64748B"/>
                <w:sz w:val="17"/>
                <w:szCs w:val="17"/>
              </w:rPr>
              <w:t xml:space="preserve">Asistente IA de Marca</w:t>
            </w:r>
          </w:p>
        </w:tc>
        <w:tc>
          <w:tcPr>
            <w:tcW w:type="dxa" w:w="330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Respuestas con tu voz de marca, sin contratar a nadie</w:t>
            </w:r>
          </w:p>
        </w:tc>
        <w:tc>
          <w:tcPr>
            <w:tcW w:type="dxa" w:w="140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38,000</w:t>
            </w:r>
          </w:p>
        </w:tc>
        <w:tc>
          <w:tcPr>
            <w:tcW w:type="dxa" w:w="86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64748B"/>
                <w:sz w:val="17"/>
                <w:szCs w:val="17"/>
              </w:rPr>
              <w:t xml:space="preserve">26 h</w:t>
            </w:r>
          </w:p>
        </w:tc>
        <w:tc>
          <w:tcPr>
            <w:tcW w:type="dxa" w:w="134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0284C7"/>
                <w:sz w:val="17"/>
                <w:szCs w:val="17"/>
              </w:rPr>
              <w:t xml:space="preserve">HYB</w:t>
            </w:r>
          </w:p>
        </w:tc>
      </w:tr>
      <w:tr>
        <w:trPr>
          <w:cantSplit/>
        </w:trPr>
        <w:tc>
          <w:tcPr>
            <w:tcW w:type="dxa" w:w="66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A5</w:t>
            </w:r>
          </w:p>
        </w:tc>
        <w:tc>
          <w:tcPr>
            <w:tcW w:type="dxa" w:w="394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Cross-Platform Automation Pipeline — connect MercadoPago, Clip, Conekta, CRM, Sheets and email via Make/n8n</w:t>
            </w:r>
          </w:p>
        </w:tc>
        <w:tc>
          <w:tcPr>
            <w:tcW w:type="dxa" w:w="218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iCs/>
                <w:caps w:val="false"/>
                <w:color w:val="64748B"/>
                <w:sz w:val="17"/>
                <w:szCs w:val="17"/>
              </w:rPr>
              <w:t xml:space="preserve">Conecta tus Sistemas</w:t>
            </w:r>
          </w:p>
        </w:tc>
        <w:tc>
          <w:tcPr>
            <w:tcW w:type="dxa" w:w="33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Tus herramientas dejan de estar aisladas</w:t>
            </w:r>
          </w:p>
        </w:tc>
        <w:tc>
          <w:tcPr>
            <w:tcW w:type="dxa" w:w="140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30,000</w:t>
            </w:r>
          </w:p>
        </w:tc>
        <w:tc>
          <w:tcPr>
            <w:tcW w:type="dxa" w:w="86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64748B"/>
                <w:sz w:val="17"/>
                <w:szCs w:val="17"/>
              </w:rPr>
              <w:t xml:space="preserve">20 h</w:t>
            </w:r>
          </w:p>
        </w:tc>
        <w:tc>
          <w:tcPr>
            <w:tcW w:type="dxa" w:w="134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0284C7"/>
                <w:sz w:val="17"/>
                <w:szCs w:val="17"/>
              </w:rPr>
              <w:t xml:space="preserve">ONE</w:t>
            </w:r>
          </w:p>
        </w:tc>
      </w:tr>
      <w:tr>
        <w:trPr>
          <w:cantSplit/>
        </w:trPr>
        <w:tc>
          <w:tcPr>
            <w:tcW w:type="dxa" w:w="66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A6</w:t>
            </w:r>
          </w:p>
        </w:tc>
        <w:tc>
          <w:tcPr>
            <w:tcW w:type="dxa" w:w="394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Automated Collections — payment reminders, payment links, receipt delivery</w:t>
            </w:r>
          </w:p>
        </w:tc>
        <w:tc>
          <w:tcPr>
            <w:tcW w:type="dxa" w:w="218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iCs/>
                <w:caps w:val="false"/>
                <w:color w:val="64748B"/>
                <w:sz w:val="17"/>
                <w:szCs w:val="17"/>
              </w:rPr>
              <w:t xml:space="preserve">Cobranza Automática</w:t>
            </w:r>
          </w:p>
        </w:tc>
        <w:tc>
          <w:tcPr>
            <w:tcW w:type="dxa" w:w="330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Cobra más rápido sin perseguir a nadie</w:t>
            </w:r>
          </w:p>
        </w:tc>
        <w:tc>
          <w:tcPr>
            <w:tcW w:type="dxa" w:w="140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30,000</w:t>
            </w:r>
          </w:p>
        </w:tc>
        <w:tc>
          <w:tcPr>
            <w:tcW w:type="dxa" w:w="86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64748B"/>
                <w:sz w:val="17"/>
                <w:szCs w:val="17"/>
              </w:rPr>
              <w:t xml:space="preserve">20 h</w:t>
            </w:r>
          </w:p>
        </w:tc>
        <w:tc>
          <w:tcPr>
            <w:tcW w:type="dxa" w:w="134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0284C7"/>
                <w:sz w:val="17"/>
                <w:szCs w:val="17"/>
              </w:rPr>
              <w:t xml:space="preserve">HYB</w:t>
            </w:r>
          </w:p>
        </w:tc>
      </w:tr>
      <w:tr>
        <w:trPr>
          <w:cantSplit/>
        </w:trPr>
        <w:tc>
          <w:tcPr>
            <w:tcW w:type="dxa" w:w="66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A7</w:t>
            </w:r>
          </w:p>
        </w:tc>
        <w:tc>
          <w:tcPr>
            <w:tcW w:type="dxa" w:w="394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Automation Care — monitoring, fixes, prompt tuning, model updates</w:t>
            </w:r>
          </w:p>
        </w:tc>
        <w:tc>
          <w:tcPr>
            <w:tcW w:type="dxa" w:w="218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iCs/>
                <w:caps w:val="false"/>
                <w:color w:val="64748B"/>
                <w:sz w:val="17"/>
                <w:szCs w:val="17"/>
              </w:rPr>
              <w:t xml:space="preserve">Mantenimiento de Automatizaciones</w:t>
            </w:r>
          </w:p>
        </w:tc>
        <w:tc>
          <w:tcPr>
            <w:tcW w:type="dxa" w:w="33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Tus automatizaciones siempre funcionando</w:t>
            </w:r>
          </w:p>
        </w:tc>
        <w:tc>
          <w:tcPr>
            <w:tcW w:type="dxa" w:w="140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6,000–15,000/mo</w:t>
            </w:r>
          </w:p>
        </w:tc>
        <w:tc>
          <w:tcPr>
            <w:tcW w:type="dxa" w:w="86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64748B"/>
                <w:sz w:val="17"/>
                <w:szCs w:val="17"/>
              </w:rPr>
              <w:t xml:space="preserve">4 h/mo</w:t>
            </w:r>
          </w:p>
        </w:tc>
        <w:tc>
          <w:tcPr>
            <w:tcW w:type="dxa" w:w="134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0284C7"/>
                <w:sz w:val="17"/>
                <w:szCs w:val="17"/>
              </w:rPr>
              <w:t xml:space="preserve">RET</w:t>
            </w:r>
          </w:p>
        </w:tc>
      </w:tr>
    </w:tbl>
    <w:p>
      <w:pPr>
        <w:spacing w:after="120"/>
      </w:pPr>
    </w:p>
    <w:tbl>
      <w:tblPr>
        <w:tblW w:type="dxa" w:w="13680"/>
        <w:tblBorders>
          <w:top w:val="none" w:color="auto" w:sz="0"/>
          <w:left w:val="single" w:color="0284C7" w:sz="18"/>
          <w:bottom w:val="none" w:color="auto" w:sz="0"/>
          <w:right w:val="none" w:color="auto" w:sz="0"/>
          <w:insideH w:val="none" w:color="auto" w:sz="0"/>
          <w:insideV w:val="none" w:color="auto" w:sz="0"/>
        </w:tblBorders>
      </w:tblPr>
      <w:tblGrid>
        <w:gridCol w:w="13680"/>
      </w:tblGrid>
      <w:tr>
        <w:trPr>
          <w:cantSplit/>
        </w:trPr>
        <w:tc>
          <w:tcPr>
            <w:tcW w:type="dxa" w:w="13680"/>
            <w:shd w:fill="E0F2FE" w:color="auto" w:val="clear"/>
            <w:tcMar>
              <w:top w:type="dxa" w:w="110"/>
              <w:left w:type="dxa" w:w="190"/>
              <w:bottom w:type="dxa" w:w="110"/>
              <w:right w:type="dxa" w:w="190"/>
            </w:tcMar>
          </w:tcPr>
          <w:p>
            <w:pPr>
              <w:keepNext w:val="false"/>
              <w:spacing w:after="60" w:before="0" w:line="276"/>
              <w:jc w:val="left"/>
            </w:pPr>
            <w:r>
              <w:rPr>
                <w:rFonts w:ascii="JetBrains Mono" w:cs="JetBrains Mono" w:eastAsia="JetBrains Mono" w:hAnsi="JetBrains Mono"/>
                <w:b/>
                <w:bCs/>
                <w:i w:val="false"/>
                <w:iCs w:val="false"/>
                <w:caps/>
                <w:color w:val="0284C7"/>
                <w:spacing w:val="20"/>
                <w:sz w:val="14"/>
                <w:szCs w:val="14"/>
              </w:rPr>
              <w:t xml:space="preserve">NOTE</w:t>
            </w:r>
          </w:p>
          <w:p>
            <w:pPr>
              <w:keepNext w:val="false"/>
              <w:spacing w:after="0" w:before="0" w:line="252"/>
              <w:jc w:val="left"/>
            </w:pPr>
            <w:r>
              <w:rPr>
                <w:rFonts w:ascii="Sora" w:cs="Sora" w:eastAsia="Sora" w:hAnsi="Sora"/>
                <w:b w:val="false"/>
                <w:bCs w:val="false"/>
                <w:i w:val="false"/>
                <w:iCs w:val="false"/>
                <w:caps w:val="false"/>
                <w:color w:val="1A1B23"/>
                <w:sz w:val="18"/>
                <w:szCs w:val="18"/>
              </w:rPr>
              <w:t xml:space="preserve">A2 (CFDI parsing) is the strongest horizontal wedge in the portfolio: every registered company in Mexico has this pain, the format is standardised, and the solution is largely reusable across clients — it productises directly into SKU D3. Two rules for this category: payment-stack references must be MercadoPago, Clip, Conekta and Facturama, never Stripe; and every SKU must attach A7 at close — retainer attach rate is the primary KPI for this unit.</w:t>
            </w:r>
          </w:p>
        </w:tc>
      </w:tr>
    </w:tbl>
    <w:p>
      <w:r>
        <w:br w:type="page"/>
      </w:r>
    </w:p>
    <w:p>
      <w:pPr>
        <w:pStyle w:val="Heading1"/>
        <w:spacing w:after="0"/>
      </w:pPr>
      <w:r>
        <w:rPr>
          <w:rFonts w:ascii="Sora" w:cs="Sora" w:eastAsia="Sora" w:hAnsi="Sora"/>
          <w:b w:val="false"/>
          <w:bCs w:val="false"/>
          <w:i w:val="false"/>
          <w:iCs w:val="false"/>
          <w:caps w:val="false"/>
          <w:color w:val="1A1B23"/>
          <w:sz w:val="2"/>
          <w:szCs w:val="2"/>
        </w:rPr>
        <w:t xml:space="preserve">02 · Data Compliance &amp; IT Governance</w:t>
      </w:r>
    </w:p>
    <w:tbl>
      <w:tblPr>
        <w:tblW w:type="dxa" w:w="13680"/>
        <w:tblBorders>
          <w:top w:val="none" w:color="auto" w:sz="0"/>
          <w:left w:val="single" w:color="5D3FD3" w:sz="24"/>
          <w:bottom w:val="none" w:color="auto" w:sz="0"/>
          <w:right w:val="none" w:color="auto" w:sz="0"/>
          <w:insideH w:val="none" w:color="auto" w:sz="0"/>
          <w:insideV w:val="none" w:color="auto" w:sz="0"/>
        </w:tblBorders>
      </w:tblPr>
      <w:tblGrid>
        <w:gridCol w:w="13680"/>
      </w:tblGrid>
      <w:tr>
        <w:trPr>
          <w:cantSplit/>
        </w:trPr>
        <w:tc>
          <w:tcPr>
            <w:tcW w:type="dxa" w:w="13680"/>
            <w:shd w:fill="EDE9FB" w:color="auto" w:val="clear"/>
            <w:tcMar>
              <w:top w:type="dxa" w:w="160"/>
              <w:left w:type="dxa" w:w="220"/>
              <w:bottom w:type="dxa" w:w="160"/>
              <w:right w:type="dxa" w:w="220"/>
            </w:tcMar>
          </w:tcPr>
          <w:p>
            <w:pPr>
              <w:keepNext w:val="false"/>
              <w:spacing w:after="40" w:before="0" w:line="276"/>
              <w:jc w:val="left"/>
            </w:pPr>
            <w:r>
              <w:rPr>
                <w:rFonts w:ascii="JetBrains Mono" w:cs="JetBrains Mono" w:eastAsia="JetBrains Mono" w:hAnsi="JetBrains Mono"/>
                <w:b/>
                <w:bCs/>
                <w:i w:val="false"/>
                <w:iCs w:val="false"/>
                <w:caps w:val="false"/>
                <w:color w:val="5D3FD3"/>
                <w:sz w:val="22"/>
                <w:szCs w:val="22"/>
              </w:rPr>
              <w:t xml:space="preserve">02  </w:t>
            </w:r>
            <w:r>
              <w:rPr>
                <w:rFonts w:ascii="Sora" w:cs="Sora" w:eastAsia="Sora" w:hAnsi="Sora"/>
                <w:b/>
                <w:bCs/>
                <w:i w:val="false"/>
                <w:iCs w:val="false"/>
                <w:caps w:val="false"/>
                <w:color w:val="1A1B23"/>
                <w:spacing w:val="-8"/>
                <w:sz w:val="30"/>
                <w:szCs w:val="30"/>
              </w:rPr>
              <w:t xml:space="preserve">Data Compliance &amp; IT Governance</w:t>
            </w:r>
          </w:p>
          <w:p>
            <w:pPr>
              <w:keepNext w:val="false"/>
              <w:spacing w:after="0" w:before="0" w:line="276"/>
              <w:jc w:val="left"/>
            </w:pPr>
            <w:r>
              <w:rPr>
                <w:rFonts w:ascii="Sora" w:cs="Sora" w:eastAsia="Sora" w:hAnsi="Sora"/>
                <w:b w:val="false"/>
                <w:bCs w:val="false"/>
                <w:i/>
                <w:iCs/>
                <w:caps w:val="false"/>
                <w:color w:val="64748B"/>
                <w:sz w:val="18"/>
                <w:szCs w:val="18"/>
              </w:rPr>
              <w:t xml:space="preserve">Cumplimiento de Datos y Gobernanza de TI</w:t>
            </w:r>
          </w:p>
        </w:tc>
      </w:tr>
    </w:tbl>
    <w:p>
      <w:pPr>
        <w:spacing w:after="160"/>
      </w:pPr>
    </w:p>
    <w:p>
      <w:pPr>
        <w:keepNext w:val="false"/>
        <w:spacing w:after="120" w:before="0" w:line="276"/>
        <w:jc w:val="left"/>
      </w:pPr>
      <w:r>
        <w:rPr>
          <w:rFonts w:ascii="Sora" w:cs="Sora" w:eastAsia="Sora" w:hAnsi="Sora"/>
          <w:b w:val="false"/>
          <w:bCs w:val="false"/>
          <w:i w:val="false"/>
          <w:iCs w:val="false"/>
          <w:caps w:val="false"/>
          <w:color w:val="1A1B23"/>
          <w:sz w:val="20"/>
          <w:szCs w:val="20"/>
        </w:rPr>
        <w:t xml:space="preserve">Positioning: the tripwire. This is not a profit centre — it is a customer acquisition channel that produces a paid audience and a documented list of their problems.</w:t>
      </w:r>
    </w:p>
    <w:p>
      <w:pPr>
        <w:keepNext w:val="false"/>
        <w:spacing w:after="120" w:before="0" w:line="276"/>
        <w:jc w:val="left"/>
      </w:pPr>
      <w:r>
        <w:rPr>
          <w:rFonts w:ascii="Sora" w:cs="Sora" w:eastAsia="Sora" w:hAnsi="Sora"/>
          <w:b w:val="false"/>
          <w:bCs w:val="false"/>
          <w:i w:val="false"/>
          <w:iCs w:val="false"/>
          <w:caps w:val="false"/>
          <w:color w:val="1A1B23"/>
          <w:sz w:val="20"/>
          <w:szCs w:val="20"/>
        </w:rPr>
        <w:t xml:space="preserve">Timing advantage: a new LFPDPPP was published on 20 March 2025 and took effect on 21 March 2025, repealing the 2010 law. INAI was dissolved and oversight moved to the Secretaría Anticorrupción y Buen Gobierno. The definition of responsable expanded to include processors, and aviso de privacidad requirements changed. Effectively every PyME in Mexico is now out of compliance and unaware of it. This window will not stay open.</w:t>
      </w:r>
    </w:p>
    <w:p>
      <w:pPr>
        <w:spacing w:after="40"/>
      </w:pPr>
    </w:p>
    <w:tbl>
      <w:tblPr>
        <w:tblW w:type="dxa" w:w="13680"/>
        <w:tblBorders>
          <w:top w:val="single" w:color="DCDCE4" w:sz="2"/>
          <w:left w:val="single" w:color="DCDCE4" w:sz="2"/>
          <w:bottom w:val="single" w:color="DCDCE4" w:sz="2"/>
          <w:right w:val="single" w:color="DCDCE4" w:sz="2"/>
          <w:insideH w:val="single" w:color="DCDCE4" w:sz="2"/>
          <w:insideV w:val="single" w:color="DCDCE4" w:sz="2"/>
        </w:tblBorders>
      </w:tblPr>
      <w:tblGrid>
        <w:gridCol w:w="2000"/>
        <w:gridCol w:w="11680"/>
      </w:tblGrid>
      <w:tr>
        <w:trPr>
          <w:cantSplit/>
          <w:tblHeader/>
        </w:trPr>
        <w:tc>
          <w:tcPr>
            <w:tcW w:type="dxa" w:w="200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Dimension</w:t>
            </w:r>
          </w:p>
        </w:tc>
        <w:tc>
          <w:tcPr>
            <w:tcW w:type="dxa" w:w="1168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Definition</w:t>
            </w:r>
          </w:p>
        </w:tc>
      </w:tr>
      <w:tr>
        <w:trPr>
          <w:cantSplit/>
        </w:trPr>
        <w:tc>
          <w:tcPr>
            <w:tcW w:type="dxa" w:w="20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Buyer</w:t>
            </w:r>
          </w:p>
        </w:tc>
        <w:tc>
          <w:tcPr>
            <w:tcW w:type="dxa" w:w="1168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Director general, legal or administrative lead. Any company holding customer data.</w:t>
            </w:r>
          </w:p>
        </w:tc>
      </w:tr>
      <w:tr>
        <w:trPr>
          <w:cantSplit/>
        </w:trPr>
        <w:tc>
          <w:tcPr>
            <w:tcW w:type="dxa" w:w="200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Trigger event</w:t>
            </w:r>
          </w:p>
        </w:tc>
        <w:tc>
          <w:tcPr>
            <w:tcW w:type="dxa" w:w="1168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Awareness of the new law · a client or supplier demanded a compliance statement · a data incident.</w:t>
            </w:r>
          </w:p>
        </w:tc>
      </w:tr>
    </w:tbl>
    <w:p>
      <w:pPr>
        <w:spacing w:after="160"/>
      </w:pPr>
    </w:p>
    <w:tbl>
      <w:tblPr>
        <w:tblW w:type="dxa" w:w="13680"/>
        <w:tblBorders>
          <w:top w:val="single" w:color="DCDCE4" w:sz="2"/>
          <w:left w:val="single" w:color="DCDCE4" w:sz="2"/>
          <w:bottom w:val="single" w:color="DCDCE4" w:sz="2"/>
          <w:right w:val="single" w:color="DCDCE4" w:sz="2"/>
          <w:insideH w:val="single" w:color="DCDCE4" w:sz="2"/>
          <w:insideV w:val="single" w:color="DCDCE4" w:sz="2"/>
        </w:tblBorders>
      </w:tblPr>
      <w:tblGrid>
        <w:gridCol w:w="660"/>
        <w:gridCol w:w="3940"/>
        <w:gridCol w:w="2180"/>
        <w:gridCol w:w="3300"/>
        <w:gridCol w:w="1400"/>
        <w:gridCol w:w="860"/>
        <w:gridCol w:w="1340"/>
      </w:tblGrid>
      <w:tr>
        <w:trPr>
          <w:cantSplit/>
          <w:tblHeader/>
        </w:trPr>
        <w:tc>
          <w:tcPr>
            <w:tcW w:type="dxa" w:w="66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SKU</w:t>
            </w:r>
          </w:p>
        </w:tc>
        <w:tc>
          <w:tcPr>
            <w:tcW w:type="dxa" w:w="394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Micro-service</w:t>
            </w:r>
          </w:p>
        </w:tc>
        <w:tc>
          <w:tcPr>
            <w:tcW w:type="dxa" w:w="218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Nombre comercial (ES)</w:t>
            </w:r>
          </w:p>
        </w:tc>
        <w:tc>
          <w:tcPr>
            <w:tcW w:type="dxa" w:w="330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Outcome sold</w:t>
            </w:r>
          </w:p>
        </w:tc>
        <w:tc>
          <w:tcPr>
            <w:tcW w:type="dxa" w:w="140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Price (MXN)</w:t>
            </w:r>
          </w:p>
        </w:tc>
        <w:tc>
          <w:tcPr>
            <w:tcW w:type="dxa" w:w="86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Hrs</w:t>
            </w:r>
          </w:p>
        </w:tc>
        <w:tc>
          <w:tcPr>
            <w:tcW w:type="dxa" w:w="134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Model</w:t>
            </w:r>
          </w:p>
        </w:tc>
      </w:tr>
      <w:tr>
        <w:trPr>
          <w:cantSplit/>
        </w:trPr>
        <w:tc>
          <w:tcPr>
            <w:tcW w:type="dxa" w:w="660"/>
            <w:shd w:fill="EDE9FB"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C1</w:t>
            </w:r>
          </w:p>
        </w:tc>
        <w:tc>
          <w:tcPr>
            <w:tcW w:type="dxa" w:w="3940"/>
            <w:shd w:fill="EDE9FB"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LFPDPPP 2025 Diagnostic — 20-point compliance scorecard with risk rating</w:t>
            </w:r>
          </w:p>
        </w:tc>
        <w:tc>
          <w:tcPr>
            <w:tcW w:type="dxa" w:w="2180"/>
            <w:shd w:fill="EDE9FB"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iCs/>
                <w:caps w:val="false"/>
                <w:color w:val="64748B"/>
                <w:sz w:val="17"/>
                <w:szCs w:val="17"/>
              </w:rPr>
              <w:t xml:space="preserve">Diagnóstico LFPDPPP 2025</w:t>
            </w:r>
          </w:p>
        </w:tc>
        <w:tc>
          <w:tcPr>
            <w:tcW w:type="dxa" w:w="3300"/>
            <w:shd w:fill="EDE9FB"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Descubre tu exposición legal en 5 días</w:t>
            </w:r>
          </w:p>
        </w:tc>
        <w:tc>
          <w:tcPr>
            <w:tcW w:type="dxa" w:w="1400"/>
            <w:shd w:fill="EDE9FB"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8,000</w:t>
            </w:r>
          </w:p>
        </w:tc>
        <w:tc>
          <w:tcPr>
            <w:tcW w:type="dxa" w:w="860"/>
            <w:shd w:fill="EDE9FB"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64748B"/>
                <w:sz w:val="17"/>
                <w:szCs w:val="17"/>
              </w:rPr>
              <w:t xml:space="preserve">5 h</w:t>
            </w:r>
          </w:p>
        </w:tc>
        <w:tc>
          <w:tcPr>
            <w:tcW w:type="dxa" w:w="1340"/>
            <w:shd w:fill="EDE9FB"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TRIPWIRE</w:t>
            </w:r>
          </w:p>
        </w:tc>
      </w:tr>
      <w:tr>
        <w:trPr>
          <w:cantSplit/>
        </w:trPr>
        <w:tc>
          <w:tcPr>
            <w:tcW w:type="dxa" w:w="66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C2</w:t>
            </w:r>
          </w:p>
        </w:tc>
        <w:tc>
          <w:tcPr>
            <w:tcW w:type="dxa" w:w="394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Privacy Notice Rebuild — aviso de privacidad rewritten to the 2025 law and implemented on the site</w:t>
            </w:r>
          </w:p>
        </w:tc>
        <w:tc>
          <w:tcPr>
            <w:tcW w:type="dxa" w:w="218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iCs/>
                <w:caps w:val="false"/>
                <w:color w:val="64748B"/>
                <w:sz w:val="17"/>
                <w:szCs w:val="17"/>
              </w:rPr>
              <w:t xml:space="preserve">Aviso de Privacidad 2025</w:t>
            </w:r>
          </w:p>
        </w:tc>
        <w:tc>
          <w:tcPr>
            <w:tcW w:type="dxa" w:w="330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Cumple con la nueva ley, publicado y funcionando</w:t>
            </w:r>
          </w:p>
        </w:tc>
        <w:tc>
          <w:tcPr>
            <w:tcW w:type="dxa" w:w="140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15,000</w:t>
            </w:r>
          </w:p>
        </w:tc>
        <w:tc>
          <w:tcPr>
            <w:tcW w:type="dxa" w:w="86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64748B"/>
                <w:sz w:val="17"/>
                <w:szCs w:val="17"/>
              </w:rPr>
              <w:t xml:space="preserve">8 h</w:t>
            </w:r>
          </w:p>
        </w:tc>
        <w:tc>
          <w:tcPr>
            <w:tcW w:type="dxa" w:w="134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0284C7"/>
                <w:sz w:val="17"/>
                <w:szCs w:val="17"/>
              </w:rPr>
              <w:t xml:space="preserve">ONE</w:t>
            </w:r>
          </w:p>
        </w:tc>
      </w:tr>
      <w:tr>
        <w:trPr>
          <w:cantSplit/>
        </w:trPr>
        <w:tc>
          <w:tcPr>
            <w:tcW w:type="dxa" w:w="66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C3</w:t>
            </w:r>
          </w:p>
        </w:tc>
        <w:tc>
          <w:tcPr>
            <w:tcW w:type="dxa" w:w="394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Data Remediation Project — consent flows, retention policy, ARCO request handling, architecture fixes</w:t>
            </w:r>
          </w:p>
        </w:tc>
        <w:tc>
          <w:tcPr>
            <w:tcW w:type="dxa" w:w="218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iCs/>
                <w:caps w:val="false"/>
                <w:color w:val="64748B"/>
                <w:sz w:val="17"/>
                <w:szCs w:val="17"/>
              </w:rPr>
              <w:t xml:space="preserve">Remediación de Datos Personales</w:t>
            </w:r>
          </w:p>
        </w:tc>
        <w:tc>
          <w:tcPr>
            <w:tcW w:type="dxa" w:w="33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De hallazgos a cumplimiento real</w:t>
            </w:r>
          </w:p>
        </w:tc>
        <w:tc>
          <w:tcPr>
            <w:tcW w:type="dxa" w:w="140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45,000</w:t>
            </w:r>
          </w:p>
        </w:tc>
        <w:tc>
          <w:tcPr>
            <w:tcW w:type="dxa" w:w="86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64748B"/>
                <w:sz w:val="17"/>
                <w:szCs w:val="17"/>
              </w:rPr>
              <w:t xml:space="preserve">30 h</w:t>
            </w:r>
          </w:p>
        </w:tc>
        <w:tc>
          <w:tcPr>
            <w:tcW w:type="dxa" w:w="134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0284C7"/>
                <w:sz w:val="17"/>
                <w:szCs w:val="17"/>
              </w:rPr>
              <w:t xml:space="preserve">ONE</w:t>
            </w:r>
          </w:p>
        </w:tc>
      </w:tr>
      <w:tr>
        <w:trPr>
          <w:cantSplit/>
        </w:trPr>
        <w:tc>
          <w:tcPr>
            <w:tcW w:type="dxa" w:w="660"/>
            <w:shd w:fill="EDE9FB"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C4</w:t>
            </w:r>
          </w:p>
        </w:tc>
        <w:tc>
          <w:tcPr>
            <w:tcW w:type="dxa" w:w="3940"/>
            <w:shd w:fill="EDE9FB"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Software Stack Audit — eliminate duplicate SaaS licences and subscription waste</w:t>
            </w:r>
          </w:p>
        </w:tc>
        <w:tc>
          <w:tcPr>
            <w:tcW w:type="dxa" w:w="2180"/>
            <w:shd w:fill="EDE9FB"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iCs/>
                <w:caps w:val="false"/>
                <w:color w:val="64748B"/>
                <w:sz w:val="17"/>
                <w:szCs w:val="17"/>
              </w:rPr>
              <w:t xml:space="preserve">Auditoría de Suscripciones</w:t>
            </w:r>
          </w:p>
        </w:tc>
        <w:tc>
          <w:tcPr>
            <w:tcW w:type="dxa" w:w="3300"/>
            <w:shd w:fill="EDE9FB"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Recupera lo que pagas de más cada mes</w:t>
            </w:r>
          </w:p>
        </w:tc>
        <w:tc>
          <w:tcPr>
            <w:tcW w:type="dxa" w:w="1400"/>
            <w:shd w:fill="EDE9FB"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10,000</w:t>
            </w:r>
          </w:p>
        </w:tc>
        <w:tc>
          <w:tcPr>
            <w:tcW w:type="dxa" w:w="860"/>
            <w:shd w:fill="EDE9FB"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64748B"/>
                <w:sz w:val="17"/>
                <w:szCs w:val="17"/>
              </w:rPr>
              <w:t xml:space="preserve">6 h</w:t>
            </w:r>
          </w:p>
        </w:tc>
        <w:tc>
          <w:tcPr>
            <w:tcW w:type="dxa" w:w="1340"/>
            <w:shd w:fill="EDE9FB"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TRIPWIRE</w:t>
            </w:r>
          </w:p>
        </w:tc>
      </w:tr>
      <w:tr>
        <w:trPr>
          <w:cantSplit/>
        </w:trPr>
        <w:tc>
          <w:tcPr>
            <w:tcW w:type="dxa" w:w="66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C5</w:t>
            </w:r>
          </w:p>
        </w:tc>
        <w:tc>
          <w:tcPr>
            <w:tcW w:type="dxa" w:w="394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Digital Transformation Roadmap — paper and spreadsheets to automated platforms, phased and costed</w:t>
            </w:r>
          </w:p>
        </w:tc>
        <w:tc>
          <w:tcPr>
            <w:tcW w:type="dxa" w:w="218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iCs/>
                <w:caps w:val="false"/>
                <w:color w:val="64748B"/>
                <w:sz w:val="17"/>
                <w:szCs w:val="17"/>
              </w:rPr>
              <w:t xml:space="preserve">Ruta de Transformación Digital</w:t>
            </w:r>
          </w:p>
        </w:tc>
        <w:tc>
          <w:tcPr>
            <w:tcW w:type="dxa" w:w="33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Un plan por fases, con costos y prioridades</w:t>
            </w:r>
          </w:p>
        </w:tc>
        <w:tc>
          <w:tcPr>
            <w:tcW w:type="dxa" w:w="140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35,000</w:t>
            </w:r>
          </w:p>
        </w:tc>
        <w:tc>
          <w:tcPr>
            <w:tcW w:type="dxa" w:w="86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64748B"/>
                <w:sz w:val="17"/>
                <w:szCs w:val="17"/>
              </w:rPr>
              <w:t xml:space="preserve">22 h</w:t>
            </w:r>
          </w:p>
        </w:tc>
        <w:tc>
          <w:tcPr>
            <w:tcW w:type="dxa" w:w="134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0284C7"/>
                <w:sz w:val="17"/>
                <w:szCs w:val="17"/>
              </w:rPr>
              <w:t xml:space="preserve">ONE</w:t>
            </w:r>
          </w:p>
        </w:tc>
      </w:tr>
      <w:tr>
        <w:trPr>
          <w:cantSplit/>
        </w:trPr>
        <w:tc>
          <w:tcPr>
            <w:tcW w:type="dxa" w:w="66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C6</w:t>
            </w:r>
          </w:p>
        </w:tc>
        <w:tc>
          <w:tcPr>
            <w:tcW w:type="dxa" w:w="394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Annual Compliance Review</w:t>
            </w:r>
          </w:p>
        </w:tc>
        <w:tc>
          <w:tcPr>
            <w:tcW w:type="dxa" w:w="218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iCs/>
                <w:caps w:val="false"/>
                <w:color w:val="64748B"/>
                <w:sz w:val="17"/>
                <w:szCs w:val="17"/>
              </w:rPr>
              <w:t xml:space="preserve">Revisión Anual de Cumplimiento</w:t>
            </w:r>
          </w:p>
        </w:tc>
        <w:tc>
          <w:tcPr>
            <w:tcW w:type="dxa" w:w="330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Mantente en cumplimiento año con año</w:t>
            </w:r>
          </w:p>
        </w:tc>
        <w:tc>
          <w:tcPr>
            <w:tcW w:type="dxa" w:w="140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18,000/yr</w:t>
            </w:r>
          </w:p>
        </w:tc>
        <w:tc>
          <w:tcPr>
            <w:tcW w:type="dxa" w:w="86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64748B"/>
                <w:sz w:val="17"/>
                <w:szCs w:val="17"/>
              </w:rPr>
              <w:t xml:space="preserve">8 h</w:t>
            </w:r>
          </w:p>
        </w:tc>
        <w:tc>
          <w:tcPr>
            <w:tcW w:type="dxa" w:w="134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0284C7"/>
                <w:sz w:val="17"/>
                <w:szCs w:val="17"/>
              </w:rPr>
              <w:t xml:space="preserve">RET</w:t>
            </w:r>
          </w:p>
        </w:tc>
      </w:tr>
    </w:tbl>
    <w:p>
      <w:pPr>
        <w:spacing w:after="180"/>
      </w:pPr>
    </w:p>
    <w:p>
      <w:pPr>
        <w:keepNext/>
        <w:spacing w:after="60" w:before="0" w:line="276"/>
        <w:jc w:val="left"/>
      </w:pPr>
      <w:r>
        <w:rPr>
          <w:rFonts w:ascii="Sora" w:cs="Sora" w:eastAsia="Sora" w:hAnsi="Sora"/>
          <w:b/>
          <w:bCs/>
          <w:i w:val="false"/>
          <w:iCs w:val="false"/>
          <w:caps w:val="false"/>
          <w:color w:val="1A1B23"/>
          <w:spacing w:val="-8"/>
          <w:sz w:val="22"/>
          <w:szCs w:val="22"/>
        </w:rPr>
        <w:t xml:space="preserve">02-ADV · Advisory Tier — existing clients only</w:t>
      </w:r>
    </w:p>
    <w:p>
      <w:pPr>
        <w:keepNext/>
        <w:spacing w:after="120" w:before="0" w:line="276"/>
        <w:jc w:val="left"/>
      </w:pPr>
      <w:r>
        <w:rPr>
          <w:rFonts w:ascii="Sora" w:cs="Sora" w:eastAsia="Sora" w:hAnsi="Sora"/>
          <w:b w:val="false"/>
          <w:bCs w:val="false"/>
          <w:i/>
          <w:iCs/>
          <w:caps w:val="false"/>
          <w:color w:val="64748B"/>
          <w:sz w:val="19"/>
          <w:szCs w:val="19"/>
        </w:rPr>
        <w:t xml:space="preserve">These are reputation sales. They convert only after delivered work has established authority. Do not market them cold — as lead-generation offers they will not close.</w:t>
      </w:r>
    </w:p>
    <w:p>
      <w:pPr>
        <w:spacing w:after="60"/>
      </w:pPr>
    </w:p>
    <w:tbl>
      <w:tblPr>
        <w:tblW w:type="dxa" w:w="13680"/>
        <w:tblBorders>
          <w:top w:val="single" w:color="DCDCE4" w:sz="2"/>
          <w:left w:val="single" w:color="DCDCE4" w:sz="2"/>
          <w:bottom w:val="single" w:color="DCDCE4" w:sz="2"/>
          <w:right w:val="single" w:color="DCDCE4" w:sz="2"/>
          <w:insideH w:val="single" w:color="DCDCE4" w:sz="2"/>
          <w:insideV w:val="single" w:color="DCDCE4" w:sz="2"/>
        </w:tblBorders>
      </w:tblPr>
      <w:tblGrid>
        <w:gridCol w:w="660"/>
        <w:gridCol w:w="3940"/>
        <w:gridCol w:w="2180"/>
        <w:gridCol w:w="3300"/>
        <w:gridCol w:w="1400"/>
        <w:gridCol w:w="860"/>
        <w:gridCol w:w="1340"/>
      </w:tblGrid>
      <w:tr>
        <w:trPr>
          <w:cantSplit/>
          <w:tblHeader/>
        </w:trPr>
        <w:tc>
          <w:tcPr>
            <w:tcW w:type="dxa" w:w="66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SKU</w:t>
            </w:r>
          </w:p>
        </w:tc>
        <w:tc>
          <w:tcPr>
            <w:tcW w:type="dxa" w:w="394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Micro-service</w:t>
            </w:r>
          </w:p>
        </w:tc>
        <w:tc>
          <w:tcPr>
            <w:tcW w:type="dxa" w:w="218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Nombre comercial (ES)</w:t>
            </w:r>
          </w:p>
        </w:tc>
        <w:tc>
          <w:tcPr>
            <w:tcW w:type="dxa" w:w="330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Outcome sold</w:t>
            </w:r>
          </w:p>
        </w:tc>
        <w:tc>
          <w:tcPr>
            <w:tcW w:type="dxa" w:w="140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Price (MXN)</w:t>
            </w:r>
          </w:p>
        </w:tc>
        <w:tc>
          <w:tcPr>
            <w:tcW w:type="dxa" w:w="86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Hrs</w:t>
            </w:r>
          </w:p>
        </w:tc>
        <w:tc>
          <w:tcPr>
            <w:tcW w:type="dxa" w:w="134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Model</w:t>
            </w:r>
          </w:p>
        </w:tc>
      </w:tr>
      <w:tr>
        <w:trPr>
          <w:cantSplit/>
        </w:trPr>
        <w:tc>
          <w:tcPr>
            <w:tcW w:type="dxa" w:w="66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C7</w:t>
            </w:r>
          </w:p>
        </w:tc>
        <w:tc>
          <w:tcPr>
            <w:tcW w:type="dxa" w:w="394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Fractional CTO — part-time technical leadership, roadmap and hiring guidance</w:t>
            </w:r>
          </w:p>
        </w:tc>
        <w:tc>
          <w:tcPr>
            <w:tcW w:type="dxa" w:w="218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iCs/>
                <w:caps w:val="false"/>
                <w:color w:val="64748B"/>
                <w:sz w:val="17"/>
                <w:szCs w:val="17"/>
              </w:rPr>
              <w:t xml:space="preserve">CTO por Horas</w:t>
            </w:r>
          </w:p>
        </w:tc>
        <w:tc>
          <w:tcPr>
            <w:tcW w:type="dxa" w:w="33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Liderazgo técnico senior sin una plaza de tiempo completo</w:t>
            </w:r>
          </w:p>
        </w:tc>
        <w:tc>
          <w:tcPr>
            <w:tcW w:type="dxa" w:w="140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35,000–60,000/mo</w:t>
            </w:r>
          </w:p>
        </w:tc>
        <w:tc>
          <w:tcPr>
            <w:tcW w:type="dxa" w:w="86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64748B"/>
                <w:sz w:val="17"/>
                <w:szCs w:val="17"/>
              </w:rPr>
              <w:t xml:space="preserve">20 h/mo</w:t>
            </w:r>
          </w:p>
        </w:tc>
        <w:tc>
          <w:tcPr>
            <w:tcW w:type="dxa" w:w="134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0284C7"/>
                <w:sz w:val="17"/>
                <w:szCs w:val="17"/>
              </w:rPr>
              <w:t xml:space="preserve">ADV</w:t>
            </w:r>
          </w:p>
        </w:tc>
      </w:tr>
      <w:tr>
        <w:trPr>
          <w:cantSplit/>
        </w:trPr>
        <w:tc>
          <w:tcPr>
            <w:tcW w:type="dxa" w:w="66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C8</w:t>
            </w:r>
          </w:p>
        </w:tc>
        <w:tc>
          <w:tcPr>
            <w:tcW w:type="dxa" w:w="394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Vendor &amp; RFP Evaluation — independent review of third-party software bids</w:t>
            </w:r>
          </w:p>
        </w:tc>
        <w:tc>
          <w:tcPr>
            <w:tcW w:type="dxa" w:w="218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iCs/>
                <w:caps w:val="false"/>
                <w:color w:val="64748B"/>
                <w:sz w:val="17"/>
                <w:szCs w:val="17"/>
              </w:rPr>
              <w:t xml:space="preserve">Evaluación de Proveedores</w:t>
            </w:r>
          </w:p>
        </w:tc>
        <w:tc>
          <w:tcPr>
            <w:tcW w:type="dxa" w:w="330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Un experto independiente revisa las propuestas por ti</w:t>
            </w:r>
          </w:p>
        </w:tc>
        <w:tc>
          <w:tcPr>
            <w:tcW w:type="dxa" w:w="140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25,000/bid</w:t>
            </w:r>
          </w:p>
        </w:tc>
        <w:tc>
          <w:tcPr>
            <w:tcW w:type="dxa" w:w="86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64748B"/>
                <w:sz w:val="17"/>
                <w:szCs w:val="17"/>
              </w:rPr>
              <w:t xml:space="preserve">12 h</w:t>
            </w:r>
          </w:p>
        </w:tc>
        <w:tc>
          <w:tcPr>
            <w:tcW w:type="dxa" w:w="134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0284C7"/>
                <w:sz w:val="17"/>
                <w:szCs w:val="17"/>
              </w:rPr>
              <w:t xml:space="preserve">ADV</w:t>
            </w:r>
          </w:p>
        </w:tc>
      </w:tr>
    </w:tbl>
    <w:p>
      <w:pPr>
        <w:spacing w:after="180"/>
      </w:pPr>
    </w:p>
    <w:tbl>
      <w:tblPr>
        <w:tblW w:type="dxa" w:w="13680"/>
        <w:tblBorders>
          <w:top w:val="none" w:color="auto" w:sz="0"/>
          <w:left w:val="single" w:color="E11D48" w:sz="18"/>
          <w:bottom w:val="none" w:color="auto" w:sz="0"/>
          <w:right w:val="none" w:color="auto" w:sz="0"/>
          <w:insideH w:val="none" w:color="auto" w:sz="0"/>
          <w:insideV w:val="none" w:color="auto" w:sz="0"/>
        </w:tblBorders>
      </w:tblPr>
      <w:tblGrid>
        <w:gridCol w:w="13680"/>
      </w:tblGrid>
      <w:tr>
        <w:trPr>
          <w:cantSplit/>
        </w:trPr>
        <w:tc>
          <w:tcPr>
            <w:tcW w:type="dxa" w:w="13680"/>
            <w:shd w:fill="FEE9EE" w:color="auto" w:val="clear"/>
            <w:tcMar>
              <w:top w:type="dxa" w:w="110"/>
              <w:left w:type="dxa" w:w="190"/>
              <w:bottom w:type="dxa" w:w="110"/>
              <w:right w:type="dxa" w:w="190"/>
            </w:tcMar>
          </w:tcPr>
          <w:p>
            <w:pPr>
              <w:keepNext w:val="false"/>
              <w:spacing w:after="60" w:before="0" w:line="276"/>
              <w:jc w:val="left"/>
            </w:pPr>
            <w:r>
              <w:rPr>
                <w:rFonts w:ascii="JetBrains Mono" w:cs="JetBrains Mono" w:eastAsia="JetBrains Mono" w:hAnsi="JetBrains Mono"/>
                <w:b/>
                <w:bCs/>
                <w:i w:val="false"/>
                <w:iCs w:val="false"/>
                <w:caps/>
                <w:color w:val="E11D48"/>
                <w:spacing w:val="20"/>
                <w:sz w:val="14"/>
                <w:szCs w:val="14"/>
              </w:rPr>
              <w:t xml:space="preserve">BLOCKING RISK</w:t>
            </w:r>
          </w:p>
          <w:p>
            <w:pPr>
              <w:keepNext w:val="false"/>
              <w:spacing w:after="0" w:before="0" w:line="252"/>
              <w:jc w:val="left"/>
            </w:pPr>
            <w:r>
              <w:rPr>
                <w:rFonts w:ascii="Sora" w:cs="Sora" w:eastAsia="Sora" w:hAnsi="Sora"/>
                <w:b w:val="false"/>
                <w:bCs w:val="false"/>
                <w:i w:val="false"/>
                <w:iCs w:val="false"/>
                <w:caps w:val="false"/>
                <w:color w:val="1A1B23"/>
                <w:sz w:val="18"/>
                <w:szCs w:val="18"/>
              </w:rPr>
              <w:t xml:space="preserve">All marketing, copy and deliverables must reference the 2025 LFPDPPP. Any link to the repealed 2010 statute is an instant credibility failure in front of a qualified buyer — and the current service list still links to it.</w:t>
            </w:r>
          </w:p>
        </w:tc>
      </w:tr>
    </w:tbl>
    <w:p>
      <w:r>
        <w:br w:type="page"/>
      </w:r>
    </w:p>
    <w:p>
      <w:pPr>
        <w:pStyle w:val="Heading1"/>
        <w:spacing w:after="0"/>
      </w:pPr>
      <w:r>
        <w:rPr>
          <w:rFonts w:ascii="Sora" w:cs="Sora" w:eastAsia="Sora" w:hAnsi="Sora"/>
          <w:b w:val="false"/>
          <w:bCs w:val="false"/>
          <w:i w:val="false"/>
          <w:iCs w:val="false"/>
          <w:caps w:val="false"/>
          <w:color w:val="1A1B23"/>
          <w:sz w:val="2"/>
          <w:szCs w:val="2"/>
        </w:rPr>
        <w:t xml:space="preserve">03 · Digital Product Engineering</w:t>
      </w:r>
    </w:p>
    <w:tbl>
      <w:tblPr>
        <w:tblW w:type="dxa" w:w="13680"/>
        <w:tblBorders>
          <w:top w:val="none" w:color="auto" w:sz="0"/>
          <w:left w:val="single" w:color="5D3FD3" w:sz="24"/>
          <w:bottom w:val="none" w:color="auto" w:sz="0"/>
          <w:right w:val="none" w:color="auto" w:sz="0"/>
          <w:insideH w:val="none" w:color="auto" w:sz="0"/>
          <w:insideV w:val="none" w:color="auto" w:sz="0"/>
        </w:tblBorders>
      </w:tblPr>
      <w:tblGrid>
        <w:gridCol w:w="13680"/>
      </w:tblGrid>
      <w:tr>
        <w:trPr>
          <w:cantSplit/>
        </w:trPr>
        <w:tc>
          <w:tcPr>
            <w:tcW w:type="dxa" w:w="13680"/>
            <w:shd w:fill="EDE9FB" w:color="auto" w:val="clear"/>
            <w:tcMar>
              <w:top w:type="dxa" w:w="160"/>
              <w:left w:type="dxa" w:w="220"/>
              <w:bottom w:type="dxa" w:w="160"/>
              <w:right w:type="dxa" w:w="220"/>
            </w:tcMar>
          </w:tcPr>
          <w:p>
            <w:pPr>
              <w:keepNext w:val="false"/>
              <w:spacing w:after="40" w:before="0" w:line="276"/>
              <w:jc w:val="left"/>
            </w:pPr>
            <w:r>
              <w:rPr>
                <w:rFonts w:ascii="JetBrains Mono" w:cs="JetBrains Mono" w:eastAsia="JetBrains Mono" w:hAnsi="JetBrains Mono"/>
                <w:b/>
                <w:bCs/>
                <w:i w:val="false"/>
                <w:iCs w:val="false"/>
                <w:caps w:val="false"/>
                <w:color w:val="5D3FD3"/>
                <w:sz w:val="22"/>
                <w:szCs w:val="22"/>
              </w:rPr>
              <w:t xml:space="preserve">03  </w:t>
            </w:r>
            <w:r>
              <w:rPr>
                <w:rFonts w:ascii="Sora" w:cs="Sora" w:eastAsia="Sora" w:hAnsi="Sora"/>
                <w:b/>
                <w:bCs/>
                <w:i w:val="false"/>
                <w:iCs w:val="false"/>
                <w:caps w:val="false"/>
                <w:color w:val="1A1B23"/>
                <w:spacing w:val="-8"/>
                <w:sz w:val="30"/>
                <w:szCs w:val="30"/>
              </w:rPr>
              <w:t xml:space="preserve">Digital Product Engineering</w:t>
            </w:r>
          </w:p>
          <w:p>
            <w:pPr>
              <w:keepNext w:val="false"/>
              <w:spacing w:after="0" w:before="0" w:line="276"/>
              <w:jc w:val="left"/>
            </w:pPr>
            <w:r>
              <w:rPr>
                <w:rFonts w:ascii="Sora" w:cs="Sora" w:eastAsia="Sora" w:hAnsi="Sora"/>
                <w:b w:val="false"/>
                <w:bCs w:val="false"/>
                <w:i/>
                <w:iCs/>
                <w:caps w:val="false"/>
                <w:color w:val="64748B"/>
                <w:sz w:val="18"/>
                <w:szCs w:val="18"/>
              </w:rPr>
              <w:t xml:space="preserve">Ingeniería de Producto Digital</w:t>
            </w:r>
          </w:p>
        </w:tc>
      </w:tr>
    </w:tbl>
    <w:p>
      <w:pPr>
        <w:spacing w:after="160"/>
      </w:pPr>
    </w:p>
    <w:p>
      <w:pPr>
        <w:keepNext w:val="false"/>
        <w:spacing w:after="120" w:before="0" w:line="276"/>
        <w:jc w:val="left"/>
      </w:pPr>
      <w:r>
        <w:rPr>
          <w:rFonts w:ascii="Sora" w:cs="Sora" w:eastAsia="Sora" w:hAnsi="Sora"/>
          <w:b w:val="false"/>
          <w:bCs w:val="false"/>
          <w:i w:val="false"/>
          <w:iCs w:val="false"/>
          <w:caps w:val="false"/>
          <w:color w:val="1A1B23"/>
          <w:sz w:val="20"/>
          <w:szCs w:val="20"/>
        </w:rPr>
        <w:t xml:space="preserve">Positioning: the delivery arm and the highest-ticket work — but deliberately not the lead offer. As a public headline, "MVP development" is brutally commoditised: you are price-benchmarked against Mexican dev shops and nearshore firms with fifty-person teams and years of testimonials. Sell a problem solved through categories 01, 02 and 05; deliver it with these skills.</w:t>
      </w:r>
    </w:p>
    <w:tbl>
      <w:tblPr>
        <w:tblW w:type="dxa" w:w="13680"/>
        <w:tblBorders>
          <w:top w:val="single" w:color="DCDCE4" w:sz="2"/>
          <w:left w:val="single" w:color="DCDCE4" w:sz="2"/>
          <w:bottom w:val="single" w:color="DCDCE4" w:sz="2"/>
          <w:right w:val="single" w:color="DCDCE4" w:sz="2"/>
          <w:insideH w:val="single" w:color="DCDCE4" w:sz="2"/>
          <w:insideV w:val="single" w:color="DCDCE4" w:sz="2"/>
        </w:tblBorders>
      </w:tblPr>
      <w:tblGrid>
        <w:gridCol w:w="2000"/>
        <w:gridCol w:w="11680"/>
      </w:tblGrid>
      <w:tr>
        <w:trPr>
          <w:cantSplit/>
          <w:tblHeader/>
        </w:trPr>
        <w:tc>
          <w:tcPr>
            <w:tcW w:type="dxa" w:w="200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Dimension</w:t>
            </w:r>
          </w:p>
        </w:tc>
        <w:tc>
          <w:tcPr>
            <w:tcW w:type="dxa" w:w="1168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Definition</w:t>
            </w:r>
          </w:p>
        </w:tc>
      </w:tr>
      <w:tr>
        <w:trPr>
          <w:cantSplit/>
        </w:trPr>
        <w:tc>
          <w:tcPr>
            <w:tcW w:type="dxa" w:w="20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Buyer</w:t>
            </w:r>
          </w:p>
        </w:tc>
        <w:tc>
          <w:tcPr>
            <w:tcW w:type="dxa" w:w="1168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Funded startup, digital-first SME, or an existing client whose automation work surfaced a build.</w:t>
            </w:r>
          </w:p>
        </w:tc>
      </w:tr>
      <w:tr>
        <w:trPr>
          <w:cantSplit/>
        </w:trPr>
        <w:tc>
          <w:tcPr>
            <w:tcW w:type="dxa" w:w="200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Trigger event</w:t>
            </w:r>
          </w:p>
        </w:tc>
        <w:tc>
          <w:tcPr>
            <w:tcW w:type="dxa" w:w="1168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A validated process that now needs a real system behind it.</w:t>
            </w:r>
          </w:p>
        </w:tc>
      </w:tr>
    </w:tbl>
    <w:p>
      <w:pPr>
        <w:spacing w:after="160"/>
      </w:pPr>
    </w:p>
    <w:tbl>
      <w:tblPr>
        <w:tblW w:type="dxa" w:w="13680"/>
        <w:tblBorders>
          <w:top w:val="single" w:color="DCDCE4" w:sz="2"/>
          <w:left w:val="single" w:color="DCDCE4" w:sz="2"/>
          <w:bottom w:val="single" w:color="DCDCE4" w:sz="2"/>
          <w:right w:val="single" w:color="DCDCE4" w:sz="2"/>
          <w:insideH w:val="single" w:color="DCDCE4" w:sz="2"/>
          <w:insideV w:val="single" w:color="DCDCE4" w:sz="2"/>
        </w:tblBorders>
      </w:tblPr>
      <w:tblGrid>
        <w:gridCol w:w="660"/>
        <w:gridCol w:w="3940"/>
        <w:gridCol w:w="2180"/>
        <w:gridCol w:w="3300"/>
        <w:gridCol w:w="1400"/>
        <w:gridCol w:w="860"/>
        <w:gridCol w:w="1340"/>
      </w:tblGrid>
      <w:tr>
        <w:trPr>
          <w:cantSplit/>
          <w:tblHeader/>
        </w:trPr>
        <w:tc>
          <w:tcPr>
            <w:tcW w:type="dxa" w:w="66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SKU</w:t>
            </w:r>
          </w:p>
        </w:tc>
        <w:tc>
          <w:tcPr>
            <w:tcW w:type="dxa" w:w="394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Micro-service</w:t>
            </w:r>
          </w:p>
        </w:tc>
        <w:tc>
          <w:tcPr>
            <w:tcW w:type="dxa" w:w="218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Nombre comercial (ES)</w:t>
            </w:r>
          </w:p>
        </w:tc>
        <w:tc>
          <w:tcPr>
            <w:tcW w:type="dxa" w:w="330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Outcome sold</w:t>
            </w:r>
          </w:p>
        </w:tc>
        <w:tc>
          <w:tcPr>
            <w:tcW w:type="dxa" w:w="140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Price (MXN)</w:t>
            </w:r>
          </w:p>
        </w:tc>
        <w:tc>
          <w:tcPr>
            <w:tcW w:type="dxa" w:w="86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Hrs</w:t>
            </w:r>
          </w:p>
        </w:tc>
        <w:tc>
          <w:tcPr>
            <w:tcW w:type="dxa" w:w="134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Model</w:t>
            </w:r>
          </w:p>
        </w:tc>
      </w:tr>
      <w:tr>
        <w:trPr>
          <w:cantSplit/>
        </w:trPr>
        <w:tc>
          <w:tcPr>
            <w:tcW w:type="dxa" w:w="66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P1</w:t>
            </w:r>
          </w:p>
        </w:tc>
        <w:tc>
          <w:tcPr>
            <w:tcW w:type="dxa" w:w="394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Interactive UI/UX Prototype — clickable high-fidelity prototype before any backend code</w:t>
            </w:r>
          </w:p>
        </w:tc>
        <w:tc>
          <w:tcPr>
            <w:tcW w:type="dxa" w:w="218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iCs/>
                <w:caps w:val="false"/>
                <w:color w:val="64748B"/>
                <w:sz w:val="17"/>
                <w:szCs w:val="17"/>
              </w:rPr>
              <w:t xml:space="preserve">Prototipo Interactivo</w:t>
            </w:r>
          </w:p>
        </w:tc>
        <w:tc>
          <w:tcPr>
            <w:tcW w:type="dxa" w:w="33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Ve y prueba tu producto antes de invertir en código</w:t>
            </w:r>
          </w:p>
        </w:tc>
        <w:tc>
          <w:tcPr>
            <w:tcW w:type="dxa" w:w="140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30,000</w:t>
            </w:r>
          </w:p>
        </w:tc>
        <w:tc>
          <w:tcPr>
            <w:tcW w:type="dxa" w:w="86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64748B"/>
                <w:sz w:val="17"/>
                <w:szCs w:val="17"/>
              </w:rPr>
              <w:t xml:space="preserve">22 h</w:t>
            </w:r>
          </w:p>
        </w:tc>
        <w:tc>
          <w:tcPr>
            <w:tcW w:type="dxa" w:w="134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0284C7"/>
                <w:sz w:val="17"/>
                <w:szCs w:val="17"/>
              </w:rPr>
              <w:t xml:space="preserve">ONE</w:t>
            </w:r>
          </w:p>
        </w:tc>
      </w:tr>
      <w:tr>
        <w:trPr>
          <w:cantSplit/>
        </w:trPr>
        <w:tc>
          <w:tcPr>
            <w:tcW w:type="dxa" w:w="66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P2</w:t>
            </w:r>
          </w:p>
        </w:tc>
        <w:tc>
          <w:tcPr>
            <w:tcW w:type="dxa" w:w="394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MVP Web Application — Django + React, production-ready and deployed</w:t>
            </w:r>
          </w:p>
        </w:tc>
        <w:tc>
          <w:tcPr>
            <w:tcW w:type="dxa" w:w="218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iCs/>
                <w:caps w:val="false"/>
                <w:color w:val="64748B"/>
                <w:sz w:val="17"/>
                <w:szCs w:val="17"/>
              </w:rPr>
              <w:t xml:space="preserve">Aplicación Web MVP</w:t>
            </w:r>
          </w:p>
        </w:tc>
        <w:tc>
          <w:tcPr>
            <w:tcW w:type="dxa" w:w="330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De idea a producto funcional en 8 semanas</w:t>
            </w:r>
          </w:p>
        </w:tc>
        <w:tc>
          <w:tcPr>
            <w:tcW w:type="dxa" w:w="140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90,000–180,000</w:t>
            </w:r>
          </w:p>
        </w:tc>
        <w:tc>
          <w:tcPr>
            <w:tcW w:type="dxa" w:w="86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64748B"/>
                <w:sz w:val="17"/>
                <w:szCs w:val="17"/>
              </w:rPr>
              <w:t xml:space="preserve">90–150 h</w:t>
            </w:r>
          </w:p>
        </w:tc>
        <w:tc>
          <w:tcPr>
            <w:tcW w:type="dxa" w:w="134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0284C7"/>
                <w:sz w:val="17"/>
                <w:szCs w:val="17"/>
              </w:rPr>
              <w:t xml:space="preserve">ONE</w:t>
            </w:r>
          </w:p>
        </w:tc>
      </w:tr>
      <w:tr>
        <w:trPr>
          <w:cantSplit/>
        </w:trPr>
        <w:tc>
          <w:tcPr>
            <w:tcW w:type="dxa" w:w="66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P3</w:t>
            </w:r>
          </w:p>
        </w:tc>
        <w:tc>
          <w:tcPr>
            <w:tcW w:type="dxa" w:w="394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Secure API Design &amp; Build — documented backend APIs linking business systems</w:t>
            </w:r>
          </w:p>
        </w:tc>
        <w:tc>
          <w:tcPr>
            <w:tcW w:type="dxa" w:w="218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iCs/>
                <w:caps w:val="false"/>
                <w:color w:val="64748B"/>
                <w:sz w:val="17"/>
                <w:szCs w:val="17"/>
              </w:rPr>
              <w:t xml:space="preserve">API Segura a la Medida</w:t>
            </w:r>
          </w:p>
        </w:tc>
        <w:tc>
          <w:tcPr>
            <w:tcW w:type="dxa" w:w="33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Tus sistemas hablan entre sí, de forma segura</w:t>
            </w:r>
          </w:p>
        </w:tc>
        <w:tc>
          <w:tcPr>
            <w:tcW w:type="dxa" w:w="140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55,000</w:t>
            </w:r>
          </w:p>
        </w:tc>
        <w:tc>
          <w:tcPr>
            <w:tcW w:type="dxa" w:w="86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64748B"/>
                <w:sz w:val="17"/>
                <w:szCs w:val="17"/>
              </w:rPr>
              <w:t xml:space="preserve">40 h</w:t>
            </w:r>
          </w:p>
        </w:tc>
        <w:tc>
          <w:tcPr>
            <w:tcW w:type="dxa" w:w="134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0284C7"/>
                <w:sz w:val="17"/>
                <w:szCs w:val="17"/>
              </w:rPr>
              <w:t xml:space="preserve">ONE</w:t>
            </w:r>
          </w:p>
        </w:tc>
      </w:tr>
      <w:tr>
        <w:trPr>
          <w:cantSplit/>
        </w:trPr>
        <w:tc>
          <w:tcPr>
            <w:tcW w:type="dxa" w:w="66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P4</w:t>
            </w:r>
          </w:p>
        </w:tc>
        <w:tc>
          <w:tcPr>
            <w:tcW w:type="dxa" w:w="394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Cross-Platform Mobile App — single codebase, iOS and Android</w:t>
            </w:r>
          </w:p>
        </w:tc>
        <w:tc>
          <w:tcPr>
            <w:tcW w:type="dxa" w:w="218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iCs/>
                <w:caps w:val="false"/>
                <w:color w:val="64748B"/>
                <w:sz w:val="17"/>
                <w:szCs w:val="17"/>
              </w:rPr>
              <w:t xml:space="preserve">App Móvil Multiplataforma</w:t>
            </w:r>
          </w:p>
        </w:tc>
        <w:tc>
          <w:tcPr>
            <w:tcW w:type="dxa" w:w="330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Una sola app para iOS y Android</w:t>
            </w:r>
          </w:p>
        </w:tc>
        <w:tc>
          <w:tcPr>
            <w:tcW w:type="dxa" w:w="140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120,000+</w:t>
            </w:r>
          </w:p>
        </w:tc>
        <w:tc>
          <w:tcPr>
            <w:tcW w:type="dxa" w:w="86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64748B"/>
                <w:sz w:val="17"/>
                <w:szCs w:val="17"/>
              </w:rPr>
              <w:t xml:space="preserve">120 h+</w:t>
            </w:r>
          </w:p>
        </w:tc>
        <w:tc>
          <w:tcPr>
            <w:tcW w:type="dxa" w:w="134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0284C7"/>
                <w:sz w:val="17"/>
                <w:szCs w:val="17"/>
              </w:rPr>
              <w:t xml:space="preserve">ONE</w:t>
            </w:r>
          </w:p>
        </w:tc>
      </w:tr>
      <w:tr>
        <w:trPr>
          <w:cantSplit/>
        </w:trPr>
        <w:tc>
          <w:tcPr>
            <w:tcW w:type="dxa" w:w="66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P5</w:t>
            </w:r>
          </w:p>
        </w:tc>
        <w:tc>
          <w:tcPr>
            <w:tcW w:type="dxa" w:w="394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Internal Business Tool — custom dashboard or admin replacing spreadsheet chaos</w:t>
            </w:r>
          </w:p>
        </w:tc>
        <w:tc>
          <w:tcPr>
            <w:tcW w:type="dxa" w:w="218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iCs/>
                <w:caps w:val="false"/>
                <w:color w:val="64748B"/>
                <w:sz w:val="17"/>
                <w:szCs w:val="17"/>
              </w:rPr>
              <w:t xml:space="preserve">Sistema Interno a la Medida</w:t>
            </w:r>
          </w:p>
        </w:tc>
        <w:tc>
          <w:tcPr>
            <w:tcW w:type="dxa" w:w="33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Deja de operar tu negocio en Excel</w:t>
            </w:r>
          </w:p>
        </w:tc>
        <w:tc>
          <w:tcPr>
            <w:tcW w:type="dxa" w:w="140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70,000</w:t>
            </w:r>
          </w:p>
        </w:tc>
        <w:tc>
          <w:tcPr>
            <w:tcW w:type="dxa" w:w="86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64748B"/>
                <w:sz w:val="17"/>
                <w:szCs w:val="17"/>
              </w:rPr>
              <w:t xml:space="preserve">55 h</w:t>
            </w:r>
          </w:p>
        </w:tc>
        <w:tc>
          <w:tcPr>
            <w:tcW w:type="dxa" w:w="134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0284C7"/>
                <w:sz w:val="17"/>
                <w:szCs w:val="17"/>
              </w:rPr>
              <w:t xml:space="preserve">ONE</w:t>
            </w:r>
          </w:p>
        </w:tc>
      </w:tr>
      <w:tr>
        <w:trPr>
          <w:cantSplit/>
        </w:trPr>
        <w:tc>
          <w:tcPr>
            <w:tcW w:type="dxa" w:w="66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P6</w:t>
            </w:r>
          </w:p>
        </w:tc>
        <w:tc>
          <w:tcPr>
            <w:tcW w:type="dxa" w:w="394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Managed Uptime &amp; Support — bug fixes, patches, security updates, small features</w:t>
            </w:r>
          </w:p>
        </w:tc>
        <w:tc>
          <w:tcPr>
            <w:tcW w:type="dxa" w:w="218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iCs/>
                <w:caps w:val="false"/>
                <w:color w:val="64748B"/>
                <w:sz w:val="17"/>
                <w:szCs w:val="17"/>
              </w:rPr>
              <w:t xml:space="preserve">Soporte y Mantenimiento</w:t>
            </w:r>
          </w:p>
        </w:tc>
        <w:tc>
          <w:tcPr>
            <w:tcW w:type="dxa" w:w="330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Tu sistema siempre en línea</w:t>
            </w:r>
          </w:p>
        </w:tc>
        <w:tc>
          <w:tcPr>
            <w:tcW w:type="dxa" w:w="140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10,000–25,000/mo</w:t>
            </w:r>
          </w:p>
        </w:tc>
        <w:tc>
          <w:tcPr>
            <w:tcW w:type="dxa" w:w="86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64748B"/>
                <w:sz w:val="17"/>
                <w:szCs w:val="17"/>
              </w:rPr>
              <w:t xml:space="preserve">8 h/mo</w:t>
            </w:r>
          </w:p>
        </w:tc>
        <w:tc>
          <w:tcPr>
            <w:tcW w:type="dxa" w:w="134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0284C7"/>
                <w:sz w:val="17"/>
                <w:szCs w:val="17"/>
              </w:rPr>
              <w:t xml:space="preserve">RET</w:t>
            </w:r>
          </w:p>
        </w:tc>
      </w:tr>
    </w:tbl>
    <w:p>
      <w:pPr>
        <w:spacing w:after="140"/>
      </w:pPr>
    </w:p>
    <w:tbl>
      <w:tblPr>
        <w:tblW w:type="dxa" w:w="13680"/>
        <w:tblBorders>
          <w:top w:val="none" w:color="auto" w:sz="0"/>
          <w:left w:val="single" w:color="F59E0B" w:sz="18"/>
          <w:bottom w:val="none" w:color="auto" w:sz="0"/>
          <w:right w:val="none" w:color="auto" w:sz="0"/>
          <w:insideH w:val="none" w:color="auto" w:sz="0"/>
          <w:insideV w:val="none" w:color="auto" w:sz="0"/>
        </w:tblBorders>
      </w:tblPr>
      <w:tblGrid>
        <w:gridCol w:w="13680"/>
      </w:tblGrid>
      <w:tr>
        <w:trPr>
          <w:cantSplit/>
        </w:trPr>
        <w:tc>
          <w:tcPr>
            <w:tcW w:type="dxa" w:w="13680"/>
            <w:shd w:fill="FEF3E2" w:color="auto" w:val="clear"/>
            <w:tcMar>
              <w:top w:type="dxa" w:w="110"/>
              <w:left w:type="dxa" w:w="190"/>
              <w:bottom w:type="dxa" w:w="110"/>
              <w:right w:type="dxa" w:w="190"/>
            </w:tcMar>
          </w:tcPr>
          <w:p>
            <w:pPr>
              <w:keepNext w:val="false"/>
              <w:spacing w:after="60" w:before="0" w:line="276"/>
              <w:jc w:val="left"/>
            </w:pPr>
            <w:r>
              <w:rPr>
                <w:rFonts w:ascii="JetBrains Mono" w:cs="JetBrains Mono" w:eastAsia="JetBrains Mono" w:hAnsi="JetBrains Mono"/>
                <w:b/>
                <w:bCs/>
                <w:i w:val="false"/>
                <w:iCs w:val="false"/>
                <w:caps/>
                <w:color w:val="F59E0B"/>
                <w:spacing w:val="20"/>
                <w:sz w:val="14"/>
                <w:szCs w:val="14"/>
              </w:rPr>
              <w:t xml:space="preserve">WARNING</w:t>
            </w:r>
          </w:p>
          <w:p>
            <w:pPr>
              <w:keepNext w:val="false"/>
              <w:spacing w:after="0" w:before="0" w:line="252"/>
              <w:jc w:val="left"/>
            </w:pPr>
            <w:r>
              <w:rPr>
                <w:rFonts w:ascii="Sora" w:cs="Sora" w:eastAsia="Sora" w:hAnsi="Sora"/>
                <w:b w:val="false"/>
                <w:bCs w:val="false"/>
                <w:i w:val="false"/>
                <w:iCs w:val="false"/>
                <w:caps w:val="false"/>
                <w:color w:val="1A1B23"/>
                <w:sz w:val="18"/>
                <w:szCs w:val="18"/>
              </w:rPr>
              <w:t xml:space="preserve">Capacity warning. P2 and P4 each consume an entire month of available capacity. Take no more than one at a time, and only when a retainer floor already covers fixed costs. Accepting two concurrently destroys delivery across every other unit — this is the single most likely way this business fails operationally.</w:t>
            </w:r>
          </w:p>
        </w:tc>
      </w:tr>
    </w:tbl>
    <w:p>
      <w:r>
        <w:br w:type="page"/>
      </w:r>
    </w:p>
    <w:p>
      <w:pPr>
        <w:pStyle w:val="Heading1"/>
        <w:spacing w:after="0"/>
      </w:pPr>
      <w:r>
        <w:rPr>
          <w:rFonts w:ascii="Sora" w:cs="Sora" w:eastAsia="Sora" w:hAnsi="Sora"/>
          <w:b w:val="false"/>
          <w:bCs w:val="false"/>
          <w:i w:val="false"/>
          <w:iCs w:val="false"/>
          <w:caps w:val="false"/>
          <w:color w:val="1A1B23"/>
          <w:sz w:val="2"/>
          <w:szCs w:val="2"/>
        </w:rPr>
        <w:t xml:space="preserve">04 · Cloud, Infrastructure &amp; Reliability</w:t>
      </w:r>
    </w:p>
    <w:tbl>
      <w:tblPr>
        <w:tblW w:type="dxa" w:w="13680"/>
        <w:tblBorders>
          <w:top w:val="none" w:color="auto" w:sz="0"/>
          <w:left w:val="single" w:color="5D3FD3" w:sz="24"/>
          <w:bottom w:val="none" w:color="auto" w:sz="0"/>
          <w:right w:val="none" w:color="auto" w:sz="0"/>
          <w:insideH w:val="none" w:color="auto" w:sz="0"/>
          <w:insideV w:val="none" w:color="auto" w:sz="0"/>
        </w:tblBorders>
      </w:tblPr>
      <w:tblGrid>
        <w:gridCol w:w="13680"/>
      </w:tblGrid>
      <w:tr>
        <w:trPr>
          <w:cantSplit/>
        </w:trPr>
        <w:tc>
          <w:tcPr>
            <w:tcW w:type="dxa" w:w="13680"/>
            <w:shd w:fill="EDE9FB" w:color="auto" w:val="clear"/>
            <w:tcMar>
              <w:top w:type="dxa" w:w="160"/>
              <w:left w:type="dxa" w:w="220"/>
              <w:bottom w:type="dxa" w:w="160"/>
              <w:right w:type="dxa" w:w="220"/>
            </w:tcMar>
          </w:tcPr>
          <w:p>
            <w:pPr>
              <w:keepNext w:val="false"/>
              <w:spacing w:after="40" w:before="0" w:line="276"/>
              <w:jc w:val="left"/>
            </w:pPr>
            <w:r>
              <w:rPr>
                <w:rFonts w:ascii="JetBrains Mono" w:cs="JetBrains Mono" w:eastAsia="JetBrains Mono" w:hAnsi="JetBrains Mono"/>
                <w:b/>
                <w:bCs/>
                <w:i w:val="false"/>
                <w:iCs w:val="false"/>
                <w:caps w:val="false"/>
                <w:color w:val="5D3FD3"/>
                <w:sz w:val="22"/>
                <w:szCs w:val="22"/>
              </w:rPr>
              <w:t xml:space="preserve">04  </w:t>
            </w:r>
            <w:r>
              <w:rPr>
                <w:rFonts w:ascii="Sora" w:cs="Sora" w:eastAsia="Sora" w:hAnsi="Sora"/>
                <w:b/>
                <w:bCs/>
                <w:i w:val="false"/>
                <w:iCs w:val="false"/>
                <w:caps w:val="false"/>
                <w:color w:val="1A1B23"/>
                <w:spacing w:val="-8"/>
                <w:sz w:val="30"/>
                <w:szCs w:val="30"/>
              </w:rPr>
              <w:t xml:space="preserve">Cloud, Infrastructure &amp; Reliability</w:t>
            </w:r>
          </w:p>
          <w:p>
            <w:pPr>
              <w:keepNext w:val="false"/>
              <w:spacing w:after="0" w:before="0" w:line="276"/>
              <w:jc w:val="left"/>
            </w:pPr>
            <w:r>
              <w:rPr>
                <w:rFonts w:ascii="Sora" w:cs="Sora" w:eastAsia="Sora" w:hAnsi="Sora"/>
                <w:b w:val="false"/>
                <w:bCs w:val="false"/>
                <w:i/>
                <w:iCs/>
                <w:caps w:val="false"/>
                <w:color w:val="64748B"/>
                <w:sz w:val="18"/>
                <w:szCs w:val="18"/>
              </w:rPr>
              <w:t xml:space="preserve">Nube, Infraestructura y Continuidad</w:t>
            </w:r>
          </w:p>
        </w:tc>
      </w:tr>
    </w:tbl>
    <w:p>
      <w:pPr>
        <w:spacing w:after="160"/>
      </w:pPr>
    </w:p>
    <w:p>
      <w:pPr>
        <w:keepNext w:val="false"/>
        <w:spacing w:after="120" w:before="0" w:line="276"/>
        <w:jc w:val="left"/>
      </w:pPr>
      <w:r>
        <w:rPr>
          <w:rFonts w:ascii="Sora" w:cs="Sora" w:eastAsia="Sora" w:hAnsi="Sora"/>
          <w:b w:val="false"/>
          <w:bCs w:val="false"/>
          <w:i w:val="false"/>
          <w:iCs w:val="false"/>
          <w:caps w:val="false"/>
          <w:color w:val="1A1B23"/>
          <w:sz w:val="20"/>
          <w:szCs w:val="20"/>
        </w:rPr>
        <w:t xml:space="preserve">Positioning: rebuilt, and deliberately downscoped. The original framing — enterprise on-premise to AWS/Azure/GCP migration, zero-trust hardening — targets a buyer who requires partner certifications, professional liability insurance, client references and a 24/7 SLA. A solo consultant loses those bids and burns months learning it.</w:t>
      </w:r>
    </w:p>
    <w:p>
      <w:pPr>
        <w:keepNext w:val="false"/>
        <w:spacing w:after="120" w:before="0" w:line="276"/>
        <w:jc w:val="left"/>
      </w:pPr>
      <w:r>
        <w:rPr>
          <w:rFonts w:ascii="Sora" w:cs="Sora" w:eastAsia="Sora" w:hAnsi="Sora"/>
          <w:b w:val="false"/>
          <w:bCs w:val="false"/>
          <w:i w:val="false"/>
          <w:iCs w:val="false"/>
          <w:caps w:val="false"/>
          <w:color w:val="1A1B23"/>
          <w:sz w:val="20"/>
          <w:szCs w:val="20"/>
        </w:rPr>
        <w:t xml:space="preserve">The underlying need is real. But the winnable buyer is the PyME, and the PyME does not buy "zero-trust architecture." They buy que no se me pierda la información y que nadie entre a mis sistemas. Same skills, different buyer, different language, winnable deal.</w:t>
      </w:r>
    </w:p>
    <w:p>
      <w:pPr>
        <w:spacing w:after="60"/>
      </w:pPr>
    </w:p>
    <w:tbl>
      <w:tblPr>
        <w:tblW w:type="dxa" w:w="13680"/>
        <w:tblBorders>
          <w:top w:val="single" w:color="DCDCE4" w:sz="2"/>
          <w:left w:val="single" w:color="DCDCE4" w:sz="2"/>
          <w:bottom w:val="single" w:color="DCDCE4" w:sz="2"/>
          <w:right w:val="single" w:color="DCDCE4" w:sz="2"/>
          <w:insideH w:val="single" w:color="DCDCE4" w:sz="2"/>
          <w:insideV w:val="single" w:color="DCDCE4" w:sz="2"/>
        </w:tblBorders>
      </w:tblPr>
      <w:tblGrid>
        <w:gridCol w:w="2000"/>
        <w:gridCol w:w="11680"/>
      </w:tblGrid>
      <w:tr>
        <w:trPr>
          <w:cantSplit/>
          <w:tblHeader/>
        </w:trPr>
        <w:tc>
          <w:tcPr>
            <w:tcW w:type="dxa" w:w="200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Dimension</w:t>
            </w:r>
          </w:p>
        </w:tc>
        <w:tc>
          <w:tcPr>
            <w:tcW w:type="dxa" w:w="1168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Definition</w:t>
            </w:r>
          </w:p>
        </w:tc>
      </w:tr>
      <w:tr>
        <w:trPr>
          <w:cantSplit/>
        </w:trPr>
        <w:tc>
          <w:tcPr>
            <w:tcW w:type="dxa" w:w="20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Buyer</w:t>
            </w:r>
          </w:p>
        </w:tc>
        <w:tc>
          <w:tcPr>
            <w:tcW w:type="dxa" w:w="1168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SME with an ageing office server, a school, or a company with remote staff.</w:t>
            </w:r>
          </w:p>
        </w:tc>
      </w:tr>
      <w:tr>
        <w:trPr>
          <w:cantSplit/>
        </w:trPr>
        <w:tc>
          <w:tcPr>
            <w:tcW w:type="dxa" w:w="200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Trigger event</w:t>
            </w:r>
          </w:p>
        </w:tc>
        <w:tc>
          <w:tcPr>
            <w:tcW w:type="dxa" w:w="1168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A server failed · a laptop was stolen · a ransomware scare · an insurer or client asked about backups.</w:t>
            </w:r>
          </w:p>
        </w:tc>
      </w:tr>
    </w:tbl>
    <w:p>
      <w:pPr>
        <w:spacing w:after="160"/>
      </w:pPr>
    </w:p>
    <w:tbl>
      <w:tblPr>
        <w:tblW w:type="dxa" w:w="13680"/>
        <w:tblBorders>
          <w:top w:val="single" w:color="DCDCE4" w:sz="2"/>
          <w:left w:val="single" w:color="DCDCE4" w:sz="2"/>
          <w:bottom w:val="single" w:color="DCDCE4" w:sz="2"/>
          <w:right w:val="single" w:color="DCDCE4" w:sz="2"/>
          <w:insideH w:val="single" w:color="DCDCE4" w:sz="2"/>
          <w:insideV w:val="single" w:color="DCDCE4" w:sz="2"/>
        </w:tblBorders>
      </w:tblPr>
      <w:tblGrid>
        <w:gridCol w:w="660"/>
        <w:gridCol w:w="3940"/>
        <w:gridCol w:w="2180"/>
        <w:gridCol w:w="3300"/>
        <w:gridCol w:w="1400"/>
        <w:gridCol w:w="860"/>
        <w:gridCol w:w="1340"/>
      </w:tblGrid>
      <w:tr>
        <w:trPr>
          <w:cantSplit/>
          <w:tblHeader/>
        </w:trPr>
        <w:tc>
          <w:tcPr>
            <w:tcW w:type="dxa" w:w="66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SKU</w:t>
            </w:r>
          </w:p>
        </w:tc>
        <w:tc>
          <w:tcPr>
            <w:tcW w:type="dxa" w:w="394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Micro-service</w:t>
            </w:r>
          </w:p>
        </w:tc>
        <w:tc>
          <w:tcPr>
            <w:tcW w:type="dxa" w:w="218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Nombre comercial (ES)</w:t>
            </w:r>
          </w:p>
        </w:tc>
        <w:tc>
          <w:tcPr>
            <w:tcW w:type="dxa" w:w="330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Outcome sold</w:t>
            </w:r>
          </w:p>
        </w:tc>
        <w:tc>
          <w:tcPr>
            <w:tcW w:type="dxa" w:w="140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Price (MXN)</w:t>
            </w:r>
          </w:p>
        </w:tc>
        <w:tc>
          <w:tcPr>
            <w:tcW w:type="dxa" w:w="86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Hrs</w:t>
            </w:r>
          </w:p>
        </w:tc>
        <w:tc>
          <w:tcPr>
            <w:tcW w:type="dxa" w:w="134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Model</w:t>
            </w:r>
          </w:p>
        </w:tc>
      </w:tr>
      <w:tr>
        <w:trPr>
          <w:cantSplit/>
        </w:trPr>
        <w:tc>
          <w:tcPr>
            <w:tcW w:type="dxa" w:w="66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I1</w:t>
            </w:r>
          </w:p>
        </w:tc>
        <w:tc>
          <w:tcPr>
            <w:tcW w:type="dxa" w:w="394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Business Continuity Setup — automated encrypted cloud backups, tested restore, documented recovery plan</w:t>
            </w:r>
          </w:p>
        </w:tc>
        <w:tc>
          <w:tcPr>
            <w:tcW w:type="dxa" w:w="218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iCs/>
                <w:caps w:val="false"/>
                <w:color w:val="64748B"/>
                <w:sz w:val="17"/>
                <w:szCs w:val="17"/>
              </w:rPr>
              <w:t xml:space="preserve">Respaldo y Continuidad</w:t>
            </w:r>
          </w:p>
        </w:tc>
        <w:tc>
          <w:tcPr>
            <w:tcW w:type="dxa" w:w="33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Si mañana se quema la oficina, sigues operando</w:t>
            </w:r>
          </w:p>
        </w:tc>
        <w:tc>
          <w:tcPr>
            <w:tcW w:type="dxa" w:w="140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35,000</w:t>
            </w:r>
          </w:p>
        </w:tc>
        <w:tc>
          <w:tcPr>
            <w:tcW w:type="dxa" w:w="86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64748B"/>
                <w:sz w:val="17"/>
                <w:szCs w:val="17"/>
              </w:rPr>
              <w:t xml:space="preserve">25 h</w:t>
            </w:r>
          </w:p>
        </w:tc>
        <w:tc>
          <w:tcPr>
            <w:tcW w:type="dxa" w:w="134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0284C7"/>
                <w:sz w:val="17"/>
                <w:szCs w:val="17"/>
              </w:rPr>
              <w:t xml:space="preserve">HYB</w:t>
            </w:r>
          </w:p>
        </w:tc>
      </w:tr>
      <w:tr>
        <w:trPr>
          <w:cantSplit/>
        </w:trPr>
        <w:tc>
          <w:tcPr>
            <w:tcW w:type="dxa" w:w="66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I2</w:t>
            </w:r>
          </w:p>
        </w:tc>
        <w:tc>
          <w:tcPr>
            <w:tcW w:type="dxa" w:w="394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Office-to-Cloud Migration (SME grade) — file server, email and shared drives to Google Workspace / M365 / GCP</w:t>
            </w:r>
          </w:p>
        </w:tc>
        <w:tc>
          <w:tcPr>
            <w:tcW w:type="dxa" w:w="218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iCs/>
                <w:caps w:val="false"/>
                <w:color w:val="64748B"/>
                <w:sz w:val="17"/>
                <w:szCs w:val="17"/>
              </w:rPr>
              <w:t xml:space="preserve">Migración a la Nube</w:t>
            </w:r>
          </w:p>
        </w:tc>
        <w:tc>
          <w:tcPr>
            <w:tcW w:type="dxa" w:w="330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Trabaja desde donde sea, sin servidor en la oficina</w:t>
            </w:r>
          </w:p>
        </w:tc>
        <w:tc>
          <w:tcPr>
            <w:tcW w:type="dxa" w:w="140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45,000</w:t>
            </w:r>
          </w:p>
        </w:tc>
        <w:tc>
          <w:tcPr>
            <w:tcW w:type="dxa" w:w="86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64748B"/>
                <w:sz w:val="17"/>
                <w:szCs w:val="17"/>
              </w:rPr>
              <w:t xml:space="preserve">32 h</w:t>
            </w:r>
          </w:p>
        </w:tc>
        <w:tc>
          <w:tcPr>
            <w:tcW w:type="dxa" w:w="134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0284C7"/>
                <w:sz w:val="17"/>
                <w:szCs w:val="17"/>
              </w:rPr>
              <w:t xml:space="preserve">ONE</w:t>
            </w:r>
          </w:p>
        </w:tc>
      </w:tr>
      <w:tr>
        <w:trPr>
          <w:cantSplit/>
        </w:trPr>
        <w:tc>
          <w:tcPr>
            <w:tcW w:type="dxa" w:w="66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I3</w:t>
            </w:r>
          </w:p>
        </w:tc>
        <w:tc>
          <w:tcPr>
            <w:tcW w:type="dxa" w:w="394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Access &amp; Identity Hardening — MFA, role-based access, VPN, offboarding, device policy</w:t>
            </w:r>
          </w:p>
        </w:tc>
        <w:tc>
          <w:tcPr>
            <w:tcW w:type="dxa" w:w="218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iCs/>
                <w:caps w:val="false"/>
                <w:color w:val="64748B"/>
                <w:sz w:val="17"/>
                <w:szCs w:val="17"/>
              </w:rPr>
              <w:t xml:space="preserve">Blindaje de Accesos</w:t>
            </w:r>
          </w:p>
        </w:tc>
        <w:tc>
          <w:tcPr>
            <w:tcW w:type="dxa" w:w="33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Sólo la gente correcta entra a tus sistemas</w:t>
            </w:r>
          </w:p>
        </w:tc>
        <w:tc>
          <w:tcPr>
            <w:tcW w:type="dxa" w:w="140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28,000</w:t>
            </w:r>
          </w:p>
        </w:tc>
        <w:tc>
          <w:tcPr>
            <w:tcW w:type="dxa" w:w="86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64748B"/>
                <w:sz w:val="17"/>
                <w:szCs w:val="17"/>
              </w:rPr>
              <w:t xml:space="preserve">20 h</w:t>
            </w:r>
          </w:p>
        </w:tc>
        <w:tc>
          <w:tcPr>
            <w:tcW w:type="dxa" w:w="134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0284C7"/>
                <w:sz w:val="17"/>
                <w:szCs w:val="17"/>
              </w:rPr>
              <w:t xml:space="preserve">ONE</w:t>
            </w:r>
          </w:p>
        </w:tc>
      </w:tr>
      <w:tr>
        <w:trPr>
          <w:cantSplit/>
        </w:trPr>
        <w:tc>
          <w:tcPr>
            <w:tcW w:type="dxa" w:w="660"/>
            <w:shd w:fill="EDE9FB"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I4</w:t>
            </w:r>
          </w:p>
        </w:tc>
        <w:tc>
          <w:tcPr>
            <w:tcW w:type="dxa" w:w="3940"/>
            <w:shd w:fill="EDE9FB"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Cloud Cost Diagnostic — right-size infrastructure and report actual measured findings</w:t>
            </w:r>
          </w:p>
        </w:tc>
        <w:tc>
          <w:tcPr>
            <w:tcW w:type="dxa" w:w="2180"/>
            <w:shd w:fill="EDE9FB"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iCs/>
                <w:caps w:val="false"/>
                <w:color w:val="64748B"/>
                <w:sz w:val="17"/>
                <w:szCs w:val="17"/>
              </w:rPr>
              <w:t xml:space="preserve">Diagnóstico de Costos en la Nube</w:t>
            </w:r>
          </w:p>
        </w:tc>
        <w:tc>
          <w:tcPr>
            <w:tcW w:type="dxa" w:w="3300"/>
            <w:shd w:fill="EDE9FB"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Descubre exactamente qué estás pagando de más</w:t>
            </w:r>
          </w:p>
        </w:tc>
        <w:tc>
          <w:tcPr>
            <w:tcW w:type="dxa" w:w="1400"/>
            <w:shd w:fill="EDE9FB"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12,000</w:t>
            </w:r>
          </w:p>
        </w:tc>
        <w:tc>
          <w:tcPr>
            <w:tcW w:type="dxa" w:w="860"/>
            <w:shd w:fill="EDE9FB"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64748B"/>
                <w:sz w:val="17"/>
                <w:szCs w:val="17"/>
              </w:rPr>
              <w:t xml:space="preserve">8 h</w:t>
            </w:r>
          </w:p>
        </w:tc>
        <w:tc>
          <w:tcPr>
            <w:tcW w:type="dxa" w:w="1340"/>
            <w:shd w:fill="EDE9FB"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TRIPWIRE</w:t>
            </w:r>
          </w:p>
        </w:tc>
      </w:tr>
      <w:tr>
        <w:trPr>
          <w:cantSplit/>
        </w:trPr>
        <w:tc>
          <w:tcPr>
            <w:tcW w:type="dxa" w:w="66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I5</w:t>
            </w:r>
          </w:p>
        </w:tc>
        <w:tc>
          <w:tcPr>
            <w:tcW w:type="dxa" w:w="394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Containerisation &amp; Deployment — Docker packaging plus CI/CD, zero-downtime releases</w:t>
            </w:r>
          </w:p>
        </w:tc>
        <w:tc>
          <w:tcPr>
            <w:tcW w:type="dxa" w:w="218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iCs/>
                <w:caps w:val="false"/>
                <w:color w:val="64748B"/>
                <w:sz w:val="17"/>
                <w:szCs w:val="17"/>
              </w:rPr>
              <w:t xml:space="preserve">Despliegue Automatizado</w:t>
            </w:r>
          </w:p>
        </w:tc>
        <w:tc>
          <w:tcPr>
            <w:tcW w:type="dxa" w:w="33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Publica cambios sin tumbar el sistema</w:t>
            </w:r>
          </w:p>
        </w:tc>
        <w:tc>
          <w:tcPr>
            <w:tcW w:type="dxa" w:w="140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40,000</w:t>
            </w:r>
          </w:p>
        </w:tc>
        <w:tc>
          <w:tcPr>
            <w:tcW w:type="dxa" w:w="86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64748B"/>
                <w:sz w:val="17"/>
                <w:szCs w:val="17"/>
              </w:rPr>
              <w:t xml:space="preserve">28 h</w:t>
            </w:r>
          </w:p>
        </w:tc>
        <w:tc>
          <w:tcPr>
            <w:tcW w:type="dxa" w:w="134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0284C7"/>
                <w:sz w:val="17"/>
                <w:szCs w:val="17"/>
              </w:rPr>
              <w:t xml:space="preserve">ONE</w:t>
            </w:r>
          </w:p>
        </w:tc>
      </w:tr>
      <w:tr>
        <w:trPr>
          <w:cantSplit/>
        </w:trPr>
        <w:tc>
          <w:tcPr>
            <w:tcW w:type="dxa" w:w="66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I6</w:t>
            </w:r>
          </w:p>
        </w:tc>
        <w:tc>
          <w:tcPr>
            <w:tcW w:type="dxa" w:w="394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Managed Infrastructure — monitoring, patching, backup verification</w:t>
            </w:r>
          </w:p>
        </w:tc>
        <w:tc>
          <w:tcPr>
            <w:tcW w:type="dxa" w:w="218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iCs/>
                <w:caps w:val="false"/>
                <w:color w:val="64748B"/>
                <w:sz w:val="17"/>
                <w:szCs w:val="17"/>
              </w:rPr>
              <w:t xml:space="preserve">Infraestructura Gestionada</w:t>
            </w:r>
          </w:p>
        </w:tc>
        <w:tc>
          <w:tcPr>
            <w:tcW w:type="dxa" w:w="330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Alguien vigila tu infraestructura todos los días</w:t>
            </w:r>
          </w:p>
        </w:tc>
        <w:tc>
          <w:tcPr>
            <w:tcW w:type="dxa" w:w="140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12,000–20,000/mo</w:t>
            </w:r>
          </w:p>
        </w:tc>
        <w:tc>
          <w:tcPr>
            <w:tcW w:type="dxa" w:w="86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64748B"/>
                <w:sz w:val="17"/>
                <w:szCs w:val="17"/>
              </w:rPr>
              <w:t xml:space="preserve">8 h/mo</w:t>
            </w:r>
          </w:p>
        </w:tc>
        <w:tc>
          <w:tcPr>
            <w:tcW w:type="dxa" w:w="134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0284C7"/>
                <w:sz w:val="17"/>
                <w:szCs w:val="17"/>
              </w:rPr>
              <w:t xml:space="preserve">RET</w:t>
            </w:r>
          </w:p>
        </w:tc>
      </w:tr>
    </w:tbl>
    <w:p>
      <w:pPr>
        <w:spacing w:after="140"/>
      </w:pPr>
    </w:p>
    <w:tbl>
      <w:tblPr>
        <w:tblW w:type="dxa" w:w="13680"/>
        <w:tblBorders>
          <w:top w:val="none" w:color="auto" w:sz="0"/>
          <w:left w:val="single" w:color="1A1B23" w:sz="18"/>
          <w:bottom w:val="none" w:color="auto" w:sz="0"/>
          <w:right w:val="none" w:color="auto" w:sz="0"/>
          <w:insideH w:val="none" w:color="auto" w:sz="0"/>
          <w:insideV w:val="none" w:color="auto" w:sz="0"/>
        </w:tblBorders>
      </w:tblPr>
      <w:tblGrid>
        <w:gridCol w:w="13680"/>
      </w:tblGrid>
      <w:tr>
        <w:trPr>
          <w:cantSplit/>
        </w:trPr>
        <w:tc>
          <w:tcPr>
            <w:tcW w:type="dxa" w:w="13680"/>
            <w:shd w:fill="EFF1F5" w:color="auto" w:val="clear"/>
            <w:tcMar>
              <w:top w:type="dxa" w:w="110"/>
              <w:left w:type="dxa" w:w="190"/>
              <w:bottom w:type="dxa" w:w="110"/>
              <w:right w:type="dxa" w:w="190"/>
            </w:tcMar>
          </w:tcPr>
          <w:p>
            <w:pPr>
              <w:keepNext w:val="false"/>
              <w:spacing w:after="60" w:before="0" w:line="276"/>
              <w:jc w:val="left"/>
            </w:pPr>
            <w:r>
              <w:rPr>
                <w:rFonts w:ascii="JetBrains Mono" w:cs="JetBrains Mono" w:eastAsia="JetBrains Mono" w:hAnsi="JetBrains Mono"/>
                <w:b/>
                <w:bCs/>
                <w:i w:val="false"/>
                <w:iCs w:val="false"/>
                <w:caps/>
                <w:color w:val="1A1B23"/>
                <w:spacing w:val="20"/>
                <w:sz w:val="14"/>
                <w:szCs w:val="14"/>
              </w:rPr>
              <w:t xml:space="preserve">RETIRED</w:t>
            </w:r>
          </w:p>
          <w:p>
            <w:pPr>
              <w:keepNext w:val="false"/>
              <w:spacing w:after="0" w:before="0" w:line="252"/>
              <w:jc w:val="left"/>
            </w:pPr>
            <w:r>
              <w:rPr>
                <w:rFonts w:ascii="Sora" w:cs="Sora" w:eastAsia="Sora" w:hAnsi="Sora"/>
                <w:b w:val="false"/>
                <w:bCs w:val="false"/>
                <w:i w:val="false"/>
                <w:iCs w:val="false"/>
                <w:caps w:val="false"/>
                <w:color w:val="1A1B23"/>
                <w:sz w:val="18"/>
                <w:szCs w:val="18"/>
              </w:rPr>
              <w:t xml:space="preserve">Retired claim: "lower monthly costs by up to 40%." Unsupportable without a case study, and it invites exactly the technical scrutiny that cannot yet be survived. SKU I4 reports measured findings instead of a promised percentage.</w:t>
            </w:r>
          </w:p>
        </w:tc>
      </w:tr>
    </w:tbl>
    <w:p>
      <w:r>
        <w:br w:type="page"/>
      </w:r>
    </w:p>
    <w:p>
      <w:pPr>
        <w:pStyle w:val="Heading1"/>
        <w:spacing w:after="0"/>
      </w:pPr>
      <w:r>
        <w:rPr>
          <w:rFonts w:ascii="Sora" w:cs="Sora" w:eastAsia="Sora" w:hAnsi="Sora"/>
          <w:b w:val="false"/>
          <w:bCs w:val="false"/>
          <w:i w:val="false"/>
          <w:iCs w:val="false"/>
          <w:caps w:val="false"/>
          <w:color w:val="1A1B23"/>
          <w:sz w:val="2"/>
          <w:szCs w:val="2"/>
        </w:rPr>
        <w:t xml:space="preserve">05 · School &amp; Education Technology</w:t>
      </w:r>
    </w:p>
    <w:tbl>
      <w:tblPr>
        <w:tblW w:type="dxa" w:w="13680"/>
        <w:tblBorders>
          <w:top w:val="none" w:color="auto" w:sz="0"/>
          <w:left w:val="single" w:color="5D3FD3" w:sz="24"/>
          <w:bottom w:val="none" w:color="auto" w:sz="0"/>
          <w:right w:val="none" w:color="auto" w:sz="0"/>
          <w:insideH w:val="none" w:color="auto" w:sz="0"/>
          <w:insideV w:val="none" w:color="auto" w:sz="0"/>
        </w:tblBorders>
      </w:tblPr>
      <w:tblGrid>
        <w:gridCol w:w="13680"/>
      </w:tblGrid>
      <w:tr>
        <w:trPr>
          <w:cantSplit/>
        </w:trPr>
        <w:tc>
          <w:tcPr>
            <w:tcW w:type="dxa" w:w="13680"/>
            <w:shd w:fill="EDE9FB" w:color="auto" w:val="clear"/>
            <w:tcMar>
              <w:top w:type="dxa" w:w="160"/>
              <w:left w:type="dxa" w:w="220"/>
              <w:bottom w:type="dxa" w:w="160"/>
              <w:right w:type="dxa" w:w="220"/>
            </w:tcMar>
          </w:tcPr>
          <w:p>
            <w:pPr>
              <w:keepNext w:val="false"/>
              <w:spacing w:after="40" w:before="0" w:line="276"/>
              <w:jc w:val="left"/>
            </w:pPr>
            <w:r>
              <w:rPr>
                <w:rFonts w:ascii="JetBrains Mono" w:cs="JetBrains Mono" w:eastAsia="JetBrains Mono" w:hAnsi="JetBrains Mono"/>
                <w:b/>
                <w:bCs/>
                <w:i w:val="false"/>
                <w:iCs w:val="false"/>
                <w:caps w:val="false"/>
                <w:color w:val="5D3FD3"/>
                <w:sz w:val="22"/>
                <w:szCs w:val="22"/>
              </w:rPr>
              <w:t xml:space="preserve">05  </w:t>
            </w:r>
            <w:r>
              <w:rPr>
                <w:rFonts w:ascii="Sora" w:cs="Sora" w:eastAsia="Sora" w:hAnsi="Sora"/>
                <w:b/>
                <w:bCs/>
                <w:i w:val="false"/>
                <w:iCs w:val="false"/>
                <w:caps w:val="false"/>
                <w:color w:val="1A1B23"/>
                <w:spacing w:val="-8"/>
                <w:sz w:val="30"/>
                <w:szCs w:val="30"/>
              </w:rPr>
              <w:t xml:space="preserve">School &amp; Education Technology</w:t>
            </w:r>
          </w:p>
          <w:p>
            <w:pPr>
              <w:keepNext w:val="false"/>
              <w:spacing w:after="0" w:before="0" w:line="276"/>
              <w:jc w:val="left"/>
            </w:pPr>
            <w:r>
              <w:rPr>
                <w:rFonts w:ascii="Sora" w:cs="Sora" w:eastAsia="Sora" w:hAnsi="Sora"/>
                <w:b w:val="false"/>
                <w:bCs w:val="false"/>
                <w:i/>
                <w:iCs/>
                <w:caps w:val="false"/>
                <w:color w:val="64748B"/>
                <w:sz w:val="18"/>
                <w:szCs w:val="18"/>
              </w:rPr>
              <w:t xml:space="preserve">Tecnología para Colegios · STEM &amp; School Solutions</w:t>
            </w:r>
          </w:p>
        </w:tc>
      </w:tr>
    </w:tbl>
    <w:p>
      <w:pPr>
        <w:spacing w:after="160"/>
      </w:pPr>
    </w:p>
    <w:tbl>
      <w:tblPr>
        <w:tblW w:type="dxa" w:w="13680"/>
        <w:tblBorders>
          <w:top w:val="none" w:color="auto" w:sz="0"/>
          <w:left w:val="single" w:color="10B981" w:sz="18"/>
          <w:bottom w:val="none" w:color="auto" w:sz="0"/>
          <w:right w:val="none" w:color="auto" w:sz="0"/>
          <w:insideH w:val="none" w:color="auto" w:sz="0"/>
          <w:insideV w:val="none" w:color="auto" w:sz="0"/>
        </w:tblBorders>
      </w:tblPr>
      <w:tblGrid>
        <w:gridCol w:w="13680"/>
      </w:tblGrid>
      <w:tr>
        <w:trPr>
          <w:cantSplit/>
        </w:trPr>
        <w:tc>
          <w:tcPr>
            <w:tcW w:type="dxa" w:w="13680"/>
            <w:shd w:fill="E6F7F1" w:color="auto" w:val="clear"/>
            <w:tcMar>
              <w:top w:type="dxa" w:w="110"/>
              <w:left w:type="dxa" w:w="190"/>
              <w:bottom w:type="dxa" w:w="110"/>
              <w:right w:type="dxa" w:w="190"/>
            </w:tcMar>
          </w:tcPr>
          <w:p>
            <w:pPr>
              <w:keepNext w:val="false"/>
              <w:spacing w:after="60" w:before="0" w:line="276"/>
              <w:jc w:val="left"/>
            </w:pPr>
            <w:r>
              <w:rPr>
                <w:rFonts w:ascii="JetBrains Mono" w:cs="JetBrains Mono" w:eastAsia="JetBrains Mono" w:hAnsi="JetBrains Mono"/>
                <w:b/>
                <w:bCs/>
                <w:i w:val="false"/>
                <w:iCs w:val="false"/>
                <w:caps/>
                <w:color w:val="10B981"/>
                <w:spacing w:val="20"/>
                <w:sz w:val="14"/>
                <w:szCs w:val="14"/>
              </w:rPr>
              <w:t xml:space="preserve">ADVANTAGE</w:t>
            </w:r>
          </w:p>
          <w:p>
            <w:pPr>
              <w:keepNext w:val="false"/>
              <w:spacing w:after="0" w:before="0" w:line="252"/>
              <w:jc w:val="left"/>
            </w:pPr>
            <w:r>
              <w:rPr>
                <w:rFonts w:ascii="Sora" w:cs="Sora" w:eastAsia="Sora" w:hAnsi="Sora"/>
                <w:b w:val="false"/>
                <w:bCs w:val="false"/>
                <w:i w:val="false"/>
                <w:iCs w:val="false"/>
                <w:caps w:val="false"/>
                <w:color w:val="1A1B23"/>
                <w:sz w:val="18"/>
                <w:szCs w:val="18"/>
              </w:rPr>
              <w:t xml:space="preserve">This is the moat — the only category with a defensible, unfair advantage on day one: an active IT Manager role inside a Mexican colegio, Google Certified Educator L2, a CS teaching practice, and access to the IT-coordinator referral network private schools rely on. The credentials already held are the exact credentials this buyer values. It was entirely absent from the original service list. Commercial profile: annual budget cycles, multi-year contracts, near-zero churn, dense referrals. One reference account unlocks a segment.</w:t>
            </w:r>
          </w:p>
        </w:tc>
      </w:tr>
    </w:tbl>
    <w:p>
      <w:pPr>
        <w:spacing w:after="90"/>
      </w:pPr>
    </w:p>
    <w:tbl>
      <w:tblPr>
        <w:tblW w:type="dxa" w:w="13680"/>
        <w:tblBorders>
          <w:top w:val="single" w:color="DCDCE4" w:sz="2"/>
          <w:left w:val="single" w:color="DCDCE4" w:sz="2"/>
          <w:bottom w:val="single" w:color="DCDCE4" w:sz="2"/>
          <w:right w:val="single" w:color="DCDCE4" w:sz="2"/>
          <w:insideH w:val="single" w:color="DCDCE4" w:sz="2"/>
          <w:insideV w:val="single" w:color="DCDCE4" w:sz="2"/>
        </w:tblBorders>
      </w:tblPr>
      <w:tblGrid>
        <w:gridCol w:w="2000"/>
        <w:gridCol w:w="11680"/>
      </w:tblGrid>
      <w:tr>
        <w:trPr>
          <w:cantSplit/>
          <w:tblHeader/>
        </w:trPr>
        <w:tc>
          <w:tcPr>
            <w:tcW w:type="dxa" w:w="200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Dimension</w:t>
            </w:r>
          </w:p>
        </w:tc>
        <w:tc>
          <w:tcPr>
            <w:tcW w:type="dxa" w:w="1168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Definition</w:t>
            </w:r>
          </w:p>
        </w:tc>
      </w:tr>
      <w:tr>
        <w:trPr>
          <w:cantSplit/>
        </w:trPr>
        <w:tc>
          <w:tcPr>
            <w:tcW w:type="dxa" w:w="20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Buyer</w:t>
            </w:r>
          </w:p>
        </w:tc>
        <w:tc>
          <w:tcPr>
            <w:tcW w:type="dxa" w:w="1168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Director or dueño of a private colegio, coordinador de TI, administración.</w:t>
            </w:r>
          </w:p>
        </w:tc>
      </w:tr>
      <w:tr>
        <w:trPr>
          <w:cantSplit/>
        </w:trPr>
        <w:tc>
          <w:tcPr>
            <w:tcW w:type="dxa" w:w="200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Trigger event</w:t>
            </w:r>
          </w:p>
        </w:tc>
        <w:tc>
          <w:tcPr>
            <w:tcW w:type="dxa" w:w="1168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Budget planning season · a parent-communication failure · regulatory pressure · a competitor school digitised.</w:t>
            </w:r>
          </w:p>
        </w:tc>
      </w:tr>
    </w:tbl>
    <w:p>
      <w:pPr>
        <w:spacing w:after="90"/>
      </w:pPr>
    </w:p>
    <w:tbl>
      <w:tblPr>
        <w:tblW w:type="dxa" w:w="13680"/>
        <w:tblBorders>
          <w:top w:val="single" w:color="DCDCE4" w:sz="2"/>
          <w:left w:val="single" w:color="DCDCE4" w:sz="2"/>
          <w:bottom w:val="single" w:color="DCDCE4" w:sz="2"/>
          <w:right w:val="single" w:color="DCDCE4" w:sz="2"/>
          <w:insideH w:val="single" w:color="DCDCE4" w:sz="2"/>
          <w:insideV w:val="single" w:color="DCDCE4" w:sz="2"/>
        </w:tblBorders>
      </w:tblPr>
      <w:tblGrid>
        <w:gridCol w:w="660"/>
        <w:gridCol w:w="3940"/>
        <w:gridCol w:w="2180"/>
        <w:gridCol w:w="3300"/>
        <w:gridCol w:w="1400"/>
        <w:gridCol w:w="860"/>
        <w:gridCol w:w="1340"/>
      </w:tblGrid>
      <w:tr>
        <w:trPr>
          <w:cantSplit/>
          <w:tblHeader/>
        </w:trPr>
        <w:tc>
          <w:tcPr>
            <w:tcW w:type="dxa" w:w="66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SKU</w:t>
            </w:r>
          </w:p>
        </w:tc>
        <w:tc>
          <w:tcPr>
            <w:tcW w:type="dxa" w:w="394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Micro-service</w:t>
            </w:r>
          </w:p>
        </w:tc>
        <w:tc>
          <w:tcPr>
            <w:tcW w:type="dxa" w:w="218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Nombre comercial (ES)</w:t>
            </w:r>
          </w:p>
        </w:tc>
        <w:tc>
          <w:tcPr>
            <w:tcW w:type="dxa" w:w="330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Outcome sold</w:t>
            </w:r>
          </w:p>
        </w:tc>
        <w:tc>
          <w:tcPr>
            <w:tcW w:type="dxa" w:w="140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Price (MXN)</w:t>
            </w:r>
          </w:p>
        </w:tc>
        <w:tc>
          <w:tcPr>
            <w:tcW w:type="dxa" w:w="86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Hrs</w:t>
            </w:r>
          </w:p>
        </w:tc>
        <w:tc>
          <w:tcPr>
            <w:tcW w:type="dxa" w:w="134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Model</w:t>
            </w:r>
          </w:p>
        </w:tc>
      </w:tr>
      <w:tr>
        <w:trPr>
          <w:cantSplit/>
        </w:trPr>
        <w:tc>
          <w:tcPr>
            <w:tcW w:type="dxa" w:w="660"/>
            <w:shd w:fill="EDE9FB"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E1</w:t>
            </w:r>
          </w:p>
        </w:tc>
        <w:tc>
          <w:tcPr>
            <w:tcW w:type="dxa" w:w="3940"/>
            <w:shd w:fill="EDE9FB"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School IT Audit — infrastructure, software, data-risk and cost review</w:t>
            </w:r>
          </w:p>
        </w:tc>
        <w:tc>
          <w:tcPr>
            <w:tcW w:type="dxa" w:w="2180"/>
            <w:shd w:fill="EDE9FB"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iCs/>
                <w:caps w:val="false"/>
                <w:color w:val="64748B"/>
                <w:sz w:val="17"/>
                <w:szCs w:val="17"/>
              </w:rPr>
              <w:t xml:space="preserve">Auditoría de TI Escolar</w:t>
            </w:r>
          </w:p>
        </w:tc>
        <w:tc>
          <w:tcPr>
            <w:tcW w:type="dxa" w:w="3300"/>
            <w:shd w:fill="EDE9FB"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Un diagnóstico completo de la tecnología de tu colegio</w:t>
            </w:r>
          </w:p>
        </w:tc>
        <w:tc>
          <w:tcPr>
            <w:tcW w:type="dxa" w:w="1400"/>
            <w:shd w:fill="EDE9FB"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12,000</w:t>
            </w:r>
          </w:p>
        </w:tc>
        <w:tc>
          <w:tcPr>
            <w:tcW w:type="dxa" w:w="860"/>
            <w:shd w:fill="EDE9FB"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64748B"/>
                <w:sz w:val="17"/>
                <w:szCs w:val="17"/>
              </w:rPr>
              <w:t xml:space="preserve">8 h</w:t>
            </w:r>
          </w:p>
        </w:tc>
        <w:tc>
          <w:tcPr>
            <w:tcW w:type="dxa" w:w="1340"/>
            <w:shd w:fill="EDE9FB"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TRIPWIRE</w:t>
            </w:r>
          </w:p>
        </w:tc>
      </w:tr>
      <w:tr>
        <w:trPr>
          <w:cantSplit/>
        </w:trPr>
        <w:tc>
          <w:tcPr>
            <w:tcW w:type="dxa" w:w="66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E2</w:t>
            </w:r>
          </w:p>
        </w:tc>
        <w:tc>
          <w:tcPr>
            <w:tcW w:type="dxa" w:w="394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Parent Communication 24/7 — WhatsApp automation for circulares, absences, payments, FAQs</w:t>
            </w:r>
          </w:p>
        </w:tc>
        <w:tc>
          <w:tcPr>
            <w:tcW w:type="dxa" w:w="218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iCs/>
                <w:caps w:val="false"/>
                <w:color w:val="64748B"/>
                <w:sz w:val="17"/>
                <w:szCs w:val="17"/>
              </w:rPr>
              <w:t xml:space="preserve">Comunicación con Padres 24/7</w:t>
            </w:r>
          </w:p>
        </w:tc>
        <w:tc>
          <w:tcPr>
            <w:tcW w:type="dxa" w:w="330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Los padres reciben respuestas al instante; la administración deja de saturarse</w:t>
            </w:r>
          </w:p>
        </w:tc>
        <w:tc>
          <w:tcPr>
            <w:tcW w:type="dxa" w:w="140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45,000</w:t>
            </w:r>
          </w:p>
        </w:tc>
        <w:tc>
          <w:tcPr>
            <w:tcW w:type="dxa" w:w="86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64748B"/>
                <w:sz w:val="17"/>
                <w:szCs w:val="17"/>
              </w:rPr>
              <w:t xml:space="preserve">30 h</w:t>
            </w:r>
          </w:p>
        </w:tc>
        <w:tc>
          <w:tcPr>
            <w:tcW w:type="dxa" w:w="134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0284C7"/>
                <w:sz w:val="17"/>
                <w:szCs w:val="17"/>
              </w:rPr>
              <w:t xml:space="preserve">HYB</w:t>
            </w:r>
          </w:p>
        </w:tc>
      </w:tr>
      <w:tr>
        <w:trPr>
          <w:cantSplit/>
        </w:trPr>
        <w:tc>
          <w:tcPr>
            <w:tcW w:type="dxa" w:w="66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E3</w:t>
            </w:r>
          </w:p>
        </w:tc>
        <w:tc>
          <w:tcPr>
            <w:tcW w:type="dxa" w:w="394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Admissions Funnel Automation — inquiry, qualification, CRM, follow-up</w:t>
            </w:r>
          </w:p>
        </w:tc>
        <w:tc>
          <w:tcPr>
            <w:tcW w:type="dxa" w:w="218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iCs/>
                <w:caps w:val="false"/>
                <w:color w:val="64748B"/>
                <w:sz w:val="17"/>
                <w:szCs w:val="17"/>
              </w:rPr>
              <w:t xml:space="preserve">Embudo de Admisiones</w:t>
            </w:r>
          </w:p>
        </w:tc>
        <w:tc>
          <w:tcPr>
            <w:tcW w:type="dxa" w:w="33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No se pierde ni un solo prospecto de inscripción</w:t>
            </w:r>
          </w:p>
        </w:tc>
        <w:tc>
          <w:tcPr>
            <w:tcW w:type="dxa" w:w="140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55,000</w:t>
            </w:r>
          </w:p>
        </w:tc>
        <w:tc>
          <w:tcPr>
            <w:tcW w:type="dxa" w:w="86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64748B"/>
                <w:sz w:val="17"/>
                <w:szCs w:val="17"/>
              </w:rPr>
              <w:t xml:space="preserve">35 h</w:t>
            </w:r>
          </w:p>
        </w:tc>
        <w:tc>
          <w:tcPr>
            <w:tcW w:type="dxa" w:w="134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0284C7"/>
                <w:sz w:val="17"/>
                <w:szCs w:val="17"/>
              </w:rPr>
              <w:t xml:space="preserve">HYB</w:t>
            </w:r>
          </w:p>
        </w:tc>
      </w:tr>
      <w:tr>
        <w:trPr>
          <w:cantSplit/>
        </w:trPr>
        <w:tc>
          <w:tcPr>
            <w:tcW w:type="dxa" w:w="66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E4</w:t>
            </w:r>
          </w:p>
        </w:tc>
        <w:tc>
          <w:tcPr>
            <w:tcW w:type="dxa" w:w="394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LFPDPPP for Schools — student data is minors sensitive data: the highest exposure category under the 2025 law</w:t>
            </w:r>
          </w:p>
        </w:tc>
        <w:tc>
          <w:tcPr>
            <w:tcW w:type="dxa" w:w="218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iCs/>
                <w:caps w:val="false"/>
                <w:color w:val="64748B"/>
                <w:sz w:val="17"/>
                <w:szCs w:val="17"/>
              </w:rPr>
              <w:t xml:space="preserve">Cumplimiento LFPDPPP para Colegios</w:t>
            </w:r>
          </w:p>
        </w:tc>
        <w:tc>
          <w:tcPr>
            <w:tcW w:type="dxa" w:w="330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Protege los datos de tus alumnos y a la institución</w:t>
            </w:r>
          </w:p>
        </w:tc>
        <w:tc>
          <w:tcPr>
            <w:tcW w:type="dxa" w:w="140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25,000</w:t>
            </w:r>
          </w:p>
        </w:tc>
        <w:tc>
          <w:tcPr>
            <w:tcW w:type="dxa" w:w="86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64748B"/>
                <w:sz w:val="17"/>
                <w:szCs w:val="17"/>
              </w:rPr>
              <w:t xml:space="preserve">15 h</w:t>
            </w:r>
          </w:p>
        </w:tc>
        <w:tc>
          <w:tcPr>
            <w:tcW w:type="dxa" w:w="134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0284C7"/>
                <w:sz w:val="17"/>
                <w:szCs w:val="17"/>
              </w:rPr>
              <w:t xml:space="preserve">ONE</w:t>
            </w:r>
          </w:p>
        </w:tc>
      </w:tr>
      <w:tr>
        <w:trPr>
          <w:cantSplit/>
        </w:trPr>
        <w:tc>
          <w:tcPr>
            <w:tcW w:type="dxa" w:w="66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E5</w:t>
            </w:r>
          </w:p>
        </w:tc>
        <w:tc>
          <w:tcPr>
            <w:tcW w:type="dxa" w:w="394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Managed School IT — monthly support: infrastructure, accounts, devices, Workspace</w:t>
            </w:r>
          </w:p>
        </w:tc>
        <w:tc>
          <w:tcPr>
            <w:tcW w:type="dxa" w:w="218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iCs/>
                <w:caps w:val="false"/>
                <w:color w:val="64748B"/>
                <w:sz w:val="17"/>
                <w:szCs w:val="17"/>
              </w:rPr>
              <w:t xml:space="preserve">Soporte TI Escolar Gestionado</w:t>
            </w:r>
          </w:p>
        </w:tc>
        <w:tc>
          <w:tcPr>
            <w:tcW w:type="dxa" w:w="33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Tu departamento de TI, sin contratar una plaza</w:t>
            </w:r>
          </w:p>
        </w:tc>
        <w:tc>
          <w:tcPr>
            <w:tcW w:type="dxa" w:w="140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12,000–20,000/mo</w:t>
            </w:r>
          </w:p>
        </w:tc>
        <w:tc>
          <w:tcPr>
            <w:tcW w:type="dxa" w:w="86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64748B"/>
                <w:sz w:val="17"/>
                <w:szCs w:val="17"/>
              </w:rPr>
              <w:t xml:space="preserve">6–10 h/mo</w:t>
            </w:r>
          </w:p>
        </w:tc>
        <w:tc>
          <w:tcPr>
            <w:tcW w:type="dxa" w:w="134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0284C7"/>
                <w:sz w:val="17"/>
                <w:szCs w:val="17"/>
              </w:rPr>
              <w:t xml:space="preserve">RET</w:t>
            </w:r>
          </w:p>
        </w:tc>
      </w:tr>
      <w:tr>
        <w:trPr>
          <w:cantSplit/>
        </w:trPr>
        <w:tc>
          <w:tcPr>
            <w:tcW w:type="dxa" w:w="66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E6</w:t>
            </w:r>
          </w:p>
        </w:tc>
        <w:tc>
          <w:tcPr>
            <w:tcW w:type="dxa" w:w="394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STEM &amp; AI Teacher Training — faculty upskilling, coding and AI curriculum</w:t>
            </w:r>
          </w:p>
        </w:tc>
        <w:tc>
          <w:tcPr>
            <w:tcW w:type="dxa" w:w="218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iCs/>
                <w:caps w:val="false"/>
                <w:color w:val="64748B"/>
                <w:sz w:val="17"/>
                <w:szCs w:val="17"/>
              </w:rPr>
              <w:t xml:space="preserve">Capacitación STEM y IA Docente</w:t>
            </w:r>
          </w:p>
        </w:tc>
        <w:tc>
          <w:tcPr>
            <w:tcW w:type="dxa" w:w="330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Docentes capacitados en IA y programación</w:t>
            </w:r>
          </w:p>
        </w:tc>
        <w:tc>
          <w:tcPr>
            <w:tcW w:type="dxa" w:w="140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20,000/cohort</w:t>
            </w:r>
          </w:p>
        </w:tc>
        <w:tc>
          <w:tcPr>
            <w:tcW w:type="dxa" w:w="86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64748B"/>
                <w:sz w:val="17"/>
                <w:szCs w:val="17"/>
              </w:rPr>
              <w:t xml:space="preserve">12 h</w:t>
            </w:r>
          </w:p>
        </w:tc>
        <w:tc>
          <w:tcPr>
            <w:tcW w:type="dxa" w:w="134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0284C7"/>
                <w:sz w:val="17"/>
                <w:szCs w:val="17"/>
              </w:rPr>
              <w:t xml:space="preserve">ONE</w:t>
            </w:r>
          </w:p>
        </w:tc>
      </w:tr>
      <w:tr>
        <w:trPr>
          <w:cantSplit/>
        </w:trPr>
        <w:tc>
          <w:tcPr>
            <w:tcW w:type="dxa" w:w="66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E7</w:t>
            </w:r>
          </w:p>
        </w:tc>
        <w:tc>
          <w:tcPr>
            <w:tcW w:type="dxa" w:w="394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Google Workspace for Education Deployment — rollout, admin console, security, Classroom</w:t>
            </w:r>
          </w:p>
        </w:tc>
        <w:tc>
          <w:tcPr>
            <w:tcW w:type="dxa" w:w="218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iCs/>
                <w:caps w:val="false"/>
                <w:color w:val="64748B"/>
                <w:sz w:val="17"/>
                <w:szCs w:val="17"/>
              </w:rPr>
              <w:t xml:space="preserve">Implementación Google Workspace Educativo</w:t>
            </w:r>
          </w:p>
        </w:tc>
        <w:tc>
          <w:tcPr>
            <w:tcW w:type="dxa" w:w="33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Todo el colegio en una plataforma, bien configurada</w:t>
            </w:r>
          </w:p>
        </w:tc>
        <w:tc>
          <w:tcPr>
            <w:tcW w:type="dxa" w:w="140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35,000</w:t>
            </w:r>
          </w:p>
        </w:tc>
        <w:tc>
          <w:tcPr>
            <w:tcW w:type="dxa" w:w="86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64748B"/>
                <w:sz w:val="17"/>
                <w:szCs w:val="17"/>
              </w:rPr>
              <w:t xml:space="preserve">25 h</w:t>
            </w:r>
          </w:p>
        </w:tc>
        <w:tc>
          <w:tcPr>
            <w:tcW w:type="dxa" w:w="134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0284C7"/>
                <w:sz w:val="17"/>
                <w:szCs w:val="17"/>
              </w:rPr>
              <w:t xml:space="preserve">ONE</w:t>
            </w:r>
          </w:p>
        </w:tc>
      </w:tr>
    </w:tbl>
    <w:p>
      <w:pPr>
        <w:spacing w:after="140"/>
      </w:pPr>
    </w:p>
    <w:tbl>
      <w:tblPr>
        <w:tblW w:type="dxa" w:w="13680"/>
        <w:tblBorders>
          <w:top w:val="none" w:color="auto" w:sz="0"/>
          <w:left w:val="single" w:color="E11D48" w:sz="18"/>
          <w:bottom w:val="none" w:color="auto" w:sz="0"/>
          <w:right w:val="none" w:color="auto" w:sz="0"/>
          <w:insideH w:val="none" w:color="auto" w:sz="0"/>
          <w:insideV w:val="none" w:color="auto" w:sz="0"/>
        </w:tblBorders>
      </w:tblPr>
      <w:tblGrid>
        <w:gridCol w:w="13680"/>
      </w:tblGrid>
      <w:tr>
        <w:trPr>
          <w:cantSplit/>
        </w:trPr>
        <w:tc>
          <w:tcPr>
            <w:tcW w:type="dxa" w:w="13680"/>
            <w:shd w:fill="FEE9EE" w:color="auto" w:val="clear"/>
            <w:tcMar>
              <w:top w:type="dxa" w:w="110"/>
              <w:left w:type="dxa" w:w="190"/>
              <w:bottom w:type="dxa" w:w="110"/>
              <w:right w:type="dxa" w:w="190"/>
            </w:tcMar>
          </w:tcPr>
          <w:p>
            <w:pPr>
              <w:keepNext w:val="false"/>
              <w:spacing w:after="60" w:before="0" w:line="276"/>
              <w:jc w:val="left"/>
            </w:pPr>
            <w:r>
              <w:rPr>
                <w:rFonts w:ascii="JetBrains Mono" w:cs="JetBrains Mono" w:eastAsia="JetBrains Mono" w:hAnsi="JetBrains Mono"/>
                <w:b/>
                <w:bCs/>
                <w:i w:val="false"/>
                <w:iCs w:val="false"/>
                <w:caps/>
                <w:color w:val="E11D48"/>
                <w:spacing w:val="20"/>
                <w:sz w:val="14"/>
                <w:szCs w:val="14"/>
              </w:rPr>
              <w:t xml:space="preserve">BLOCKING RISK</w:t>
            </w:r>
          </w:p>
          <w:p>
            <w:pPr>
              <w:keepNext w:val="false"/>
              <w:spacing w:after="0" w:before="0" w:line="252"/>
              <w:jc w:val="left"/>
            </w:pPr>
            <w:r>
              <w:rPr>
                <w:rFonts w:ascii="Sora" w:cs="Sora" w:eastAsia="Sora" w:hAnsi="Sora"/>
                <w:b w:val="false"/>
                <w:bCs w:val="false"/>
                <w:i w:val="false"/>
                <w:iCs w:val="false"/>
                <w:caps w:val="false"/>
                <w:color w:val="1A1B23"/>
                <w:sz w:val="18"/>
                <w:szCs w:val="18"/>
              </w:rPr>
              <w:t xml:space="preserve">Resolve before launching this unit. Selling to other colegios while employed by one may breach a non-compete or an ethics expectation. Disclose to the employer and obtain written clarity first. Handled early, it is a non-issue. Handled late, it costs the job and the segment.</w:t>
            </w:r>
          </w:p>
        </w:tc>
      </w:tr>
    </w:tbl>
    <w:p>
      <w:r>
        <w:br w:type="page"/>
      </w:r>
    </w:p>
    <w:p>
      <w:pPr>
        <w:pStyle w:val="Heading1"/>
        <w:spacing w:after="0"/>
      </w:pPr>
      <w:r>
        <w:rPr>
          <w:rFonts w:ascii="Sora" w:cs="Sora" w:eastAsia="Sora" w:hAnsi="Sora"/>
          <w:b w:val="false"/>
          <w:bCs w:val="false"/>
          <w:i w:val="false"/>
          <w:iCs w:val="false"/>
          <w:caps w:val="false"/>
          <w:color w:val="1A1B23"/>
          <w:sz w:val="2"/>
          <w:szCs w:val="2"/>
        </w:rPr>
        <w:t xml:space="preserve">06 · Digital Products &amp; Training</w:t>
      </w:r>
    </w:p>
    <w:tbl>
      <w:tblPr>
        <w:tblW w:type="dxa" w:w="13680"/>
        <w:tblBorders>
          <w:top w:val="none" w:color="auto" w:sz="0"/>
          <w:left w:val="single" w:color="5D3FD3" w:sz="24"/>
          <w:bottom w:val="none" w:color="auto" w:sz="0"/>
          <w:right w:val="none" w:color="auto" w:sz="0"/>
          <w:insideH w:val="none" w:color="auto" w:sz="0"/>
          <w:insideV w:val="none" w:color="auto" w:sz="0"/>
        </w:tblBorders>
      </w:tblPr>
      <w:tblGrid>
        <w:gridCol w:w="13680"/>
      </w:tblGrid>
      <w:tr>
        <w:trPr>
          <w:cantSplit/>
        </w:trPr>
        <w:tc>
          <w:tcPr>
            <w:tcW w:type="dxa" w:w="13680"/>
            <w:shd w:fill="EDE9FB" w:color="auto" w:val="clear"/>
            <w:tcMar>
              <w:top w:type="dxa" w:w="160"/>
              <w:left w:type="dxa" w:w="220"/>
              <w:bottom w:type="dxa" w:w="160"/>
              <w:right w:type="dxa" w:w="220"/>
            </w:tcMar>
          </w:tcPr>
          <w:p>
            <w:pPr>
              <w:keepNext w:val="false"/>
              <w:spacing w:after="40" w:before="0" w:line="276"/>
              <w:jc w:val="left"/>
            </w:pPr>
            <w:r>
              <w:rPr>
                <w:rFonts w:ascii="JetBrains Mono" w:cs="JetBrains Mono" w:eastAsia="JetBrains Mono" w:hAnsi="JetBrains Mono"/>
                <w:b/>
                <w:bCs/>
                <w:i w:val="false"/>
                <w:iCs w:val="false"/>
                <w:caps w:val="false"/>
                <w:color w:val="5D3FD3"/>
                <w:sz w:val="22"/>
                <w:szCs w:val="22"/>
              </w:rPr>
              <w:t xml:space="preserve">06  </w:t>
            </w:r>
            <w:r>
              <w:rPr>
                <w:rFonts w:ascii="Sora" w:cs="Sora" w:eastAsia="Sora" w:hAnsi="Sora"/>
                <w:b/>
                <w:bCs/>
                <w:i w:val="false"/>
                <w:iCs w:val="false"/>
                <w:caps w:val="false"/>
                <w:color w:val="1A1B23"/>
                <w:spacing w:val="-8"/>
                <w:sz w:val="30"/>
                <w:szCs w:val="30"/>
              </w:rPr>
              <w:t xml:space="preserve">Digital Products &amp; Training</w:t>
            </w:r>
          </w:p>
          <w:p>
            <w:pPr>
              <w:keepNext w:val="false"/>
              <w:spacing w:after="0" w:before="0" w:line="276"/>
              <w:jc w:val="left"/>
            </w:pPr>
            <w:r>
              <w:rPr>
                <w:rFonts w:ascii="Sora" w:cs="Sora" w:eastAsia="Sora" w:hAnsi="Sora"/>
                <w:b w:val="false"/>
                <w:bCs w:val="false"/>
                <w:i/>
                <w:iCs/>
                <w:caps w:val="false"/>
                <w:color w:val="64748B"/>
                <w:sz w:val="18"/>
                <w:szCs w:val="18"/>
              </w:rPr>
              <w:t xml:space="preserve">Productos Digitales y Capacitación</w:t>
            </w:r>
          </w:p>
        </w:tc>
      </w:tr>
    </w:tbl>
    <w:p>
      <w:pPr>
        <w:spacing w:after="160"/>
      </w:pPr>
    </w:p>
    <w:tbl>
      <w:tblPr>
        <w:tblW w:type="dxa" w:w="13680"/>
        <w:tblBorders>
          <w:top w:val="none" w:color="auto" w:sz="0"/>
          <w:left w:val="single" w:color="10B981" w:sz="18"/>
          <w:bottom w:val="none" w:color="auto" w:sz="0"/>
          <w:right w:val="none" w:color="auto" w:sz="0"/>
          <w:insideH w:val="none" w:color="auto" w:sz="0"/>
          <w:insideV w:val="none" w:color="auto" w:sz="0"/>
        </w:tblBorders>
      </w:tblPr>
      <w:tblGrid>
        <w:gridCol w:w="13680"/>
      </w:tblGrid>
      <w:tr>
        <w:trPr>
          <w:cantSplit/>
        </w:trPr>
        <w:tc>
          <w:tcPr>
            <w:tcW w:type="dxa" w:w="13680"/>
            <w:shd w:fill="E6F7F1" w:color="auto" w:val="clear"/>
            <w:tcMar>
              <w:top w:type="dxa" w:w="110"/>
              <w:left w:type="dxa" w:w="190"/>
              <w:bottom w:type="dxa" w:w="110"/>
              <w:right w:type="dxa" w:w="190"/>
            </w:tcMar>
          </w:tcPr>
          <w:p>
            <w:pPr>
              <w:keepNext w:val="false"/>
              <w:spacing w:after="60" w:before="0" w:line="276"/>
              <w:jc w:val="left"/>
            </w:pPr>
            <w:r>
              <w:rPr>
                <w:rFonts w:ascii="JetBrains Mono" w:cs="JetBrains Mono" w:eastAsia="JetBrains Mono" w:hAnsi="JetBrains Mono"/>
                <w:b/>
                <w:bCs/>
                <w:i w:val="false"/>
                <w:iCs w:val="false"/>
                <w:caps/>
                <w:color w:val="10B981"/>
                <w:spacing w:val="20"/>
                <w:sz w:val="14"/>
                <w:szCs w:val="14"/>
              </w:rPr>
              <w:t xml:space="preserve">ADVANTAGE</w:t>
            </w:r>
          </w:p>
          <w:p>
            <w:pPr>
              <w:keepNext w:val="false"/>
              <w:spacing w:after="0" w:before="0" w:line="252"/>
              <w:jc w:val="left"/>
            </w:pPr>
            <w:r>
              <w:rPr>
                <w:rFonts w:ascii="Sora" w:cs="Sora" w:eastAsia="Sora" w:hAnsi="Sora"/>
                <w:b w:val="false"/>
                <w:bCs w:val="false"/>
                <w:i w:val="false"/>
                <w:iCs w:val="false"/>
                <w:caps w:val="false"/>
                <w:color w:val="1A1B23"/>
                <w:sz w:val="18"/>
                <w:szCs w:val="18"/>
              </w:rPr>
              <w:t xml:space="preserve">The only unit that scales past available hours. Every peso in categories 01 through 05 is tied to an hour of delivery time, and hours are hard-capped. This unit is not. The mustaphaukizuru.com platform already ships a complete store — cart, checkout, orders, secure downloads, payments — and it is currently empty. That is the largest unexploited asset in the business.</w:t>
            </w:r>
          </w:p>
        </w:tc>
      </w:tr>
    </w:tbl>
    <w:p>
      <w:pPr>
        <w:spacing w:after="140"/>
      </w:pPr>
    </w:p>
    <w:p>
      <w:pPr>
        <w:keepNext w:val="false"/>
        <w:spacing w:after="120" w:before="0" w:line="276"/>
        <w:jc w:val="left"/>
      </w:pPr>
      <w:r>
        <w:rPr>
          <w:rFonts w:ascii="Sora" w:cs="Sora" w:eastAsia="Sora" w:hAnsi="Sora"/>
          <w:b w:val="false"/>
          <w:bCs w:val="false"/>
          <w:i w:val="false"/>
          <w:iCs w:val="false"/>
          <w:caps w:val="false"/>
          <w:color w:val="1A1B23"/>
          <w:sz w:val="20"/>
          <w:szCs w:val="20"/>
        </w:rPr>
        <w:t xml:space="preserve">Operating rule: every project delivered in categories 01 through 05 must throw off a reusable asset that becomes a SKU here. This is the compounding mechanism of the entire business, and the only revenue that survives a return to full-time employment.</w:t>
      </w:r>
    </w:p>
    <w:p>
      <w:pPr>
        <w:spacing w:after="80"/>
      </w:pPr>
    </w:p>
    <w:tbl>
      <w:tblPr>
        <w:tblW w:type="dxa" w:w="13680"/>
        <w:tblBorders>
          <w:top w:val="single" w:color="DCDCE4" w:sz="2"/>
          <w:left w:val="single" w:color="DCDCE4" w:sz="2"/>
          <w:bottom w:val="single" w:color="DCDCE4" w:sz="2"/>
          <w:right w:val="single" w:color="DCDCE4" w:sz="2"/>
          <w:insideH w:val="single" w:color="DCDCE4" w:sz="2"/>
          <w:insideV w:val="single" w:color="DCDCE4" w:sz="2"/>
        </w:tblBorders>
      </w:tblPr>
      <w:tblGrid>
        <w:gridCol w:w="760"/>
        <w:gridCol w:w="5200"/>
        <w:gridCol w:w="1800"/>
        <w:gridCol w:w="2000"/>
        <w:gridCol w:w="3920"/>
      </w:tblGrid>
      <w:tr>
        <w:trPr>
          <w:cantSplit/>
          <w:tblHeader/>
        </w:trPr>
        <w:tc>
          <w:tcPr>
            <w:tcW w:type="dxa" w:w="76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SKU</w:t>
            </w:r>
          </w:p>
        </w:tc>
        <w:tc>
          <w:tcPr>
            <w:tcW w:type="dxa" w:w="520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Product</w:t>
            </w:r>
          </w:p>
        </w:tc>
        <w:tc>
          <w:tcPr>
            <w:tcW w:type="dxa" w:w="180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Price (MXN)</w:t>
            </w:r>
          </w:p>
        </w:tc>
        <w:tc>
          <w:tcPr>
            <w:tcW w:type="dxa" w:w="200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Marginal cost</w:t>
            </w:r>
          </w:p>
        </w:tc>
        <w:tc>
          <w:tcPr>
            <w:tcW w:type="dxa" w:w="392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Productised from</w:t>
            </w:r>
          </w:p>
        </w:tc>
      </w:tr>
      <w:tr>
        <w:trPr>
          <w:cantSplit/>
        </w:trPr>
        <w:tc>
          <w:tcPr>
            <w:tcW w:type="dxa" w:w="76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D1</w:t>
            </w:r>
          </w:p>
        </w:tc>
        <w:tc>
          <w:tcPr>
            <w:tcW w:type="dxa" w:w="52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Kit de Cumplimiento LFPDPPP 2025 — aviso de privacidad templates, ARCO handling, retention policy, 20-point checklist</w:t>
            </w:r>
          </w:p>
        </w:tc>
        <w:tc>
          <w:tcPr>
            <w:tcW w:type="dxa" w:w="180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1,500</w:t>
            </w:r>
          </w:p>
        </w:tc>
        <w:tc>
          <w:tcPr>
            <w:tcW w:type="dxa" w:w="200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0B981"/>
                <w:sz w:val="17"/>
                <w:szCs w:val="17"/>
              </w:rPr>
              <w:t xml:space="preserve">0</w:t>
            </w:r>
          </w:p>
        </w:tc>
        <w:tc>
          <w:tcPr>
            <w:tcW w:type="dxa" w:w="392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1A1B23"/>
                <w:sz w:val="17"/>
                <w:szCs w:val="17"/>
              </w:rPr>
              <w:t xml:space="preserve">C1 / C2</w:t>
            </w:r>
          </w:p>
        </w:tc>
      </w:tr>
      <w:tr>
        <w:trPr>
          <w:cantSplit/>
        </w:trPr>
        <w:tc>
          <w:tcPr>
            <w:tcW w:type="dxa" w:w="76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D2</w:t>
            </w:r>
          </w:p>
        </w:tc>
        <w:tc>
          <w:tcPr>
            <w:tcW w:type="dxa" w:w="520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Plantilla: Bot de WhatsApp para PyMEs — Make/n8n blueprint, prompt library, setup guide</w:t>
            </w:r>
          </w:p>
        </w:tc>
        <w:tc>
          <w:tcPr>
            <w:tcW w:type="dxa" w:w="180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900</w:t>
            </w:r>
          </w:p>
        </w:tc>
        <w:tc>
          <w:tcPr>
            <w:tcW w:type="dxa" w:w="200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0B981"/>
                <w:sz w:val="17"/>
                <w:szCs w:val="17"/>
              </w:rPr>
              <w:t xml:space="preserve">0</w:t>
            </w:r>
          </w:p>
        </w:tc>
        <w:tc>
          <w:tcPr>
            <w:tcW w:type="dxa" w:w="392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1A1B23"/>
                <w:sz w:val="17"/>
                <w:szCs w:val="17"/>
              </w:rPr>
              <w:t xml:space="preserve">A1</w:t>
            </w:r>
          </w:p>
        </w:tc>
      </w:tr>
      <w:tr>
        <w:trPr>
          <w:cantSplit/>
        </w:trPr>
        <w:tc>
          <w:tcPr>
            <w:tcW w:type="dxa" w:w="76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D3</w:t>
            </w:r>
          </w:p>
        </w:tc>
        <w:tc>
          <w:tcPr>
            <w:tcW w:type="dxa" w:w="52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Parser CFDI → Excel — script and guide</w:t>
            </w:r>
          </w:p>
        </w:tc>
        <w:tc>
          <w:tcPr>
            <w:tcW w:type="dxa" w:w="180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1,200</w:t>
            </w:r>
          </w:p>
        </w:tc>
        <w:tc>
          <w:tcPr>
            <w:tcW w:type="dxa" w:w="200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0B981"/>
                <w:sz w:val="17"/>
                <w:szCs w:val="17"/>
              </w:rPr>
              <w:t xml:space="preserve">0</w:t>
            </w:r>
          </w:p>
        </w:tc>
        <w:tc>
          <w:tcPr>
            <w:tcW w:type="dxa" w:w="392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1A1B23"/>
                <w:sz w:val="17"/>
                <w:szCs w:val="17"/>
              </w:rPr>
              <w:t xml:space="preserve">A2</w:t>
            </w:r>
          </w:p>
        </w:tc>
      </w:tr>
      <w:tr>
        <w:trPr>
          <w:cantSplit/>
        </w:trPr>
        <w:tc>
          <w:tcPr>
            <w:tcW w:type="dxa" w:w="76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D4</w:t>
            </w:r>
          </w:p>
        </w:tc>
        <w:tc>
          <w:tcPr>
            <w:tcW w:type="dxa" w:w="520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Kit de Transformación Digital Escolar — audit template, roadmap, vendor checklist, parent-comms playbook</w:t>
            </w:r>
          </w:p>
        </w:tc>
        <w:tc>
          <w:tcPr>
            <w:tcW w:type="dxa" w:w="180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2,500</w:t>
            </w:r>
          </w:p>
        </w:tc>
        <w:tc>
          <w:tcPr>
            <w:tcW w:type="dxa" w:w="200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0B981"/>
                <w:sz w:val="17"/>
                <w:szCs w:val="17"/>
              </w:rPr>
              <w:t xml:space="preserve">0</w:t>
            </w:r>
          </w:p>
        </w:tc>
        <w:tc>
          <w:tcPr>
            <w:tcW w:type="dxa" w:w="392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1A1B23"/>
                <w:sz w:val="17"/>
                <w:szCs w:val="17"/>
              </w:rPr>
              <w:t xml:space="preserve">E1 / E5</w:t>
            </w:r>
          </w:p>
        </w:tc>
      </w:tr>
      <w:tr>
        <w:trPr>
          <w:cantSplit/>
        </w:trPr>
        <w:tc>
          <w:tcPr>
            <w:tcW w:type="dxa" w:w="76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D5</w:t>
            </w:r>
          </w:p>
        </w:tc>
        <w:tc>
          <w:tcPr>
            <w:tcW w:type="dxa" w:w="52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Curso: Automatización con IA para PyMEs — video course</w:t>
            </w:r>
          </w:p>
        </w:tc>
        <w:tc>
          <w:tcPr>
            <w:tcW w:type="dxa" w:w="180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3,500</w:t>
            </w:r>
          </w:p>
        </w:tc>
        <w:tc>
          <w:tcPr>
            <w:tcW w:type="dxa" w:w="200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0B981"/>
                <w:sz w:val="17"/>
                <w:szCs w:val="17"/>
              </w:rPr>
              <w:t xml:space="preserve">0</w:t>
            </w:r>
          </w:p>
        </w:tc>
        <w:tc>
          <w:tcPr>
            <w:tcW w:type="dxa" w:w="392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1A1B23"/>
                <w:sz w:val="17"/>
                <w:szCs w:val="17"/>
              </w:rPr>
              <w:t xml:space="preserve">Category 01</w:t>
            </w:r>
          </w:p>
        </w:tc>
      </w:tr>
      <w:tr>
        <w:trPr>
          <w:cantSplit/>
        </w:trPr>
        <w:tc>
          <w:tcPr>
            <w:tcW w:type="dxa" w:w="76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D6</w:t>
            </w:r>
          </w:p>
        </w:tc>
        <w:tc>
          <w:tcPr>
            <w:tcW w:type="dxa" w:w="520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Curso: IA para Docentes — teacher-facing AI course</w:t>
            </w:r>
          </w:p>
        </w:tc>
        <w:tc>
          <w:tcPr>
            <w:tcW w:type="dxa" w:w="180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2,500</w:t>
            </w:r>
          </w:p>
        </w:tc>
        <w:tc>
          <w:tcPr>
            <w:tcW w:type="dxa" w:w="200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0B981"/>
                <w:sz w:val="17"/>
                <w:szCs w:val="17"/>
              </w:rPr>
              <w:t xml:space="preserve">0</w:t>
            </w:r>
          </w:p>
        </w:tc>
        <w:tc>
          <w:tcPr>
            <w:tcW w:type="dxa" w:w="392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1A1B23"/>
                <w:sz w:val="17"/>
                <w:szCs w:val="17"/>
              </w:rPr>
              <w:t xml:space="preserve">E6</w:t>
            </w:r>
          </w:p>
        </w:tc>
      </w:tr>
      <w:tr>
        <w:trPr>
          <w:cantSplit/>
        </w:trPr>
        <w:tc>
          <w:tcPr>
            <w:tcW w:type="dxa" w:w="76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D7</w:t>
            </w:r>
          </w:p>
        </w:tc>
        <w:tc>
          <w:tcPr>
            <w:tcW w:type="dxa" w:w="52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Plantilla de Continuidad y Respaldo — DR plan template and runbook</w:t>
            </w:r>
          </w:p>
        </w:tc>
        <w:tc>
          <w:tcPr>
            <w:tcW w:type="dxa" w:w="180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1,200</w:t>
            </w:r>
          </w:p>
        </w:tc>
        <w:tc>
          <w:tcPr>
            <w:tcW w:type="dxa" w:w="200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0B981"/>
                <w:sz w:val="17"/>
                <w:szCs w:val="17"/>
              </w:rPr>
              <w:t xml:space="preserve">0</w:t>
            </w:r>
          </w:p>
        </w:tc>
        <w:tc>
          <w:tcPr>
            <w:tcW w:type="dxa" w:w="392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1A1B23"/>
                <w:sz w:val="17"/>
                <w:szCs w:val="17"/>
              </w:rPr>
              <w:t xml:space="preserve">I1</w:t>
            </w:r>
          </w:p>
        </w:tc>
      </w:tr>
    </w:tbl>
    <w:p>
      <w:pPr>
        <w:spacing w:after="140"/>
      </w:pPr>
    </w:p>
    <w:tbl>
      <w:tblPr>
        <w:tblW w:type="dxa" w:w="13680"/>
        <w:tblBorders>
          <w:top w:val="none" w:color="auto" w:sz="0"/>
          <w:left w:val="single" w:color="0284C7" w:sz="18"/>
          <w:bottom w:val="none" w:color="auto" w:sz="0"/>
          <w:right w:val="none" w:color="auto" w:sz="0"/>
          <w:insideH w:val="none" w:color="auto" w:sz="0"/>
          <w:insideV w:val="none" w:color="auto" w:sz="0"/>
        </w:tblBorders>
      </w:tblPr>
      <w:tblGrid>
        <w:gridCol w:w="13680"/>
      </w:tblGrid>
      <w:tr>
        <w:trPr>
          <w:cantSplit/>
        </w:trPr>
        <w:tc>
          <w:tcPr>
            <w:tcW w:type="dxa" w:w="13680"/>
            <w:shd w:fill="E0F2FE" w:color="auto" w:val="clear"/>
            <w:tcMar>
              <w:top w:type="dxa" w:w="110"/>
              <w:left w:type="dxa" w:w="190"/>
              <w:bottom w:type="dxa" w:w="110"/>
              <w:right w:type="dxa" w:w="190"/>
            </w:tcMar>
          </w:tcPr>
          <w:p>
            <w:pPr>
              <w:keepNext w:val="false"/>
              <w:spacing w:after="60" w:before="0" w:line="276"/>
              <w:jc w:val="left"/>
            </w:pPr>
            <w:r>
              <w:rPr>
                <w:rFonts w:ascii="JetBrains Mono" w:cs="JetBrains Mono" w:eastAsia="JetBrains Mono" w:hAnsi="JetBrains Mono"/>
                <w:b/>
                <w:bCs/>
                <w:i w:val="false"/>
                <w:iCs w:val="false"/>
                <w:caps/>
                <w:color w:val="0284C7"/>
                <w:spacing w:val="20"/>
                <w:sz w:val="14"/>
                <w:szCs w:val="14"/>
              </w:rPr>
              <w:t xml:space="preserve">NOTE</w:t>
            </w:r>
          </w:p>
          <w:p>
            <w:pPr>
              <w:keepNext w:val="false"/>
              <w:spacing w:after="0" w:before="0" w:line="252"/>
              <w:jc w:val="left"/>
            </w:pPr>
            <w:r>
              <w:rPr>
                <w:rFonts w:ascii="Sora" w:cs="Sora" w:eastAsia="Sora" w:hAnsi="Sora"/>
                <w:b w:val="false"/>
                <w:bCs w:val="false"/>
                <w:i w:val="false"/>
                <w:iCs w:val="false"/>
                <w:caps w:val="false"/>
                <w:color w:val="1A1B23"/>
                <w:sz w:val="18"/>
                <w:szCs w:val="18"/>
              </w:rPr>
              <w:t xml:space="preserve">Economics: approximately 100 units per month across this catalogue equals MXN 150,000 per month at zero delivery hours. That is the difference between a freelance practice and a business.</w:t>
            </w:r>
          </w:p>
        </w:tc>
      </w:tr>
    </w:tbl>
    <w:p>
      <w:r>
        <w:br w:type="page"/>
      </w:r>
    </w:p>
    <w:p>
      <w:pPr>
        <w:pStyle w:val="Heading1"/>
        <w:spacing w:after="0"/>
      </w:pPr>
      <w:r>
        <w:rPr>
          <w:rFonts w:ascii="Sora" w:cs="Sora" w:eastAsia="Sora" w:hAnsi="Sora"/>
          <w:b w:val="false"/>
          <w:bCs w:val="false"/>
          <w:i w:val="false"/>
          <w:iCs w:val="false"/>
          <w:caps w:val="false"/>
          <w:color w:val="1A1B23"/>
          <w:sz w:val="2"/>
          <w:szCs w:val="2"/>
        </w:rPr>
        <w:t xml:space="preserve">07 · Target Revenue Model — Month 12</w:t>
      </w:r>
    </w:p>
    <w:tbl>
      <w:tblPr>
        <w:tblW w:type="dxa" w:w="13680"/>
        <w:tblBorders>
          <w:top w:val="none" w:color="auto" w:sz="0"/>
          <w:left w:val="single" w:color="5D3FD3" w:sz="24"/>
          <w:bottom w:val="none" w:color="auto" w:sz="0"/>
          <w:right w:val="none" w:color="auto" w:sz="0"/>
          <w:insideH w:val="none" w:color="auto" w:sz="0"/>
          <w:insideV w:val="none" w:color="auto" w:sz="0"/>
        </w:tblBorders>
      </w:tblPr>
      <w:tblGrid>
        <w:gridCol w:w="13680"/>
      </w:tblGrid>
      <w:tr>
        <w:trPr>
          <w:cantSplit/>
        </w:trPr>
        <w:tc>
          <w:tcPr>
            <w:tcW w:type="dxa" w:w="13680"/>
            <w:shd w:fill="EDE9FB" w:color="auto" w:val="clear"/>
            <w:tcMar>
              <w:top w:type="dxa" w:w="160"/>
              <w:left w:type="dxa" w:w="220"/>
              <w:bottom w:type="dxa" w:w="160"/>
              <w:right w:type="dxa" w:w="220"/>
            </w:tcMar>
          </w:tcPr>
          <w:p>
            <w:pPr>
              <w:keepNext w:val="false"/>
              <w:spacing w:after="40" w:before="0" w:line="276"/>
              <w:jc w:val="left"/>
            </w:pPr>
            <w:r>
              <w:rPr>
                <w:rFonts w:ascii="JetBrains Mono" w:cs="JetBrains Mono" w:eastAsia="JetBrains Mono" w:hAnsi="JetBrains Mono"/>
                <w:b/>
                <w:bCs/>
                <w:i w:val="false"/>
                <w:iCs w:val="false"/>
                <w:caps w:val="false"/>
                <w:color w:val="5D3FD3"/>
                <w:sz w:val="22"/>
                <w:szCs w:val="22"/>
              </w:rPr>
              <w:t xml:space="preserve">07  </w:t>
            </w:r>
            <w:r>
              <w:rPr>
                <w:rFonts w:ascii="Sora" w:cs="Sora" w:eastAsia="Sora" w:hAnsi="Sora"/>
                <w:b/>
                <w:bCs/>
                <w:i w:val="false"/>
                <w:iCs w:val="false"/>
                <w:caps w:val="false"/>
                <w:color w:val="1A1B23"/>
                <w:spacing w:val="-8"/>
                <w:sz w:val="30"/>
                <w:szCs w:val="30"/>
              </w:rPr>
              <w:t xml:space="preserve">Target Revenue Model — Month 12</w:t>
            </w:r>
          </w:p>
          <w:p>
            <w:pPr>
              <w:keepNext w:val="false"/>
              <w:spacing w:after="0" w:before="0" w:line="276"/>
              <w:jc w:val="left"/>
            </w:pPr>
            <w:r>
              <w:rPr>
                <w:rFonts w:ascii="Sora" w:cs="Sora" w:eastAsia="Sora" w:hAnsi="Sora"/>
                <w:b w:val="false"/>
                <w:bCs w:val="false"/>
                <w:i/>
                <w:iCs/>
                <w:caps w:val="false"/>
                <w:color w:val="64748B"/>
                <w:sz w:val="18"/>
                <w:szCs w:val="18"/>
              </w:rPr>
              <w:t xml:space="preserve">Modelled against real capacity, not aspiration</w:t>
            </w:r>
          </w:p>
        </w:tc>
      </w:tr>
    </w:tbl>
    <w:p>
      <w:pPr>
        <w:spacing w:after="160"/>
      </w:pPr>
    </w:p>
    <w:tbl>
      <w:tblPr>
        <w:tblW w:type="dxa" w:w="13680"/>
        <w:tblBorders>
          <w:top w:val="single" w:color="DCDCE4" w:sz="2"/>
          <w:left w:val="single" w:color="DCDCE4" w:sz="2"/>
          <w:bottom w:val="single" w:color="DCDCE4" w:sz="2"/>
          <w:right w:val="single" w:color="DCDCE4" w:sz="2"/>
          <w:insideH w:val="single" w:color="DCDCE4" w:sz="2"/>
          <w:insideV w:val="single" w:color="DCDCE4" w:sz="2"/>
        </w:tblBorders>
      </w:tblPr>
      <w:tblGrid>
        <w:gridCol w:w="6000"/>
        <w:gridCol w:w="3400"/>
        <w:gridCol w:w="2140"/>
        <w:gridCol w:w="2140"/>
      </w:tblGrid>
      <w:tr>
        <w:trPr>
          <w:cantSplit/>
          <w:tblHeader/>
        </w:trPr>
        <w:tc>
          <w:tcPr>
            <w:tcW w:type="dxa" w:w="600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Source</w:t>
            </w:r>
          </w:p>
        </w:tc>
        <w:tc>
          <w:tcPr>
            <w:tcW w:type="dxa" w:w="340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Monthly MXN</w:t>
            </w:r>
          </w:p>
        </w:tc>
        <w:tc>
          <w:tcPr>
            <w:tcW w:type="dxa" w:w="214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Hours</w:t>
            </w:r>
          </w:p>
        </w:tc>
        <w:tc>
          <w:tcPr>
            <w:tcW w:type="dxa" w:w="214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Model</w:t>
            </w:r>
          </w:p>
        </w:tc>
      </w:tr>
      <w:tr>
        <w:trPr>
          <w:cantSplit/>
        </w:trPr>
        <w:tc>
          <w:tcPr>
            <w:tcW w:type="dxa" w:w="60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2 school retainers (E5)</w:t>
            </w:r>
          </w:p>
        </w:tc>
        <w:tc>
          <w:tcPr>
            <w:tcW w:type="dxa" w:w="340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24,000</w:t>
            </w:r>
          </w:p>
        </w:tc>
        <w:tc>
          <w:tcPr>
            <w:tcW w:type="dxa" w:w="214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1A1B23"/>
                <w:sz w:val="17"/>
                <w:szCs w:val="17"/>
              </w:rPr>
              <w:t xml:space="preserve">12 h</w:t>
            </w:r>
          </w:p>
        </w:tc>
        <w:tc>
          <w:tcPr>
            <w:tcW w:type="dxa" w:w="214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0284C7"/>
                <w:sz w:val="17"/>
                <w:szCs w:val="17"/>
              </w:rPr>
              <w:t xml:space="preserve">RET</w:t>
            </w:r>
          </w:p>
        </w:tc>
      </w:tr>
      <w:tr>
        <w:trPr>
          <w:cantSplit/>
        </w:trPr>
        <w:tc>
          <w:tcPr>
            <w:tcW w:type="dxa" w:w="600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3 PyME retainers (A7 / P6)</w:t>
            </w:r>
          </w:p>
        </w:tc>
        <w:tc>
          <w:tcPr>
            <w:tcW w:type="dxa" w:w="340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30,000</w:t>
            </w:r>
          </w:p>
        </w:tc>
        <w:tc>
          <w:tcPr>
            <w:tcW w:type="dxa" w:w="214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1A1B23"/>
                <w:sz w:val="17"/>
                <w:szCs w:val="17"/>
              </w:rPr>
              <w:t xml:space="preserve">12 h</w:t>
            </w:r>
          </w:p>
        </w:tc>
        <w:tc>
          <w:tcPr>
            <w:tcW w:type="dxa" w:w="214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0284C7"/>
                <w:sz w:val="17"/>
                <w:szCs w:val="17"/>
              </w:rPr>
              <w:t xml:space="preserve">RET</w:t>
            </w:r>
          </w:p>
        </w:tc>
      </w:tr>
      <w:tr>
        <w:trPr>
          <w:cantSplit/>
        </w:trPr>
        <w:tc>
          <w:tcPr>
            <w:tcW w:type="dxa" w:w="60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1 core project per month (01, 02 or 05)</w:t>
            </w:r>
          </w:p>
        </w:tc>
        <w:tc>
          <w:tcPr>
            <w:tcW w:type="dxa" w:w="340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35,000</w:t>
            </w:r>
          </w:p>
        </w:tc>
        <w:tc>
          <w:tcPr>
            <w:tcW w:type="dxa" w:w="214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1A1B23"/>
                <w:sz w:val="17"/>
                <w:szCs w:val="17"/>
              </w:rPr>
              <w:t xml:space="preserve">25 h</w:t>
            </w:r>
          </w:p>
        </w:tc>
        <w:tc>
          <w:tcPr>
            <w:tcW w:type="dxa" w:w="214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0284C7"/>
                <w:sz w:val="17"/>
                <w:szCs w:val="17"/>
              </w:rPr>
              <w:t xml:space="preserve">ONE</w:t>
            </w:r>
          </w:p>
        </w:tc>
      </w:tr>
      <w:tr>
        <w:trPr>
          <w:cantSplit/>
        </w:trPr>
        <w:tc>
          <w:tcPr>
            <w:tcW w:type="dxa" w:w="600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Digital products (06)</w:t>
            </w:r>
          </w:p>
        </w:tc>
        <w:tc>
          <w:tcPr>
            <w:tcW w:type="dxa" w:w="340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1A1B23"/>
                <w:sz w:val="17"/>
                <w:szCs w:val="17"/>
              </w:rPr>
              <w:t xml:space="preserve">20,000</w:t>
            </w:r>
          </w:p>
        </w:tc>
        <w:tc>
          <w:tcPr>
            <w:tcW w:type="dxa" w:w="214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1A1B23"/>
                <w:sz w:val="17"/>
                <w:szCs w:val="17"/>
              </w:rPr>
              <w:t xml:space="preserve">2 h</w:t>
            </w:r>
          </w:p>
        </w:tc>
        <w:tc>
          <w:tcPr>
            <w:tcW w:type="dxa" w:w="214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0284C7"/>
                <w:sz w:val="17"/>
                <w:szCs w:val="17"/>
              </w:rPr>
              <w:t xml:space="preserve">PRD</w:t>
            </w:r>
          </w:p>
        </w:tc>
      </w:tr>
      <w:tr>
        <w:trPr>
          <w:cantSplit/>
        </w:trPr>
        <w:tc>
          <w:tcPr>
            <w:tcW w:type="dxa" w:w="6000"/>
            <w:shd w:fill="EDE9FB"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TOTAL</w:t>
            </w:r>
          </w:p>
        </w:tc>
        <w:tc>
          <w:tcPr>
            <w:tcW w:type="dxa" w:w="3400"/>
            <w:shd w:fill="EDE9FB"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 109,000</w:t>
            </w:r>
          </w:p>
        </w:tc>
        <w:tc>
          <w:tcPr>
            <w:tcW w:type="dxa" w:w="2140"/>
            <w:shd w:fill="EDE9FB"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 51 h</w:t>
            </w:r>
          </w:p>
        </w:tc>
        <w:tc>
          <w:tcPr>
            <w:tcW w:type="dxa" w:w="2140"/>
            <w:shd w:fill="EDE9FB"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val="false"/>
                <w:bCs w:val="false"/>
                <w:i w:val="false"/>
                <w:iCs w:val="false"/>
                <w:caps w:val="false"/>
                <w:color w:val="1A1B23"/>
                <w:sz w:val="17"/>
                <w:szCs w:val="17"/>
              </w:rPr>
              <w:t xml:space="preserve">—</w:t>
            </w:r>
          </w:p>
        </w:tc>
      </w:tr>
    </w:tbl>
    <w:p>
      <w:pPr>
        <w:spacing w:after="140"/>
      </w:pPr>
    </w:p>
    <w:p>
      <w:pPr>
        <w:keepNext w:val="false"/>
        <w:spacing w:after="120" w:before="0" w:line="276"/>
        <w:jc w:val="left"/>
      </w:pPr>
      <w:r>
        <w:rPr>
          <w:rFonts w:ascii="Sora" w:cs="Sora" w:eastAsia="Sora" w:hAnsi="Sora"/>
          <w:b w:val="false"/>
          <w:bCs w:val="false"/>
          <w:i/>
          <w:iCs/>
          <w:caps w:val="false"/>
          <w:color w:val="64748B"/>
          <w:sz w:val="19"/>
          <w:szCs w:val="19"/>
        </w:rPr>
        <w:t xml:space="preserve">This fits inside real capacity of roughly 55 hours per month. The original 22-service menu does not fit inside any capacity, because it has no fixed scopes. Directional model, not a forecast — validate every price against three real quotes before publishing.</w:t>
      </w:r>
    </w:p>
    <w:p>
      <w:pPr>
        <w:spacing w:after="200"/>
      </w:pPr>
    </w:p>
    <w:p>
      <w:pPr>
        <w:pStyle w:val="Heading1"/>
        <w:spacing w:after="0"/>
      </w:pPr>
      <w:r>
        <w:rPr>
          <w:rFonts w:ascii="Sora" w:cs="Sora" w:eastAsia="Sora" w:hAnsi="Sora"/>
          <w:b w:val="false"/>
          <w:bCs w:val="false"/>
          <w:i w:val="false"/>
          <w:iCs w:val="false"/>
          <w:caps w:val="false"/>
          <w:color w:val="1A1B23"/>
          <w:sz w:val="2"/>
          <w:szCs w:val="2"/>
        </w:rPr>
        <w:t xml:space="preserve">08 · Launch Gates</w:t>
      </w:r>
    </w:p>
    <w:tbl>
      <w:tblPr>
        <w:tblW w:type="dxa" w:w="13680"/>
        <w:tblBorders>
          <w:top w:val="none" w:color="auto" w:sz="0"/>
          <w:left w:val="single" w:color="5D3FD3" w:sz="24"/>
          <w:bottom w:val="none" w:color="auto" w:sz="0"/>
          <w:right w:val="none" w:color="auto" w:sz="0"/>
          <w:insideH w:val="none" w:color="auto" w:sz="0"/>
          <w:insideV w:val="none" w:color="auto" w:sz="0"/>
        </w:tblBorders>
      </w:tblPr>
      <w:tblGrid>
        <w:gridCol w:w="13680"/>
      </w:tblGrid>
      <w:tr>
        <w:trPr>
          <w:cantSplit/>
        </w:trPr>
        <w:tc>
          <w:tcPr>
            <w:tcW w:type="dxa" w:w="13680"/>
            <w:shd w:fill="EDE9FB" w:color="auto" w:val="clear"/>
            <w:tcMar>
              <w:top w:type="dxa" w:w="160"/>
              <w:left w:type="dxa" w:w="220"/>
              <w:bottom w:type="dxa" w:w="160"/>
              <w:right w:type="dxa" w:w="220"/>
            </w:tcMar>
          </w:tcPr>
          <w:p>
            <w:pPr>
              <w:keepNext w:val="false"/>
              <w:spacing w:after="40" w:before="0" w:line="276"/>
              <w:jc w:val="left"/>
            </w:pPr>
            <w:r>
              <w:rPr>
                <w:rFonts w:ascii="JetBrains Mono" w:cs="JetBrains Mono" w:eastAsia="JetBrains Mono" w:hAnsi="JetBrains Mono"/>
                <w:b/>
                <w:bCs/>
                <w:i w:val="false"/>
                <w:iCs w:val="false"/>
                <w:caps w:val="false"/>
                <w:color w:val="5D3FD3"/>
                <w:sz w:val="22"/>
                <w:szCs w:val="22"/>
              </w:rPr>
              <w:t xml:space="preserve">08  </w:t>
            </w:r>
            <w:r>
              <w:rPr>
                <w:rFonts w:ascii="Sora" w:cs="Sora" w:eastAsia="Sora" w:hAnsi="Sora"/>
                <w:b/>
                <w:bCs/>
                <w:i w:val="false"/>
                <w:iCs w:val="false"/>
                <w:caps w:val="false"/>
                <w:color w:val="1A1B23"/>
                <w:spacing w:val="-8"/>
                <w:sz w:val="30"/>
                <w:szCs w:val="30"/>
              </w:rPr>
              <w:t xml:space="preserve">Launch Gates</w:t>
            </w:r>
          </w:p>
          <w:p>
            <w:pPr>
              <w:keepNext w:val="false"/>
              <w:spacing w:after="0" w:before="0" w:line="276"/>
              <w:jc w:val="left"/>
            </w:pPr>
            <w:r>
              <w:rPr>
                <w:rFonts w:ascii="Sora" w:cs="Sora" w:eastAsia="Sora" w:hAnsi="Sora"/>
                <w:b w:val="false"/>
                <w:bCs w:val="false"/>
                <w:i/>
                <w:iCs/>
                <w:caps w:val="false"/>
                <w:color w:val="64748B"/>
                <w:sz w:val="18"/>
                <w:szCs w:val="18"/>
              </w:rPr>
              <w:t xml:space="preserve">No revenue is possible until these close</w:t>
            </w:r>
          </w:p>
        </w:tc>
      </w:tr>
    </w:tbl>
    <w:p>
      <w:pPr>
        <w:spacing w:after="160"/>
      </w:pPr>
    </w:p>
    <w:tbl>
      <w:tblPr>
        <w:tblW w:type="dxa" w:w="13680"/>
        <w:tblBorders>
          <w:top w:val="single" w:color="DCDCE4" w:sz="2"/>
          <w:left w:val="single" w:color="DCDCE4" w:sz="2"/>
          <w:bottom w:val="single" w:color="DCDCE4" w:sz="2"/>
          <w:right w:val="single" w:color="DCDCE4" w:sz="2"/>
          <w:insideH w:val="single" w:color="DCDCE4" w:sz="2"/>
          <w:insideV w:val="single" w:color="DCDCE4" w:sz="2"/>
        </w:tblBorders>
      </w:tblPr>
      <w:tblGrid>
        <w:gridCol w:w="3600"/>
        <w:gridCol w:w="10080"/>
      </w:tblGrid>
      <w:tr>
        <w:trPr>
          <w:cantSplit/>
          <w:tblHeader/>
        </w:trPr>
        <w:tc>
          <w:tcPr>
            <w:tcW w:type="dxa" w:w="360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Gate</w:t>
            </w:r>
          </w:p>
        </w:tc>
        <w:tc>
          <w:tcPr>
            <w:tcW w:type="dxa" w:w="1008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Why it is blocking</w:t>
            </w:r>
          </w:p>
        </w:tc>
      </w:tr>
      <w:tr>
        <w:trPr>
          <w:cantSplit/>
        </w:trPr>
        <w:tc>
          <w:tcPr>
            <w:tcW w:type="dxa" w:w="36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RFC + CFDI 4.0 invoicing</w:t>
            </w:r>
          </w:p>
        </w:tc>
        <w:tc>
          <w:tcPr>
            <w:tcW w:type="dxa" w:w="1008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Without a factura, no formal Mexican company can deduct the expense. This alone disqualifies you from most mid-market deals, regardless of how good the service list is.</w:t>
            </w:r>
          </w:p>
        </w:tc>
      </w:tr>
      <w:tr>
        <w:trPr>
          <w:cantSplit/>
        </w:trPr>
        <w:tc>
          <w:tcPr>
            <w:tcW w:type="dxa" w:w="360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Immigration status for independent work</w:t>
            </w:r>
          </w:p>
        </w:tc>
        <w:tc>
          <w:tcPr>
            <w:tcW w:type="dxa" w:w="1008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Residency tied to a school employer may not permit independent consulting income. Verify with an abogado migratorio before publishing a services page.</w:t>
            </w:r>
          </w:p>
        </w:tc>
      </w:tr>
      <w:tr>
        <w:trPr>
          <w:cantSplit/>
        </w:trPr>
        <w:tc>
          <w:tcPr>
            <w:tcW w:type="dxa" w:w="36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Employer conflict of interest</w:t>
            </w:r>
          </w:p>
        </w:tc>
        <w:tc>
          <w:tcPr>
            <w:tcW w:type="dxa" w:w="1008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Category 05 sells into the employer own sector. Written clarity is required before that unit launches.</w:t>
            </w:r>
          </w:p>
        </w:tc>
      </w:tr>
      <w:tr>
        <w:trPr>
          <w:cantSplit/>
        </w:trPr>
        <w:tc>
          <w:tcPr>
            <w:tcW w:type="dxa" w:w="360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Spanish-language sales capability</w:t>
            </w:r>
          </w:p>
        </w:tc>
        <w:tc>
          <w:tcPr>
            <w:tcW w:type="dxa" w:w="1008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The PyME buyer negotiates in Spanish. Either invest in it, or deliberately target the bilingual segment — US companies with Mexican operations, international schools, expat founders — where English is an asset rather than a gap.</w:t>
            </w:r>
          </w:p>
        </w:tc>
      </w:tr>
    </w:tbl>
    <w:p>
      <w:r>
        <w:br w:type="page"/>
      </w:r>
    </w:p>
    <w:p>
      <w:pPr>
        <w:pStyle w:val="Heading1"/>
        <w:spacing w:after="0"/>
      </w:pPr>
      <w:r>
        <w:rPr>
          <w:rFonts w:ascii="Sora" w:cs="Sora" w:eastAsia="Sora" w:hAnsi="Sora"/>
          <w:b w:val="false"/>
          <w:bCs w:val="false"/>
          <w:i w:val="false"/>
          <w:iCs w:val="false"/>
          <w:caps w:val="false"/>
          <w:color w:val="1A1B23"/>
          <w:sz w:val="2"/>
          <w:szCs w:val="2"/>
        </w:rPr>
        <w:t xml:space="preserve">09 · 90-Day Sequence</w:t>
      </w:r>
    </w:p>
    <w:tbl>
      <w:tblPr>
        <w:tblW w:type="dxa" w:w="13680"/>
        <w:tblBorders>
          <w:top w:val="none" w:color="auto" w:sz="0"/>
          <w:left w:val="single" w:color="5D3FD3" w:sz="24"/>
          <w:bottom w:val="none" w:color="auto" w:sz="0"/>
          <w:right w:val="none" w:color="auto" w:sz="0"/>
          <w:insideH w:val="none" w:color="auto" w:sz="0"/>
          <w:insideV w:val="none" w:color="auto" w:sz="0"/>
        </w:tblBorders>
      </w:tblPr>
      <w:tblGrid>
        <w:gridCol w:w="13680"/>
      </w:tblGrid>
      <w:tr>
        <w:trPr>
          <w:cantSplit/>
        </w:trPr>
        <w:tc>
          <w:tcPr>
            <w:tcW w:type="dxa" w:w="13680"/>
            <w:shd w:fill="EDE9FB" w:color="auto" w:val="clear"/>
            <w:tcMar>
              <w:top w:type="dxa" w:w="160"/>
              <w:left w:type="dxa" w:w="220"/>
              <w:bottom w:type="dxa" w:w="160"/>
              <w:right w:type="dxa" w:w="220"/>
            </w:tcMar>
          </w:tcPr>
          <w:p>
            <w:pPr>
              <w:keepNext w:val="false"/>
              <w:spacing w:after="40" w:before="0" w:line="276"/>
              <w:jc w:val="left"/>
            </w:pPr>
            <w:r>
              <w:rPr>
                <w:rFonts w:ascii="JetBrains Mono" w:cs="JetBrains Mono" w:eastAsia="JetBrains Mono" w:hAnsi="JetBrains Mono"/>
                <w:b/>
                <w:bCs/>
                <w:i w:val="false"/>
                <w:iCs w:val="false"/>
                <w:caps w:val="false"/>
                <w:color w:val="5D3FD3"/>
                <w:sz w:val="22"/>
                <w:szCs w:val="22"/>
              </w:rPr>
              <w:t xml:space="preserve">09  </w:t>
            </w:r>
            <w:r>
              <w:rPr>
                <w:rFonts w:ascii="Sora" w:cs="Sora" w:eastAsia="Sora" w:hAnsi="Sora"/>
                <w:b/>
                <w:bCs/>
                <w:i w:val="false"/>
                <w:iCs w:val="false"/>
                <w:caps w:val="false"/>
                <w:color w:val="1A1B23"/>
                <w:spacing w:val="-8"/>
                <w:sz w:val="30"/>
                <w:szCs w:val="30"/>
              </w:rPr>
              <w:t xml:space="preserve">90-Day Sequence</w:t>
            </w:r>
          </w:p>
          <w:p>
            <w:pPr>
              <w:keepNext w:val="false"/>
              <w:spacing w:after="0" w:before="0" w:line="276"/>
              <w:jc w:val="left"/>
            </w:pPr>
            <w:r>
              <w:rPr>
                <w:rFonts w:ascii="Sora" w:cs="Sora" w:eastAsia="Sora" w:hAnsi="Sora"/>
                <w:b w:val="false"/>
                <w:bCs w:val="false"/>
                <w:i/>
                <w:iCs/>
                <w:caps w:val="false"/>
                <w:color w:val="64748B"/>
                <w:sz w:val="18"/>
                <w:szCs w:val="18"/>
              </w:rPr>
              <w:t xml:space="preserve">Execution order — resist running these in parallel</w:t>
            </w:r>
          </w:p>
        </w:tc>
      </w:tr>
    </w:tbl>
    <w:p>
      <w:pPr>
        <w:spacing w:after="160"/>
      </w:pPr>
    </w:p>
    <w:tbl>
      <w:tblPr>
        <w:tblW w:type="dxa" w:w="13680"/>
        <w:tblBorders>
          <w:top w:val="single" w:color="DCDCE4" w:sz="2"/>
          <w:left w:val="single" w:color="DCDCE4" w:sz="2"/>
          <w:bottom w:val="single" w:color="DCDCE4" w:sz="2"/>
          <w:right w:val="single" w:color="DCDCE4" w:sz="2"/>
          <w:insideH w:val="single" w:color="DCDCE4" w:sz="2"/>
          <w:insideV w:val="single" w:color="DCDCE4" w:sz="2"/>
        </w:tblBorders>
      </w:tblPr>
      <w:tblGrid>
        <w:gridCol w:w="2200"/>
        <w:gridCol w:w="3200"/>
        <w:gridCol w:w="8280"/>
      </w:tblGrid>
      <w:tr>
        <w:trPr>
          <w:cantSplit/>
          <w:tblHeader/>
        </w:trPr>
        <w:tc>
          <w:tcPr>
            <w:tcW w:type="dxa" w:w="220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Window</w:t>
            </w:r>
          </w:p>
        </w:tc>
        <w:tc>
          <w:tcPr>
            <w:tcW w:type="dxa" w:w="320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Focus</w:t>
            </w:r>
          </w:p>
        </w:tc>
        <w:tc>
          <w:tcPr>
            <w:tcW w:type="dxa" w:w="828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Action</w:t>
            </w:r>
          </w:p>
        </w:tc>
      </w:tr>
      <w:tr>
        <w:trPr>
          <w:cantSplit/>
        </w:trPr>
        <w:tc>
          <w:tcPr>
            <w:tcW w:type="dxa" w:w="220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Weeks 1 – 2</w:t>
            </w:r>
          </w:p>
        </w:tc>
        <w:tc>
          <w:tcPr>
            <w:tcW w:type="dxa" w:w="32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Launch gates</w:t>
            </w:r>
          </w:p>
        </w:tc>
        <w:tc>
          <w:tcPr>
            <w:tcW w:type="dxa" w:w="828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Close § 08 entirely. Nothing else matters until these are done — every hour spent on marketing before this is wasted.</w:t>
            </w:r>
          </w:p>
        </w:tc>
      </w:tr>
      <w:tr>
        <w:trPr>
          <w:cantSplit/>
        </w:trPr>
        <w:tc>
          <w:tcPr>
            <w:tcW w:type="dxa" w:w="220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Weeks 3 – 4</w:t>
            </w:r>
          </w:p>
        </w:tc>
        <w:tc>
          <w:tcPr>
            <w:tcW w:type="dxa" w:w="320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Ship Category 02</w:t>
            </w:r>
          </w:p>
        </w:tc>
        <w:tc>
          <w:tcPr>
            <w:tcW w:type="dxa" w:w="828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Launch C1 (LFPDPPP Diagnostic). Fastest to market, no delivery risk, builds the lead list and a paying audience.</w:t>
            </w:r>
          </w:p>
        </w:tc>
      </w:tr>
      <w:tr>
        <w:trPr>
          <w:cantSplit/>
        </w:trPr>
        <w:tc>
          <w:tcPr>
            <w:tcW w:type="dxa" w:w="220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Weeks 5 – 8</w:t>
            </w:r>
          </w:p>
        </w:tc>
        <w:tc>
          <w:tcPr>
            <w:tcW w:type="dxa" w:w="32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Ship Category 01</w:t>
            </w:r>
          </w:p>
        </w:tc>
        <w:tc>
          <w:tcPr>
            <w:tcW w:type="dxa" w:w="828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One SKU only: A1 (WhatsApp Lead Qualifier). Sell three. Resist the urge to offer the full menu — a single sharp offer converts; a catalogue does not.</w:t>
            </w:r>
          </w:p>
        </w:tc>
      </w:tr>
      <w:tr>
        <w:trPr>
          <w:cantSplit/>
        </w:trPr>
        <w:tc>
          <w:tcPr>
            <w:tcW w:type="dxa" w:w="2200"/>
            <w:shd w:fill="EFF1F5"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Weeks 9 – 12</w:t>
            </w:r>
          </w:p>
        </w:tc>
        <w:tc>
          <w:tcPr>
            <w:tcW w:type="dxa" w:w="320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Package Category 06</w:t>
            </w:r>
          </w:p>
        </w:tc>
        <w:tc>
          <w:tcPr>
            <w:tcW w:type="dxa" w:w="828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Turn the artifacts produced in weeks 3 – 8 into D1 and D2 and list them in the store. This is the compounding step. Do not skip it.</w:t>
            </w:r>
          </w:p>
        </w:tc>
      </w:tr>
      <w:tr>
        <w:trPr>
          <w:cantSplit/>
        </w:trPr>
        <w:tc>
          <w:tcPr>
            <w:tcW w:type="dxa" w:w="2200"/>
            <w:shd w:fill="FFFFFF" w:color="auto" w:val="clear"/>
            <w:tcMar>
              <w:top w:type="dxa" w:w="52"/>
              <w:left w:type="dxa" w:w="100"/>
              <w:bottom w:type="dxa" w:w="52"/>
              <w:right w:type="dxa" w:w="100"/>
            </w:tcMar>
            <w:vAlign w:val="center"/>
          </w:tcPr>
          <w:p>
            <w:pPr>
              <w:keepNext w:val="false"/>
              <w:spacing w:after="0" w:before="0" w:line="226"/>
              <w:jc w:val="left"/>
            </w:pPr>
            <w:r>
              <w:rPr>
                <w:rFonts w:ascii="JetBrains Mono" w:cs="JetBrains Mono" w:eastAsia="JetBrains Mono" w:hAnsi="JetBrains Mono"/>
                <w:b/>
                <w:bCs/>
                <w:i w:val="false"/>
                <w:iCs w:val="false"/>
                <w:caps w:val="false"/>
                <w:color w:val="5D3FD3"/>
                <w:sz w:val="17"/>
                <w:szCs w:val="17"/>
              </w:rPr>
              <w:t xml:space="preserve">Budget cycle</w:t>
            </w:r>
          </w:p>
        </w:tc>
        <w:tc>
          <w:tcPr>
            <w:tcW w:type="dxa" w:w="32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Launch Category 05</w:t>
            </w:r>
          </w:p>
        </w:tc>
        <w:tc>
          <w:tcPr>
            <w:tcW w:type="dxa" w:w="828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Schools, once the conflict-of-interest gate is cleared. Time the approach to the colegio budget-planning season.</w:t>
            </w:r>
          </w:p>
        </w:tc>
      </w:tr>
    </w:tbl>
    <w:p>
      <w:pPr>
        <w:spacing w:after="140"/>
      </w:pPr>
    </w:p>
    <w:tbl>
      <w:tblPr>
        <w:tblW w:type="dxa" w:w="13680"/>
        <w:tblBorders>
          <w:top w:val="none" w:color="auto" w:sz="0"/>
          <w:left w:val="single" w:color="0284C7" w:sz="18"/>
          <w:bottom w:val="none" w:color="auto" w:sz="0"/>
          <w:right w:val="none" w:color="auto" w:sz="0"/>
          <w:insideH w:val="none" w:color="auto" w:sz="0"/>
          <w:insideV w:val="none" w:color="auto" w:sz="0"/>
        </w:tblBorders>
      </w:tblPr>
      <w:tblGrid>
        <w:gridCol w:w="13680"/>
      </w:tblGrid>
      <w:tr>
        <w:trPr>
          <w:cantSplit/>
        </w:trPr>
        <w:tc>
          <w:tcPr>
            <w:tcW w:type="dxa" w:w="13680"/>
            <w:shd w:fill="E0F2FE" w:color="auto" w:val="clear"/>
            <w:tcMar>
              <w:top w:type="dxa" w:w="110"/>
              <w:left w:type="dxa" w:w="190"/>
              <w:bottom w:type="dxa" w:w="110"/>
              <w:right w:type="dxa" w:w="190"/>
            </w:tcMar>
          </w:tcPr>
          <w:p>
            <w:pPr>
              <w:keepNext w:val="false"/>
              <w:spacing w:after="60" w:before="0" w:line="276"/>
              <w:jc w:val="left"/>
            </w:pPr>
            <w:r>
              <w:rPr>
                <w:rFonts w:ascii="JetBrains Mono" w:cs="JetBrains Mono" w:eastAsia="JetBrains Mono" w:hAnsi="JetBrains Mono"/>
                <w:b/>
                <w:bCs/>
                <w:i w:val="false"/>
                <w:iCs w:val="false"/>
                <w:caps/>
                <w:color w:val="0284C7"/>
                <w:spacing w:val="20"/>
                <w:sz w:val="14"/>
                <w:szCs w:val="14"/>
              </w:rPr>
              <w:t xml:space="preserve">NOTE</w:t>
            </w:r>
          </w:p>
          <w:p>
            <w:pPr>
              <w:keepNext w:val="false"/>
              <w:spacing w:after="0" w:before="0" w:line="252"/>
              <w:jc w:val="left"/>
            </w:pPr>
            <w:r>
              <w:rPr>
                <w:rFonts w:ascii="Sora" w:cs="Sora" w:eastAsia="Sora" w:hAnsi="Sora"/>
                <w:b w:val="false"/>
                <w:bCs w:val="false"/>
                <w:i w:val="false"/>
                <w:iCs w:val="false"/>
                <w:caps w:val="false"/>
                <w:color w:val="1A1B23"/>
                <w:sz w:val="18"/>
                <w:szCs w:val="18"/>
              </w:rPr>
              <w:t xml:space="preserve">Categories 03 and 04 are not marketed in the first 90 days. They are quoted reactively when work in 01, 02 or 05 surfaces a build or an infrastructure need.</w:t>
            </w:r>
          </w:p>
        </w:tc>
      </w:tr>
    </w:tbl>
    <w:p>
      <w:pPr>
        <w:spacing w:after="200"/>
      </w:pPr>
    </w:p>
    <w:p>
      <w:pPr>
        <w:pStyle w:val="Heading1"/>
        <w:spacing w:after="0"/>
      </w:pPr>
      <w:r>
        <w:rPr>
          <w:rFonts w:ascii="Sora" w:cs="Sora" w:eastAsia="Sora" w:hAnsi="Sora"/>
          <w:b w:val="false"/>
          <w:bCs w:val="false"/>
          <w:i w:val="false"/>
          <w:iCs w:val="false"/>
          <w:caps w:val="false"/>
          <w:color w:val="1A1B23"/>
          <w:sz w:val="2"/>
          <w:szCs w:val="2"/>
        </w:rPr>
        <w:t xml:space="preserve">10 · Website Implementation Notes</w:t>
      </w:r>
    </w:p>
    <w:tbl>
      <w:tblPr>
        <w:tblW w:type="dxa" w:w="13680"/>
        <w:tblBorders>
          <w:top w:val="none" w:color="auto" w:sz="0"/>
          <w:left w:val="single" w:color="5D3FD3" w:sz="24"/>
          <w:bottom w:val="none" w:color="auto" w:sz="0"/>
          <w:right w:val="none" w:color="auto" w:sz="0"/>
          <w:insideH w:val="none" w:color="auto" w:sz="0"/>
          <w:insideV w:val="none" w:color="auto" w:sz="0"/>
        </w:tblBorders>
      </w:tblPr>
      <w:tblGrid>
        <w:gridCol w:w="13680"/>
      </w:tblGrid>
      <w:tr>
        <w:trPr>
          <w:cantSplit/>
        </w:trPr>
        <w:tc>
          <w:tcPr>
            <w:tcW w:type="dxa" w:w="13680"/>
            <w:shd w:fill="EDE9FB" w:color="auto" w:val="clear"/>
            <w:tcMar>
              <w:top w:type="dxa" w:w="160"/>
              <w:left w:type="dxa" w:w="220"/>
              <w:bottom w:type="dxa" w:w="160"/>
              <w:right w:type="dxa" w:w="220"/>
            </w:tcMar>
          </w:tcPr>
          <w:p>
            <w:pPr>
              <w:keepNext w:val="false"/>
              <w:spacing w:after="40" w:before="0" w:line="276"/>
              <w:jc w:val="left"/>
            </w:pPr>
            <w:r>
              <w:rPr>
                <w:rFonts w:ascii="JetBrains Mono" w:cs="JetBrains Mono" w:eastAsia="JetBrains Mono" w:hAnsi="JetBrains Mono"/>
                <w:b/>
                <w:bCs/>
                <w:i w:val="false"/>
                <w:iCs w:val="false"/>
                <w:caps w:val="false"/>
                <w:color w:val="5D3FD3"/>
                <w:sz w:val="22"/>
                <w:szCs w:val="22"/>
              </w:rPr>
              <w:t xml:space="preserve">10  </w:t>
            </w:r>
            <w:r>
              <w:rPr>
                <w:rFonts w:ascii="Sora" w:cs="Sora" w:eastAsia="Sora" w:hAnsi="Sora"/>
                <w:b/>
                <w:bCs/>
                <w:i w:val="false"/>
                <w:iCs w:val="false"/>
                <w:caps w:val="false"/>
                <w:color w:val="1A1B23"/>
                <w:spacing w:val="-8"/>
                <w:sz w:val="30"/>
                <w:szCs w:val="30"/>
              </w:rPr>
              <w:t xml:space="preserve">Website Implementation Notes</w:t>
            </w:r>
          </w:p>
          <w:p>
            <w:pPr>
              <w:keepNext w:val="false"/>
              <w:spacing w:after="0" w:before="0" w:line="276"/>
              <w:jc w:val="left"/>
            </w:pPr>
            <w:r>
              <w:rPr>
                <w:rFonts w:ascii="Sora" w:cs="Sora" w:eastAsia="Sora" w:hAnsi="Sora"/>
                <w:b w:val="false"/>
                <w:bCs w:val="false"/>
                <w:i/>
                <w:iCs/>
                <w:caps w:val="false"/>
                <w:color w:val="64748B"/>
                <w:sz w:val="18"/>
                <w:szCs w:val="18"/>
              </w:rPr>
              <w:t xml:space="preserve">Constraints for the Services.jsx rebuild</w:t>
            </w:r>
          </w:p>
        </w:tc>
      </w:tr>
    </w:tbl>
    <w:p>
      <w:pPr>
        <w:spacing w:after="160"/>
      </w:pPr>
    </w:p>
    <w:tbl>
      <w:tblPr>
        <w:tblW w:type="dxa" w:w="13680"/>
        <w:tblBorders>
          <w:top w:val="single" w:color="DCDCE4" w:sz="2"/>
          <w:left w:val="single" w:color="DCDCE4" w:sz="2"/>
          <w:bottom w:val="single" w:color="DCDCE4" w:sz="2"/>
          <w:right w:val="single" w:color="DCDCE4" w:sz="2"/>
          <w:insideH w:val="single" w:color="DCDCE4" w:sz="2"/>
          <w:insideV w:val="single" w:color="DCDCE4" w:sz="2"/>
        </w:tblBorders>
      </w:tblPr>
      <w:tblGrid>
        <w:gridCol w:w="3600"/>
        <w:gridCol w:w="10080"/>
      </w:tblGrid>
      <w:tr>
        <w:trPr>
          <w:cantSplit/>
          <w:tblHeader/>
        </w:trPr>
        <w:tc>
          <w:tcPr>
            <w:tcW w:type="dxa" w:w="360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Constraint</w:t>
            </w:r>
          </w:p>
        </w:tc>
        <w:tc>
          <w:tcPr>
            <w:tcW w:type="dxa" w:w="10080"/>
            <w:shd w:fill="1A1B23" w:color="auto" w:val="clear"/>
            <w:tcMar>
              <w:top w:type="dxa" w:w="80"/>
              <w:left w:type="dxa" w:w="100"/>
              <w:bottom w:type="dxa" w:w="80"/>
              <w:right w:type="dxa" w:w="100"/>
            </w:tcMar>
            <w:vAlign w:val="center"/>
          </w:tcPr>
          <w:p>
            <w:pPr>
              <w:keepNext w:val="false"/>
              <w:spacing w:after="0" w:before="0" w:line="276"/>
              <w:jc w:val="left"/>
            </w:pPr>
            <w:r>
              <w:rPr>
                <w:rFonts w:ascii="Sora" w:cs="Sora" w:eastAsia="Sora" w:hAnsi="Sora"/>
                <w:b/>
                <w:bCs/>
                <w:i w:val="false"/>
                <w:iCs w:val="false"/>
                <w:caps/>
                <w:color w:val="FFFFFF"/>
                <w:spacing w:val="8"/>
                <w:sz w:val="15"/>
                <w:szCs w:val="15"/>
              </w:rPr>
              <w:t xml:space="preserve">Requirement</w:t>
            </w:r>
          </w:p>
        </w:tc>
      </w:tr>
      <w:tr>
        <w:trPr>
          <w:cantSplit/>
        </w:trPr>
        <w:tc>
          <w:tcPr>
            <w:tcW w:type="dxa" w:w="36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Category order</w:t>
            </w:r>
          </w:p>
        </w:tc>
        <w:tc>
          <w:tcPr>
            <w:tcW w:type="dxa" w:w="1008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Services.jsx renders six categories, ordered exactly 01 → 06 as in this document.</w:t>
            </w:r>
          </w:p>
        </w:tc>
      </w:tr>
      <w:tr>
        <w:trPr>
          <w:cantSplit/>
        </w:trPr>
        <w:tc>
          <w:tcPr>
            <w:tcW w:type="dxa" w:w="360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Copy discipline</w:t>
            </w:r>
          </w:p>
        </w:tc>
        <w:tc>
          <w:tcPr>
            <w:tcW w:type="dxa" w:w="1008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Public copy shows the outcome sold, never the technology. "Custom Persona Bots", "Zero-Trust Hardening" and "RAG with Pinecone" are engineer language — a director general does not buy them.</w:t>
            </w:r>
          </w:p>
        </w:tc>
      </w:tr>
      <w:tr>
        <w:trPr>
          <w:cantSplit/>
        </w:trPr>
        <w:tc>
          <w:tcPr>
            <w:tcW w:type="dxa" w:w="36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Pricing</w:t>
            </w:r>
          </w:p>
        </w:tc>
        <w:tc>
          <w:tcPr>
            <w:tcW w:type="dxa" w:w="1008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No prices on the site. Every SKU CTA routes to the consultation flow.</w:t>
            </w:r>
          </w:p>
        </w:tc>
      </w:tr>
      <w:tr>
        <w:trPr>
          <w:cantSplit/>
        </w:trPr>
        <w:tc>
          <w:tcPr>
            <w:tcW w:type="dxa" w:w="360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Brand — gradient</w:t>
            </w:r>
          </w:p>
        </w:tc>
        <w:tc>
          <w:tcPr>
            <w:tcW w:type="dxa" w:w="1008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The Innovation Gradient appears exactly once per viewport, on the primary conversion CTA. Brand Identity v3.0 § 09.</w:t>
            </w:r>
          </w:p>
        </w:tc>
      </w:tr>
      <w:tr>
        <w:trPr>
          <w:cantSplit/>
        </w:trPr>
        <w:tc>
          <w:tcPr>
            <w:tcW w:type="dxa" w:w="360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Store integration</w:t>
            </w:r>
          </w:p>
        </w:tc>
        <w:tc>
          <w:tcPr>
            <w:tcW w:type="dxa" w:w="10080"/>
            <w:shd w:fill="FFFFFF"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Category 06 SKUs map to existing Product records and sell through the live store.</w:t>
            </w:r>
          </w:p>
        </w:tc>
      </w:tr>
      <w:tr>
        <w:trPr>
          <w:cantSplit/>
        </w:trPr>
        <w:tc>
          <w:tcPr>
            <w:tcW w:type="dxa" w:w="360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bCs/>
                <w:i w:val="false"/>
                <w:iCs w:val="false"/>
                <w:caps w:val="false"/>
                <w:color w:val="1A1B23"/>
                <w:sz w:val="17"/>
                <w:szCs w:val="17"/>
              </w:rPr>
              <w:t xml:space="preserve">Language</w:t>
            </w:r>
          </w:p>
        </w:tc>
        <w:tc>
          <w:tcPr>
            <w:tcW w:type="dxa" w:w="10080"/>
            <w:shd w:fill="EFF1F5" w:color="auto" w:val="clear"/>
            <w:tcMar>
              <w:top w:type="dxa" w:w="52"/>
              <w:left w:type="dxa" w:w="100"/>
              <w:bottom w:type="dxa" w:w="52"/>
              <w:right w:type="dxa" w:w="100"/>
            </w:tcMar>
            <w:vAlign w:val="center"/>
          </w:tcPr>
          <w:p>
            <w:pPr>
              <w:keepNext w:val="false"/>
              <w:spacing w:after="0" w:before="0" w:line="226"/>
              <w:jc w:val="left"/>
            </w:pPr>
            <w:r>
              <w:rPr>
                <w:rFonts w:ascii="Sora" w:cs="Sora" w:eastAsia="Sora" w:hAnsi="Sora"/>
                <w:b w:val="false"/>
                <w:bCs w:val="false"/>
                <w:i w:val="false"/>
                <w:iCs w:val="false"/>
                <w:caps w:val="false"/>
                <w:color w:val="1A1B23"/>
                <w:sz w:val="17"/>
                <w:szCs w:val="17"/>
              </w:rPr>
              <w:t xml:space="preserve">Spanish copy is a first-class deliverable for this page — reviewed by a native speaker, never machine-translated.</w:t>
            </w:r>
          </w:p>
        </w:tc>
      </w:tr>
    </w:tbl>
    <w:p>
      <w:pPr>
        <w:spacing w:after="400"/>
      </w:pPr>
    </w:p>
    <w:p>
      <w:pPr>
        <w:keepNext w:val="false"/>
        <w:spacing w:after="0" w:before="0" w:line="276"/>
        <w:jc w:val="center"/>
      </w:pPr>
      <w:r>
        <w:rPr>
          <w:rFonts w:ascii="Sora" w:cs="Sora" w:eastAsia="Sora" w:hAnsi="Sora"/>
          <w:b w:val="false"/>
          <w:bCs w:val="false"/>
          <w:i/>
          <w:iCs/>
          <w:caps w:val="false"/>
          <w:color w:val="5D3FD3"/>
          <w:spacing w:val="-10"/>
          <w:sz w:val="26"/>
          <w:szCs w:val="26"/>
        </w:rPr>
        <w:t xml:space="preserve">Complexity, simplified.</w:t>
      </w:r>
    </w:p>
    <w:sectPr>
      <w:footerReference w:type="default" r:id="rId7"/>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DCE4" w:sz="4" w:space="8"/>
      </w:pBdr>
      <w:spacing w:before="120"/>
      <w:jc w:val="right"/>
    </w:pPr>
    <w:r>
      <w:rPr>
        <w:rFonts w:ascii="JetBrains Mono" w:cs="JetBrains Mono" w:eastAsia="JetBrains Mono" w:hAnsi="JetBrains Mono"/>
        <w:color w:val="64748B"/>
        <w:sz w:val="14"/>
        <w:szCs w:val="14"/>
      </w:rPr>
      <w:t xml:space="preserve">Service Catalogue v1.0  ·  Mustapha Ukizuru  ·  July 2026</w:t>
    </w:r>
    <w:r>
      <w:rPr>
        <w:rFonts w:ascii="JetBrains Mono" w:cs="JetBrains Mono" w:eastAsia="JetBrains Mono" w:hAnsi="JetBrains Mono"/>
        <w:sz w:val="14"/>
        <w:szCs w:val="14"/>
      </w:rPr>
      <w:t xml:space="preserve">          </w:t>
    </w:r>
    <w:r>
      <w:rPr>
        <w:rFonts w:ascii="JetBrains Mono" w:cs="JetBrains Mono" w:eastAsia="JetBrains Mono" w:hAnsi="JetBrains Mono"/>
        <w:b/>
        <w:bCs/>
        <w:color w:val="5D3FD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ra" w:cs="Sora" w:eastAsia="Sora" w:hAnsi="Sora"/>
        <w:color w:val="1A1B2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0" w:before="0"/>
    </w:pPr>
    <w:rPr>
      <w:rFonts w:ascii="Sora" w:cs="Sora" w:eastAsia="Sora" w:hAnsi="Sora"/>
      <w:color w:val="FFFFFF"/>
      <w:sz w:val="2"/>
      <w:szCs w:val="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Catalogue v1.0 — Business Architecture &amp; Micro-Service Portfolio</dc:title>
  <dc:creator>Mustapha Ukizuru</dc:creator>
  <dc:description>Mexico-market service architecture: 6 categories, 34 micro-services.</dc:description>
  <cp:lastModifiedBy>Un-named</cp:lastModifiedBy>
  <cp:revision>1</cp:revision>
  <dcterms:created xsi:type="dcterms:W3CDTF">2026-07-13T04:25:48.982Z</dcterms:created>
  <dcterms:modified xsi:type="dcterms:W3CDTF">2026-07-13T04:25:48.983Z</dcterms:modified>
</cp:coreProperties>
</file>

<file path=docProps/custom.xml><?xml version="1.0" encoding="utf-8"?>
<Properties xmlns="http://schemas.openxmlformats.org/officeDocument/2006/custom-properties" xmlns:vt="http://schemas.openxmlformats.org/officeDocument/2006/docPropsVTypes"/>
</file>