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aps/>
          <w:color w:val="5D3FD3"/>
          <w:sz w:val="22"/>
          <w:szCs w:val="22"/>
        </w:rPr>
        <w:t xml:space="preserve">MUSTAPHA UKIZURU</w:t>
      </w:r>
    </w:p>
    <w:p>
      <w:pPr>
        <w:spacing w:after="120"/>
      </w:pPr>
      <w:r>
        <w:rPr>
          <w:b/>
          <w:bCs/>
          <w:color w:val="1A1B23"/>
          <w:sz w:val="56"/>
          <w:szCs w:val="56"/>
        </w:rPr>
        <w:t xml:space="preserve">End-to-End Digital Product Engineering</w:t>
      </w:r>
    </w:p>
    <w:p>
      <w:pPr>
        <w:spacing w:after="240"/>
      </w:pPr>
      <w:r>
        <w:rPr>
          <w:color w:val="64748B"/>
          <w:sz w:val="28"/>
          <w:szCs w:val="28"/>
        </w:rPr>
        <w:t xml:space="preserve">Service Delivery Playbook — Multi-Engagement Edition</w:t>
      </w:r>
    </w:p>
    <w:p>
      <w:pPr>
        <w:spacing w:after="60"/>
      </w:pPr>
      <w:r>
        <w:rPr>
          <w:color w:val="64748B"/>
          <w:sz w:val="22"/>
          <w:szCs w:val="22"/>
        </w:rPr>
        <w:t xml:space="preserve">Web &amp; Mobile Applications · Build · Renovate · Enhance · Maintain · API</w:t>
      </w:r>
    </w:p>
    <w:p>
      <w:pPr>
        <w:spacing w:after="60"/>
      </w:pPr>
      <w:r>
        <w:rPr>
          <w:color w:val="64748B"/>
          <w:sz w:val="21"/>
          <w:szCs w:val="21"/>
        </w:rPr>
        <w:t xml:space="preserve">Version 2.0 · July 2026 · Supersedes v1.0 · mustaphaukizuru.com</w:t>
      </w:r>
    </w:p>
    <w:p>
      <w:pPr>
        <w:pBdr>
          <w:bottom w:val="single" w:color="5D3FD3" w:sz="12" w:space="4"/>
        </w:pBdr>
        <w:spacing w:after="400"/>
      </w:pPr>
      <w:r>
        <w:rPr>
          <w:i/>
          <w:iCs/>
          <w:color w:val="1A1B23"/>
          <w:sz w:val="22"/>
          <w:szCs w:val="22"/>
        </w:rPr>
        <w:t xml:space="preserve">Complexity, simplified.</w:t>
      </w:r>
    </w:p>
    <w:p>
      <w:pPr>
        <w:pStyle w:val="Heading1"/>
      </w:pPr>
      <w:r>
        <w:t xml:space="preserve">Engagement Types</w:t>
      </w:r>
    </w:p>
    <w:p>
      <w:pPr>
        <w:spacing w:after="120"/>
      </w:pPr>
      <w:r>
        <w:t xml:space="preserve">One framework, four engagement types. All share the same phase structure and gate discipline; they differ in entry point, risk profile, and pricing model. The API Workstream (see annex) cuts across all four.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3600"/>
        <w:gridCol w:w="1500"/>
      </w:tblGrid>
      <w:tr>
        <w:trPr>
          <w:tblHeader/>
        </w:trPr>
        <w:tc>
          <w:tcPr>
            <w:tcW w:type="dxa" w:w="15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Type</w:t>
            </w:r>
          </w:p>
        </w:tc>
        <w:tc>
          <w:tcPr>
            <w:tcW w:type="dxa" w:w="27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Client Situation</w:t>
            </w:r>
          </w:p>
        </w:tc>
        <w:tc>
          <w:tcPr>
            <w:tcW w:type="dxa" w:w="36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What Is Different</w:t>
            </w:r>
          </w:p>
        </w:tc>
        <w:tc>
          <w:tcPr>
            <w:tcW w:type="dxa" w:w="15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Entry Point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existing product; idea or replacement from scratch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greenfield pipeline as documented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A1 Discovery</w:t>
            </w:r>
          </w:p>
        </w:tc>
      </w:tr>
      <w:tr>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Renovate</w:t>
            </w:r>
          </w:p>
        </w:tc>
        <w:tc>
          <w:tcPr>
            <w:tcW w:type="dxa" w:w="27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Existing product that is outdated, slow, insecure, or unmaintainable</w:t>
            </w:r>
          </w:p>
        </w:tc>
        <w:tc>
          <w:tcPr>
            <w:tcW w:type="dxa" w:w="3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Paid A0 audit mandatory · regression protection · rollback discipline · renovate-vs-rebuild decision</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A0 Audit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Enhance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Working product that needs new features or integrations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 A0 audit · contract preservation · gates run per feature batch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A0 Audit (light)</w:t>
            </w:r>
          </w:p>
        </w:tc>
      </w:tr>
      <w:tr>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Maintain</w:t>
            </w:r>
          </w:p>
        </w:tc>
        <w:tc>
          <w:tcPr>
            <w:tcW w:type="dxa" w:w="27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Product built by someone else; client needs an operator</w:t>
            </w:r>
          </w:p>
        </w:tc>
        <w:tc>
          <w:tcPr>
            <w:tcW w:type="dxa" w:w="3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A0 audit + reverse handover (C0) · tiered retainer is the product</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A0 → Phase C</w:t>
            </w:r>
          </w:p>
        </w:tc>
      </w:tr>
    </w:tbl>
    <w:p>
      <w:pPr>
        <w:spacing w:after="120"/>
      </w:pPr>
    </w:p>
    <w:p>
      <w:pPr>
        <w:pStyle w:val="Heading2"/>
      </w:pPr>
      <w:r>
        <w:t xml:space="preserve">Client Audiences</w:t>
      </w:r>
    </w:p>
    <w:p>
      <w:pPr>
        <w:spacing w:after="120"/>
      </w:pPr>
      <w:r>
        <w:t xml:space="preserve">Three audiences shape scope, contracts, and support tiers: Individuals &amp; professionals (portfolio sites, booking tools, small products — productized fixed-price packages work best); SMEs (e-commerce, internal tools, client portals — milestone projects plus Business-tier retainers); and Institutions (schools and organizations — formal SLAs, data-protection obligations, SSO and systems integration, procurement-compatible contracts, longer sales cycles). Institutional work aligns with the STEM &amp; School Solutions brand line and justifies the Institutional retainer tier.</w:t>
      </w:r>
    </w:p>
    <w:p>
      <w:pPr>
        <w:spacing w:after="120"/>
      </w:pPr>
    </w:p>
    <w:p>
      <w:pPr>
        <w:pStyle w:val="Heading2"/>
      </w:pPr>
      <w:r>
        <w:t xml:space="preserve">The Golden Rule of Brownfield Work</w:t>
      </w:r>
    </w:p>
    <w:p>
      <w:pPr>
        <w:spacing w:after="120"/>
      </w:pPr>
      <w:r>
        <w:t xml:space="preserve">Never quote renovation, enhancement, or takeover work without the paid A0 audit. Legacy systems always hide surprises; quoting blind converts those surprises into your unpaid labor. The audit is a standalone, fixed-price product whose report doubles as the evidence behind your quote — and it is valuable to the client even if they hire someone else.</w:t>
      </w:r>
    </w:p>
    <w:p>
      <w:pPr>
        <w:pStyle w:val="Heading1"/>
        <w:pageBreakBefore/>
      </w:pPr>
      <w:r>
        <w:t xml:space="preserve">How the Phases Connect</w:t>
      </w:r>
    </w:p>
    <w:p>
      <w:pPr>
        <w:spacing w:after="120"/>
      </w:pPr>
      <w:r>
        <w:t xml:space="preserve">Every engagement moves through three phases separated by formal approval gates. A gate is a decision point: the client reviews defined evidence and gives written approval before the next stage begins. Every commitment made in Preproduction is executed by a named Production stage and closed out by a named After-Production step — the Traceability Matrix is the enforcement map.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60"/>
        <w:gridCol w:w="1500"/>
      </w:tblGrid>
      <w:tr>
        <w:trPr>
          <w:tblHeader/>
        </w:trPr>
        <w:tc>
          <w:tcPr>
            <w:tcW w:type="dxa" w:w="22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Gate</w:t>
            </w:r>
          </w:p>
        </w:tc>
        <w:tc>
          <w:tcPr>
            <w:tcW w:type="dxa" w:w="24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When</w:t>
            </w:r>
          </w:p>
        </w:tc>
        <w:tc>
          <w:tcPr>
            <w:tcW w:type="dxa" w:w="32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Client Approves</w:t>
            </w:r>
          </w:p>
        </w:tc>
        <w:tc>
          <w:tcPr>
            <w:tcW w:type="dxa" w:w="15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Unlocks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0 — Contract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 of Preproduction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SOW, Scope Boundary Matrix, payment schedule (deposit paid)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Production kickoff</w:t>
            </w:r>
          </w:p>
        </w:tc>
      </w:tr>
      <w:tr>
        <w:tc>
          <w:tcPr>
            <w:tcW w:type="dxa" w:w="22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 1 — Design Review / Renovation Plan</w:t>
            </w:r>
          </w:p>
        </w:tc>
        <w:tc>
          <w:tcPr>
            <w:tcW w:type="dxa" w:w="24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Build: after UI MVP (B3) · Brownfield: after audit-driven plan</w:t>
            </w:r>
          </w:p>
        </w:tc>
        <w:tc>
          <w:tcPr>
            <w:tcW w:type="dxa" w:w="32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Build: screens vs. wireframes (revision round 1) · Brownfield: what changes, what is preserved, sequencing</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Backend /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2 — Feature Walkthrough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core features (B5)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Working features vs. user journeys (revision round 2); scope freeze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Hardening and QA</w:t>
            </w:r>
          </w:p>
        </w:tc>
      </w:tr>
      <w:tr>
        <w:tc>
          <w:tcPr>
            <w:tcW w:type="dxa" w:w="22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 3 — UAT Sign-off</w:t>
            </w:r>
          </w:p>
        </w:tc>
        <w:tc>
          <w:tcPr>
            <w:tcW w:type="dxa" w:w="24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On staging / TestFlight (B10)</w:t>
            </w:r>
          </w:p>
        </w:tc>
        <w:tc>
          <w:tcPr>
            <w:tcW w:type="dxa" w:w="32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Full acceptance test of the release candidate; brownfield adds: regression suite green</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Launch / cutover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4 — Launch Acceptance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 go-live or cutover (B11)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Definition of Done verified; brownfield adds: baseline improvement shown, zero regressions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Warranty + final payment</w:t>
            </w:r>
          </w:p>
        </w:tc>
      </w:tr>
    </w:tbl>
    <w:p>
      <w:pPr>
        <w:pStyle w:val="Heading1"/>
        <w:pageBreakBefore/>
      </w:pPr>
      <w:r>
        <w:t xml:space="preserve">Phase A — Preproduction</w:t>
      </w:r>
    </w:p>
    <w:p>
      <w:pPr>
        <w:spacing w:after="120"/>
      </w:pPr>
      <w:r>
        <w:t xml:space="preserve">Objective: convert an idea — or an inherited system — into a signed, scoped, de-risked contract. Exit condition: Gate 0.</w:t>
      </w:r>
    </w:p>
    <w:p>
      <w:pPr>
        <w:pStyle w:val="Heading2"/>
      </w:pPr>
      <w:r>
        <w:t xml:space="preserve">A0 · Technical Audit &amp; Due Diligence  (Renovate · Enhance · Maintain)</w:t>
      </w:r>
    </w:p>
    <w:p>
      <w:pPr>
        <w:spacing w:after="120"/>
      </w:pPr>
      <w:r>
        <w:t xml:space="preserve">A paid, fixed-price engagement delivered before any quote for work on an existing system. Deliverable: a written audit report with findings, risk register, baseline metrics, and a costed recommendation.</w:t>
      </w:r>
    </w:p>
    <w:p>
      <w:pPr>
        <w:pStyle w:val="ListParagraph"/>
        <w:numPr>
          <w:ilvl w:val="0"/>
          <w:numId w:val="2"/>
        </w:numPr>
        <w:spacing w:after="80"/>
      </w:pPr>
      <w:r>
        <w:rPr>
          <w:b/>
          <w:bCs/>
        </w:rPr>
        <w:t xml:space="preserve">Secure Read Access: </w:t>
      </w:r>
      <w:r>
        <w:t xml:space="preserve">Repository, hosting, database, and third-party dashboards — via the shared vault, read-only where possible.</w:t>
      </w:r>
    </w:p>
    <w:p>
      <w:pPr>
        <w:pStyle w:val="ListParagraph"/>
        <w:numPr>
          <w:ilvl w:val="0"/>
          <w:numId w:val="2"/>
        </w:numPr>
        <w:spacing w:after="80"/>
      </w:pPr>
      <w:r>
        <w:rPr>
          <w:b/>
          <w:bCs/>
        </w:rPr>
        <w:t xml:space="preserve">Verify Ownership &amp; History: </w:t>
      </w:r>
      <w:r>
        <w:t xml:space="preserve">Does the client legally own the code (IP transfer from the previous developer, license compliance)? Does a repository exist at all — or does the code live only on shared-hosting FTP or an ex-developer's machine? Is the previous developer cooperative, absent, or hostile? Each answer changes price and risk.</w:t>
      </w:r>
    </w:p>
    <w:p>
      <w:pPr>
        <w:pStyle w:val="ListParagraph"/>
        <w:numPr>
          <w:ilvl w:val="0"/>
          <w:numId w:val="2"/>
        </w:numPr>
        <w:spacing w:after="80"/>
      </w:pPr>
      <w:r>
        <w:rPr>
          <w:b/>
          <w:bCs/>
        </w:rPr>
        <w:t xml:space="preserve">Review Code &amp; Architecture: </w:t>
      </w:r>
      <w:r>
        <w:t xml:space="preserve">Structure, patterns, dead code, coupling; can the system be understood and safely changed?</w:t>
      </w:r>
    </w:p>
    <w:p>
      <w:pPr>
        <w:pStyle w:val="ListParagraph"/>
        <w:numPr>
          <w:ilvl w:val="0"/>
          <w:numId w:val="2"/>
        </w:numPr>
        <w:spacing w:after="80"/>
      </w:pPr>
      <w:r>
        <w:rPr>
          <w:b/>
          <w:bCs/>
        </w:rPr>
        <w:t xml:space="preserve">Audit Dependencies &amp; Security: </w:t>
      </w:r>
      <w:r>
        <w:t xml:space="preserve">Outdated and vulnerable packages, exposed secrets, unpatched frameworks, missing HTTPS/headers, injection surface.</w:t>
      </w:r>
    </w:p>
    <w:p>
      <w:pPr>
        <w:pStyle w:val="ListParagraph"/>
        <w:numPr>
          <w:ilvl w:val="0"/>
          <w:numId w:val="2"/>
        </w:numPr>
        <w:spacing w:after="80"/>
      </w:pPr>
      <w:r>
        <w:rPr>
          <w:b/>
          <w:bCs/>
        </w:rPr>
        <w:t xml:space="preserve">Inventory Infrastructure: </w:t>
      </w:r>
      <w:r>
        <w:t xml:space="preserve">Hosting, DNS, database, email, cron jobs, storage, CI — and who pays for and controls each.</w:t>
      </w:r>
    </w:p>
    <w:p>
      <w:pPr>
        <w:pStyle w:val="ListParagraph"/>
        <w:numPr>
          <w:ilvl w:val="0"/>
          <w:numId w:val="2"/>
        </w:numPr>
        <w:spacing w:after="80"/>
      </w:pPr>
      <w:r>
        <w:rPr>
          <w:b/>
          <w:bCs/>
        </w:rPr>
        <w:t xml:space="preserve">Capture the Performance &amp; Stability Baseline: </w:t>
      </w:r>
      <w:r>
        <w:t xml:space="preserve">Lighthouse scores, response times, error rates, uptime, crash rates (mobile). Without a baseline you can never prove the renovation improved anything.</w:t>
      </w:r>
    </w:p>
    <w:p>
      <w:pPr>
        <w:pStyle w:val="ListParagraph"/>
        <w:numPr>
          <w:ilvl w:val="0"/>
          <w:numId w:val="2"/>
        </w:numPr>
        <w:spacing w:after="80"/>
      </w:pPr>
      <w:r>
        <w:rPr>
          <w:b/>
          <w:bCs/>
        </w:rPr>
        <w:t xml:space="preserve">Inventory API Consumers: </w:t>
      </w:r>
      <w:r>
        <w:t xml:space="preserve">From access logs and code: who calls which endpoints — mobile apps, partner integrations, scripts. Unknown consumers are the silent breaking-change victims.</w:t>
      </w:r>
    </w:p>
    <w:p>
      <w:pPr>
        <w:pStyle w:val="ListParagraph"/>
        <w:numPr>
          <w:ilvl w:val="0"/>
          <w:numId w:val="2"/>
        </w:numPr>
        <w:spacing w:after="80"/>
      </w:pPr>
      <w:r>
        <w:rPr>
          <w:b/>
          <w:bCs/>
        </w:rPr>
        <w:t xml:space="preserve">Assess Tests &amp; Documentation: </w:t>
      </w:r>
      <w:r>
        <w:t xml:space="preserve">Coverage, CI state, README accuracy, deploy process (documented or tribal knowledge?).</w:t>
      </w:r>
    </w:p>
    <w:p>
      <w:pPr>
        <w:pStyle w:val="ListParagraph"/>
        <w:numPr>
          <w:ilvl w:val="0"/>
          <w:numId w:val="2"/>
        </w:numPr>
        <w:spacing w:after="80"/>
      </w:pPr>
      <w:r>
        <w:rPr>
          <w:b/>
          <w:bCs/>
        </w:rPr>
        <w:t xml:space="preserve">Deliver the Verdict: </w:t>
      </w:r>
      <w:r>
        <w:t xml:space="preserve">Audit report with a renovate-vs-rebuild recommendation and a quote. If the codebase scores below the viability threshold, say plainly that rebuilding on a modern stack is cheaper than renovating — even when renovation is what the client asked for.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6"/>
              <w:left w:val="single" w:color="0284C7" w:sz="18"/>
              <w:bottom w:val="single" w:color="0284C7" w:sz="6"/>
              <w:right w:val="single" w:color="0284C7" w:sz="6"/>
            </w:tcBorders>
            <w:shd w:fill="E0F2FE" w:val="clear"/>
            <w:tcMar>
              <w:top w:type="dxa" w:w="120"/>
              <w:left w:type="dxa" w:w="160"/>
              <w:bottom w:type="dxa" w:w="120"/>
              <w:right w:type="dxa" w:w="160"/>
            </w:tcMar>
          </w:tcPr>
          <w:p>
            <w:pPr>
              <w:spacing w:after="40"/>
            </w:pPr>
            <w:r>
              <w:rPr>
                <w:b/>
                <w:bCs/>
                <w:color w:val="0284C7"/>
                <w:sz w:val="22"/>
                <w:szCs w:val="22"/>
              </w:rPr>
              <w:t xml:space="preserve">BROWNFIELD — Contingency Rule</w:t>
            </w:r>
          </w:p>
          <w:p>
            <w:r>
              <w:rPr>
                <w:sz w:val="21"/>
                <w:szCs w:val="21"/>
              </w:rPr>
              <w:t xml:space="preserve">Every brownfield quote carries a stated 20–30% contingency line item in the SOW — visible to the client, not hidden in margin. Legacy surprises consume it; if unused, it is not billed.</w:t>
            </w:r>
          </w:p>
        </w:tc>
      </w:tr>
    </w:tbl>
    <w:p>
      <w:pPr>
        <w:spacing w:after="120"/>
      </w:pPr>
    </w:p>
    <w:p>
      <w:pPr>
        <w:pStyle w:val="Heading2"/>
      </w:pPr>
      <w:r>
        <w:t xml:space="preserve">A1 · Discovery &amp; Technical Feasibility</w:t>
      </w:r>
    </w:p>
    <w:p>
      <w:pPr>
        <w:pStyle w:val="ListParagraph"/>
        <w:numPr>
          <w:ilvl w:val="0"/>
          <w:numId w:val="2"/>
        </w:numPr>
        <w:spacing w:after="80"/>
      </w:pPr>
      <w:r>
        <w:rPr>
          <w:b/>
          <w:bCs/>
        </w:rPr>
        <w:t xml:space="preserve">Conduct Stakeholder Interview: </w:t>
      </w:r>
      <w:r>
        <w:t xml:space="preserve">Extract the core business problem, not a feature wishlist. Brownfield: also extract why the last product or developer relationship failed.</w:t>
      </w:r>
    </w:p>
    <w:p>
      <w:pPr>
        <w:pStyle w:val="ListParagraph"/>
        <w:numPr>
          <w:ilvl w:val="0"/>
          <w:numId w:val="2"/>
        </w:numPr>
        <w:spacing w:after="80"/>
      </w:pPr>
      <w:r>
        <w:rPr>
          <w:b/>
          <w:bCs/>
        </w:rPr>
        <w:t xml:space="preserve">Decide Target Platform: </w:t>
      </w:r>
      <w:r>
        <w:t xml:space="preserve">Web, mobile (iOS/Android), or both — routes the Production track, cost model, and launch timeline.</w:t>
      </w:r>
    </w:p>
    <w:p>
      <w:pPr>
        <w:pStyle w:val="ListParagraph"/>
        <w:numPr>
          <w:ilvl w:val="0"/>
          <w:numId w:val="2"/>
        </w:numPr>
        <w:spacing w:after="80"/>
      </w:pPr>
      <w:r>
        <w:rPr>
          <w:b/>
          <w:bCs/>
        </w:rPr>
        <w:t xml:space="preserve">Run API &amp; Dependency Audits: </w:t>
      </w:r>
      <w:r>
        <w:t xml:space="preserve">Verify documentation, costs, and regional availability of required third-party APIs.</w:t>
      </w:r>
    </w:p>
    <w:p>
      <w:pPr>
        <w:pStyle w:val="ListParagraph"/>
        <w:numPr>
          <w:ilvl w:val="0"/>
          <w:numId w:val="2"/>
        </w:numPr>
        <w:spacing w:after="80"/>
      </w:pPr>
      <w:r>
        <w:rPr>
          <w:b/>
          <w:bCs/>
        </w:rPr>
        <w:t xml:space="preserve">Build a Throwaway PoC: </w:t>
      </w:r>
      <w:r>
        <w:t xml:space="preserve">AI-generated isolated test scripts proving risky features are feasible before quoting.</w:t>
      </w:r>
    </w:p>
    <w:p>
      <w:pPr>
        <w:pStyle w:val="ListParagraph"/>
        <w:numPr>
          <w:ilvl w:val="0"/>
          <w:numId w:val="2"/>
        </w:numPr>
        <w:spacing w:after="80"/>
      </w:pPr>
      <w:r>
        <w:rPr>
          <w:b/>
          <w:bCs/>
        </w:rPr>
        <w:t xml:space="preserve">Identify Compliance &amp; Security Bounds: </w:t>
      </w:r>
      <w:r>
        <w:t xml:space="preserve">GDPR, data residency, sector rules; mobile privacy labels. Institutions: student/member data protection and any procurement security requirements.</w:t>
      </w:r>
    </w:p>
    <w:p>
      <w:pPr>
        <w:pStyle w:val="Heading2"/>
      </w:pPr>
      <w:r>
        <w:t xml:space="preserve">A2 · Technical Asset Ownership &amp; Access Audit</w:t>
      </w:r>
    </w:p>
    <w:p>
      <w:pPr>
        <w:pStyle w:val="ListParagraph"/>
        <w:numPr>
          <w:ilvl w:val="0"/>
          <w:numId w:val="2"/>
        </w:numPr>
        <w:spacing w:after="80"/>
      </w:pPr>
      <w:r>
        <w:rPr>
          <w:b/>
          <w:bCs/>
        </w:rPr>
        <w:t xml:space="preserve">Audit Client-Owned Assets: </w:t>
      </w:r>
      <w:r>
        <w:t xml:space="preserve">Domain, hosting, cloud accounts; mobile: Apple Developer (USD 99/yr), Google Play (USD 25), D-U-N-S lead time. Brownfield: transfer any asset still held by the previous developer now, not at launch.</w:t>
      </w:r>
    </w:p>
    <w:p>
      <w:pPr>
        <w:pStyle w:val="ListParagraph"/>
        <w:numPr>
          <w:ilvl w:val="0"/>
          <w:numId w:val="2"/>
        </w:numPr>
        <w:spacing w:after="80"/>
      </w:pPr>
      <w:r>
        <w:rPr>
          <w:b/>
          <w:bCs/>
        </w:rPr>
        <w:t xml:space="preserve">Secure Identity &amp; Access Management: </w:t>
      </w:r>
      <w:r>
        <w:t xml:space="preserve">Shared password-manager vault; credentials never via chat or email.</w:t>
      </w:r>
    </w:p>
    <w:p>
      <w:pPr>
        <w:pStyle w:val="ListParagraph"/>
        <w:numPr>
          <w:ilvl w:val="0"/>
          <w:numId w:val="2"/>
        </w:numPr>
        <w:spacing w:after="80"/>
      </w:pPr>
      <w:r>
        <w:rPr>
          <w:b/>
          <w:bCs/>
        </w:rPr>
        <w:t xml:space="preserve">Check Legacy System / Data Access: </w:t>
      </w:r>
      <w:r>
        <w:t xml:space="preserve">Demand sample exports (CSV, JSON, SQL dump) before quoting; feeds the B4 migration work.</w:t>
      </w:r>
    </w:p>
    <w:p>
      <w:pPr>
        <w:pStyle w:val="Heading2"/>
      </w:pPr>
      <w:r>
        <w:t xml:space="preserve">A3 · Visual &amp; Functional Scope Alignment (The Client Package)</w:t>
      </w:r>
    </w:p>
    <w:p>
      <w:pPr>
        <w:pStyle w:val="ListParagraph"/>
        <w:numPr>
          <w:ilvl w:val="0"/>
          <w:numId w:val="2"/>
        </w:numPr>
        <w:spacing w:after="80"/>
      </w:pPr>
      <w:r>
        <w:rPr>
          <w:b/>
          <w:bCs/>
        </w:rPr>
        <w:t xml:space="preserve">Deliver Structural Wireframes: </w:t>
      </w:r>
      <w:r>
        <w:t xml:space="preserve">Low-fidelity skeletons of core screens; mobile follows platform conventions. Enhance: wireframe only changed screens, marked against current UI.</w:t>
      </w:r>
    </w:p>
    <w:p>
      <w:pPr>
        <w:pStyle w:val="ListParagraph"/>
        <w:numPr>
          <w:ilvl w:val="0"/>
          <w:numId w:val="2"/>
        </w:numPr>
        <w:spacing w:after="80"/>
      </w:pPr>
      <w:r>
        <w:rPr>
          <w:b/>
          <w:bCs/>
        </w:rPr>
        <w:t xml:space="preserve">Map the Navigation Flow: </w:t>
      </w:r>
      <w:r>
        <w:t xml:space="preserve">User flow diagram of how screens connect.</w:t>
      </w:r>
    </w:p>
    <w:p>
      <w:pPr>
        <w:pStyle w:val="ListParagraph"/>
        <w:numPr>
          <w:ilvl w:val="0"/>
          <w:numId w:val="2"/>
        </w:numPr>
        <w:spacing w:after="80"/>
      </w:pPr>
      <w:r>
        <w:rPr>
          <w:b/>
          <w:bCs/>
        </w:rPr>
        <w:t xml:space="preserve">Write User Journeys: </w:t>
      </w:r>
      <w:r>
        <w:t xml:space="preserve">Happy Path narratives — the acceptance script at Gate 2 and the bug-vs-feature arbiter in warranty.</w:t>
      </w:r>
    </w:p>
    <w:p>
      <w:pPr>
        <w:pStyle w:val="ListParagraph"/>
        <w:numPr>
          <w:ilvl w:val="0"/>
          <w:numId w:val="2"/>
        </w:numPr>
        <w:spacing w:after="80"/>
      </w:pPr>
      <w:r>
        <w:rPr>
          <w:b/>
          <w:bCs/>
        </w:rPr>
        <w:t xml:space="preserve">Establish the Scope Boundary Matrix: </w:t>
      </w:r>
      <w:r>
        <w:t xml:space="preserve">In-Scope vs. Out-of-Scope; the deferred list is the Phase 2 pipeline. Renovate: add a third column — Preserved As-Is.</w:t>
      </w:r>
    </w:p>
    <w:p>
      <w:pPr>
        <w:pStyle w:val="ListParagraph"/>
        <w:numPr>
          <w:ilvl w:val="0"/>
          <w:numId w:val="2"/>
        </w:numPr>
        <w:spacing w:after="80"/>
      </w:pPr>
      <w:r>
        <w:rPr>
          <w:b/>
          <w:bCs/>
        </w:rPr>
        <w:t xml:space="preserve">Lock In Design Theme: </w:t>
      </w:r>
      <w:r>
        <w:t xml:space="preserve">Mood board sign-off: palette, fonts, aesthetic.</w:t>
      </w:r>
    </w:p>
    <w:p>
      <w:pPr>
        <w:pStyle w:val="Heading2"/>
      </w:pPr>
      <w:r>
        <w:t xml:space="preserve">A4 · The Feedback Loop Agreement</w:t>
      </w:r>
    </w:p>
    <w:p>
      <w:pPr>
        <w:pStyle w:val="ListParagraph"/>
        <w:numPr>
          <w:ilvl w:val="0"/>
          <w:numId w:val="2"/>
        </w:numPr>
        <w:spacing w:after="80"/>
      </w:pPr>
      <w:r>
        <w:rPr>
          <w:b/>
          <w:bCs/>
        </w:rPr>
        <w:t xml:space="preserve">Define the Revision Limit: </w:t>
      </w:r>
      <w:r>
        <w:t xml:space="preserve">e.g., two revision rounds per milestone — round 1 at Gate 1, round 2 at Gate 2.</w:t>
      </w:r>
    </w:p>
    <w:p>
      <w:pPr>
        <w:pStyle w:val="ListParagraph"/>
        <w:numPr>
          <w:ilvl w:val="0"/>
          <w:numId w:val="2"/>
        </w:numPr>
        <w:spacing w:after="80"/>
      </w:pPr>
      <w:r>
        <w:rPr>
          <w:b/>
          <w:bCs/>
        </w:rPr>
        <w:t xml:space="preserve">Set Up a Single Point of Contact: </w:t>
      </w:r>
      <w:r>
        <w:t xml:space="preserve">One named person with final approval authority. Institutions: insist on this — committees kill timelines.</w:t>
      </w:r>
    </w:p>
    <w:p>
      <w:pPr>
        <w:pStyle w:val="ListParagraph"/>
        <w:numPr>
          <w:ilvl w:val="0"/>
          <w:numId w:val="2"/>
        </w:numPr>
        <w:spacing w:after="80"/>
      </w:pPr>
      <w:r>
        <w:rPr>
          <w:b/>
          <w:bCs/>
        </w:rPr>
        <w:t xml:space="preserve">Establish Response-Time SLA: </w:t>
      </w:r>
      <w:r>
        <w:t xml:space="preserve">e.g., developer responds within 24 business hours; client approves gates within 3 business days or the timeline shifts day-for-day.</w:t>
      </w:r>
    </w:p>
    <w:p>
      <w:pPr>
        <w:pStyle w:val="Heading2"/>
      </w:pPr>
      <w:r>
        <w:t xml:space="preserve">A5 · Risk Assessment &amp; Cost Estimation</w:t>
      </w:r>
    </w:p>
    <w:p>
      <w:pPr>
        <w:pStyle w:val="ListParagraph"/>
        <w:numPr>
          <w:ilvl w:val="0"/>
          <w:numId w:val="2"/>
        </w:numPr>
        <w:spacing w:after="80"/>
      </w:pPr>
      <w:r>
        <w:rPr>
          <w:b/>
          <w:bCs/>
        </w:rPr>
        <w:t xml:space="preserve">Calculate Infrastructure Cost Ownership: </w:t>
      </w:r>
      <w:r>
        <w:t xml:space="preserve">Estimated monthly/annual run cost: hosting, database, AI tokens, store fees, build services. Reconciled against actuals at C4.</w:t>
      </w:r>
    </w:p>
    <w:p>
      <w:pPr>
        <w:pStyle w:val="ListParagraph"/>
        <w:numPr>
          <w:ilvl w:val="0"/>
          <w:numId w:val="2"/>
        </w:numPr>
        <w:spacing w:after="80"/>
      </w:pPr>
      <w:r>
        <w:rPr>
          <w:b/>
          <w:bCs/>
        </w:rPr>
        <w:t xml:space="preserve">Draft Line-Item Development Estimate: </w:t>
      </w:r>
      <w:r>
        <w:t xml:space="preserve">Screen-by-screen, feature-by-feature. Brownfield: plus the A0-derived remediation items and the visible contingency.</w:t>
      </w:r>
    </w:p>
    <w:p>
      <w:pPr>
        <w:pStyle w:val="ListParagraph"/>
        <w:numPr>
          <w:ilvl w:val="0"/>
          <w:numId w:val="2"/>
        </w:numPr>
        <w:spacing w:after="80"/>
      </w:pPr>
      <w:r>
        <w:rPr>
          <w:b/>
          <w:bCs/>
        </w:rPr>
        <w:t xml:space="preserve">Define Phase Milestones: </w:t>
      </w:r>
      <w:r>
        <w:t xml:space="preserve">Timeline mapped to Gates 1–4.</w:t>
      </w:r>
    </w:p>
    <w:p>
      <w:pPr>
        <w:pStyle w:val="Heading2"/>
      </w:pPr>
      <w:r>
        <w:t xml:space="preserve">A6 · Risk Mitigation &amp; Handover Planning</w:t>
      </w:r>
    </w:p>
    <w:p>
      <w:pPr>
        <w:pStyle w:val="ListParagraph"/>
        <w:numPr>
          <w:ilvl w:val="0"/>
          <w:numId w:val="2"/>
        </w:numPr>
        <w:spacing w:after="80"/>
      </w:pPr>
      <w:r>
        <w:rPr>
          <w:b/>
          <w:bCs/>
        </w:rPr>
        <w:t xml:space="preserve">Define the Definition of Done: </w:t>
      </w:r>
      <w:r>
        <w:t xml:space="preserve">Build: tests pass, code on client GitHub, product live. Brownfield adds: zero regressions against the characterization suite and measured improvement over the A0 baseline.</w:t>
      </w:r>
    </w:p>
    <w:p>
      <w:pPr>
        <w:pStyle w:val="ListParagraph"/>
        <w:numPr>
          <w:ilvl w:val="0"/>
          <w:numId w:val="2"/>
        </w:numPr>
        <w:spacing w:after="80"/>
      </w:pPr>
      <w:r>
        <w:rPr>
          <w:b/>
          <w:bCs/>
        </w:rPr>
        <w:t xml:space="preserve">Draft the Post-Launch Warranty Period: </w:t>
      </w:r>
      <w:r>
        <w:t xml:space="preserve">14–30 days of free defect fixes; new behavior is billable.</w:t>
      </w:r>
    </w:p>
    <w:p>
      <w:pPr>
        <w:pStyle w:val="ListParagraph"/>
        <w:numPr>
          <w:ilvl w:val="0"/>
          <w:numId w:val="2"/>
        </w:numPr>
        <w:spacing w:after="80"/>
      </w:pPr>
      <w:r>
        <w:rPr>
          <w:b/>
          <w:bCs/>
        </w:rPr>
        <w:t xml:space="preserve">Propose the Maintenance Plan: </w:t>
      </w:r>
      <w:r>
        <w:t xml:space="preserve">Tiered retainer (see Phase C). Mobile: effectively mandatory — Apple and Google delist apps that miss annual OS/SDK target updates.</w:t>
      </w:r>
    </w:p>
    <w:p>
      <w:pPr>
        <w:pStyle w:val="Heading2"/>
      </w:pPr>
      <w:r>
        <w:t xml:space="preserve">A7 · Final Sign-Off &amp; Legalities</w:t>
      </w:r>
    </w:p>
    <w:p>
      <w:pPr>
        <w:pStyle w:val="ListParagraph"/>
        <w:numPr>
          <w:ilvl w:val="0"/>
          <w:numId w:val="2"/>
        </w:numPr>
        <w:spacing w:after="80"/>
      </w:pPr>
      <w:r>
        <w:rPr>
          <w:b/>
          <w:bCs/>
        </w:rPr>
        <w:t xml:space="preserve">Draft the Statement of Work: </w:t>
      </w:r>
      <w:r>
        <w:t xml:space="preserve">Scope, delivery criteria, IP boundaries. Institutions: procurement-compatible variant with formal SLA annex.</w:t>
      </w:r>
    </w:p>
    <w:p>
      <w:pPr>
        <w:pStyle w:val="ListParagraph"/>
        <w:numPr>
          <w:ilvl w:val="0"/>
          <w:numId w:val="2"/>
        </w:numPr>
        <w:spacing w:after="80"/>
      </w:pPr>
      <w:r>
        <w:rPr>
          <w:b/>
          <w:bCs/>
        </w:rPr>
        <w:t xml:space="preserve">Establish Payment Schedule: </w:t>
      </w:r>
      <w:r>
        <w:t xml:space="preserve">e.g., 50% deposit before setup, balance at Gate 4. A0 audit is invoiced separately and independently.</w:t>
      </w:r>
    </w:p>
    <w:p>
      <w:pPr>
        <w:pStyle w:val="ListParagraph"/>
        <w:numPr>
          <w:ilvl w:val="0"/>
          <w:numId w:val="2"/>
        </w:numPr>
        <w:spacing w:after="80"/>
      </w:pPr>
      <w:r>
        <w:rPr>
          <w:b/>
          <w:bCs/>
        </w:rPr>
        <w:t xml:space="preserve">Get Formal Confirmation: </w:t>
      </w:r>
      <w:r>
        <w:t xml:space="preserve">Digital signature on SOW and Scope Boundary Matrix.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0 — Contract</w:t>
            </w:r>
          </w:p>
          <w:p>
            <w:r>
              <w:rPr>
                <w:sz w:val="21"/>
                <w:szCs w:val="21"/>
              </w:rPr>
              <w:t xml:space="preserve">Signed SOW + Scope Boundary Matrix + deposit received. Production begins only after this gate clears.</w:t>
            </w:r>
          </w:p>
        </w:tc>
      </w:tr>
    </w:tbl>
    <w:p>
      <w:pPr>
        <w:pStyle w:val="Heading1"/>
        <w:pageBreakBefore/>
      </w:pPr>
      <w:r>
        <w:t xml:space="preserve">Phase B — Production</w:t>
      </w:r>
    </w:p>
    <w:p>
      <w:pPr>
        <w:spacing w:after="120"/>
      </w:pPr>
      <w:r>
        <w:t xml:space="preserve">Objective: build — or safely transform — the product defined at Gate 0. Stages B0–B10 are shared between web and mobile; B11 splits per platform. AI-assisted development (Claude Code) is used throughout: PRD generation, scaffolding, implementation, debugging, test authoring, refactoring.</w:t>
      </w:r>
    </w:p>
    <w:p>
      <w:pPr>
        <w:pStyle w:val="Heading2"/>
      </w:pPr>
      <w:r>
        <w:t xml:space="preserve">B0 · Kickoff &amp; Environment (internal)</w:t>
      </w:r>
    </w:p>
    <w:p>
      <w:pPr>
        <w:pStyle w:val="ListParagraph"/>
        <w:numPr>
          <w:ilvl w:val="0"/>
          <w:numId w:val="2"/>
        </w:numPr>
        <w:spacing w:after="80"/>
      </w:pPr>
      <w:r>
        <w:rPr>
          <w:b/>
          <w:bCs/>
        </w:rPr>
        <w:t xml:space="preserve">Set Up Toolchain: </w:t>
      </w:r>
      <w:r>
        <w:t xml:space="preserve">Node.js LTS, VS Code/Cursor, Claude Code authenticated; mobile adds Expo CLI, Xcode/Android Studio, EAS CLI.</w:t>
      </w:r>
    </w:p>
    <w:p>
      <w:pPr>
        <w:pStyle w:val="ListParagraph"/>
        <w:numPr>
          <w:ilvl w:val="0"/>
          <w:numId w:val="2"/>
        </w:numPr>
        <w:spacing w:after="80"/>
      </w:pPr>
      <w:r>
        <w:rPr>
          <w:b/>
          <w:bCs/>
        </w:rPr>
        <w:t xml:space="preserve">Initialize Workspace: </w:t>
      </w:r>
      <w:r>
        <w:t xml:space="preserve">Project directory, git init, .gitignore, initial commit, private GitHub repo from day 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6"/>
              <w:left w:val="single" w:color="0284C7" w:sz="18"/>
              <w:bottom w:val="single" w:color="0284C7" w:sz="6"/>
              <w:right w:val="single" w:color="0284C7" w:sz="6"/>
            </w:tcBorders>
            <w:shd w:fill="E0F2FE" w:val="clear"/>
            <w:tcMar>
              <w:top w:type="dxa" w:w="120"/>
              <w:left w:type="dxa" w:w="160"/>
              <w:bottom w:type="dxa" w:w="120"/>
              <w:right w:type="dxa" w:w="160"/>
            </w:tcMar>
          </w:tcPr>
          <w:p>
            <w:pPr>
              <w:spacing w:after="40"/>
            </w:pPr>
            <w:r>
              <w:rPr>
                <w:b/>
                <w:bCs/>
                <w:color w:val="0284C7"/>
                <w:sz w:val="22"/>
                <w:szCs w:val="22"/>
              </w:rPr>
              <w:t xml:space="preserve">BROWNFIELD — Entry Protocol (Renovate · Enhance)</w:t>
            </w:r>
          </w:p>
          <w:p>
            <w:r>
              <w:rPr>
                <w:sz w:val="21"/>
                <w:szCs w:val="21"/>
              </w:rPr>
              <w:t xml:space="preserve">Before changing anything: (1) Reproduce the system locally — if you cannot run it, you cannot safely change it; environment reconstruction is often the hardest single step. (2) Write characterization tests that pin current behavior on the critical paths, so regressions are caught by CI, not by users. (3) Stand up a staging environment mirroring production — mandatory, there are live users. (4) Agree a feature-freeze or coordination protocol if the client's own team also touches the code. (5) Prepare the rollback template: verified backup, restore procedure, maintenance window, abort criteria.</w:t>
            </w:r>
          </w:p>
        </w:tc>
      </w:tr>
    </w:tbl>
    <w:p>
      <w:pPr>
        <w:spacing w:after="120"/>
      </w:pPr>
    </w:p>
    <w:p>
      <w:pPr>
        <w:pStyle w:val="Heading2"/>
      </w:pPr>
      <w:r>
        <w:t xml:space="preserve">B1 · System Architecture Planning</w:t>
      </w:r>
    </w:p>
    <w:p>
      <w:pPr>
        <w:pStyle w:val="ListParagraph"/>
        <w:numPr>
          <w:ilvl w:val="0"/>
          <w:numId w:val="2"/>
        </w:numPr>
        <w:spacing w:after="80"/>
      </w:pPr>
      <w:r>
        <w:rPr>
          <w:b/>
          <w:bCs/>
        </w:rPr>
        <w:t xml:space="preserve">Generate PRD: </w:t>
      </w:r>
      <w:r>
        <w:t xml:space="preserve">Product Requirements Document derived from the A3 user journeys.</w:t>
      </w:r>
    </w:p>
    <w:p>
      <w:pPr>
        <w:pStyle w:val="ListParagraph"/>
        <w:numPr>
          <w:ilvl w:val="0"/>
          <w:numId w:val="2"/>
        </w:numPr>
        <w:spacing w:after="80"/>
      </w:pPr>
      <w:r>
        <w:rPr>
          <w:b/>
          <w:bCs/>
        </w:rPr>
        <w:t xml:space="preserve">Design Database: </w:t>
      </w:r>
      <w:r>
        <w:t xml:space="preserve">ERD with clear relationships. Renovate: current-state ERD first, then target-state, then the migration path between them.</w:t>
      </w:r>
    </w:p>
    <w:p>
      <w:pPr>
        <w:pStyle w:val="ListParagraph"/>
        <w:numPr>
          <w:ilvl w:val="0"/>
          <w:numId w:val="2"/>
        </w:numPr>
        <w:spacing w:after="80"/>
      </w:pPr>
      <w:r>
        <w:rPr>
          <w:b/>
          <w:bCs/>
        </w:rPr>
        <w:t xml:space="preserve">Confirm Tech Stack: </w:t>
      </w:r>
      <w:r>
        <w:t xml:space="preserve">Web: Next.js, TypeScript, Tailwind, Supabase. Mobile: React Native + Expo, same backend. Renovate: strangler-fig incremental modernization by default for anything with real traffic; big-bang cutover only with explicit client sign-off on the risk.</w:t>
      </w:r>
    </w:p>
    <w:p>
      <w:pPr>
        <w:pStyle w:val="ListParagraph"/>
        <w:numPr>
          <w:ilvl w:val="0"/>
          <w:numId w:val="2"/>
        </w:numPr>
        <w:spacing w:after="80"/>
      </w:pPr>
      <w:r>
        <w:rPr>
          <w:b/>
          <w:bCs/>
        </w:rPr>
        <w:t xml:space="preserve">Map API Routes: </w:t>
      </w:r>
      <w:r>
        <w:t xml:space="preserve">All endpoints/server actions. Brownfield: mark every existing endpoint from the A0 consumer inventory as preserve, version, or retire — no silent breaking changes.</w:t>
      </w:r>
    </w:p>
    <w:p>
      <w:pPr>
        <w:pStyle w:val="ListParagraph"/>
        <w:numPr>
          <w:ilvl w:val="0"/>
          <w:numId w:val="2"/>
        </w:numPr>
        <w:spacing w:after="80"/>
      </w:pPr>
      <w:r>
        <w:rPr>
          <w:b/>
          <w:bCs/>
        </w:rPr>
        <w:t xml:space="preserve">Plan Data Migration: </w:t>
      </w:r>
      <w:r>
        <w:t xml:space="preserve">Mapping and cleaning strategy for legacy data — designed now, not at launch.</w:t>
      </w:r>
    </w:p>
    <w:p>
      <w:pPr>
        <w:pStyle w:val="Heading2"/>
      </w:pPr>
      <w:r>
        <w:t xml:space="preserve">B2 · Project Scaffolding</w:t>
      </w:r>
    </w:p>
    <w:p>
      <w:pPr>
        <w:pStyle w:val="ListParagraph"/>
        <w:numPr>
          <w:ilvl w:val="0"/>
          <w:numId w:val="2"/>
        </w:numPr>
        <w:spacing w:after="80"/>
      </w:pPr>
      <w:r>
        <w:rPr>
          <w:b/>
          <w:bCs/>
        </w:rPr>
        <w:t xml:space="preserve">Initialize App: </w:t>
      </w:r>
      <w:r>
        <w:t xml:space="preserve">create-next-app / create-expo-app, TypeScript enabled. Enhance: skip — work inside the existing structure, matching its conventions.</w:t>
      </w:r>
    </w:p>
    <w:p>
      <w:pPr>
        <w:pStyle w:val="ListParagraph"/>
        <w:numPr>
          <w:ilvl w:val="0"/>
          <w:numId w:val="2"/>
        </w:numPr>
        <w:spacing w:after="80"/>
      </w:pPr>
      <w:r>
        <w:rPr>
          <w:b/>
          <w:bCs/>
        </w:rPr>
        <w:t xml:space="preserve">Configure Styling: </w:t>
      </w:r>
      <w:r>
        <w:t xml:space="preserve">Tailwind + Shadcn/Radix (web); NativeWind (mobile).</w:t>
      </w:r>
    </w:p>
    <w:p>
      <w:pPr>
        <w:pStyle w:val="ListParagraph"/>
        <w:numPr>
          <w:ilvl w:val="0"/>
          <w:numId w:val="2"/>
        </w:numPr>
        <w:spacing w:after="80"/>
      </w:pPr>
      <w:r>
        <w:rPr>
          <w:b/>
          <w:bCs/>
        </w:rPr>
        <w:t xml:space="preserve">Verify Build: </w:t>
      </w:r>
      <w:r>
        <w:t xml:space="preserve">Dev server or device build compiles clean.</w:t>
      </w:r>
    </w:p>
    <w:p>
      <w:pPr>
        <w:pStyle w:val="Heading2"/>
      </w:pPr>
      <w:r>
        <w:t xml:space="preserve">B3 · Frontend / UI MVP</w:t>
      </w:r>
    </w:p>
    <w:p>
      <w:pPr>
        <w:pStyle w:val="ListParagraph"/>
        <w:numPr>
          <w:ilvl w:val="0"/>
          <w:numId w:val="2"/>
        </w:numPr>
        <w:spacing w:after="80"/>
      </w:pPr>
      <w:r>
        <w:rPr>
          <w:b/>
          <w:bCs/>
        </w:rPr>
        <w:t xml:space="preserve">Build App Shell: </w:t>
      </w:r>
      <w:r>
        <w:t xml:space="preserve">Global layout and navigation (web); tab/stack navigation via Expo Router (mobile).</w:t>
      </w:r>
    </w:p>
    <w:p>
      <w:pPr>
        <w:pStyle w:val="ListParagraph"/>
        <w:numPr>
          <w:ilvl w:val="0"/>
          <w:numId w:val="2"/>
        </w:numPr>
        <w:spacing w:after="80"/>
      </w:pPr>
      <w:r>
        <w:rPr>
          <w:b/>
          <w:bCs/>
        </w:rPr>
        <w:t xml:space="preserve">Create Screens: </w:t>
      </w:r>
      <w:r>
        <w:t xml:space="preserve">Static views for every wireframed screen.</w:t>
      </w:r>
    </w:p>
    <w:p>
      <w:pPr>
        <w:pStyle w:val="ListParagraph"/>
        <w:numPr>
          <w:ilvl w:val="0"/>
          <w:numId w:val="2"/>
        </w:numPr>
        <w:spacing w:after="80"/>
      </w:pPr>
      <w:r>
        <w:rPr>
          <w:b/>
          <w:bCs/>
        </w:rPr>
        <w:t xml:space="preserve">Design UI States: </w:t>
      </w:r>
      <w:r>
        <w:t xml:space="preserve">Loading, disabled, error, success on every form.</w:t>
      </w:r>
    </w:p>
    <w:p>
      <w:pPr>
        <w:pStyle w:val="ListParagraph"/>
        <w:numPr>
          <w:ilvl w:val="0"/>
          <w:numId w:val="2"/>
        </w:numPr>
        <w:spacing w:after="80"/>
      </w:pPr>
      <w:r>
        <w:rPr>
          <w:b/>
          <w:bCs/>
        </w:rPr>
        <w:t xml:space="preserve">Manage Local State: </w:t>
      </w:r>
      <w:r>
        <w:t xml:space="preserve">Component state or Context for UI coordination.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1 — Design Review / Renovation Plan</w:t>
            </w:r>
          </w:p>
          <w:p>
            <w:r>
              <w:rPr>
                <w:sz w:val="21"/>
                <w:szCs w:val="21"/>
              </w:rPr>
              <w:t xml:space="preserve">Build: screens judged against A3 wireframes; revision round 1 consumed. Renovate/Enhance: client approves the transformation plan — what changes, what is preserved as-is, sequencing and cutover strategy. Written approval unlocks implementation.</w:t>
            </w:r>
          </w:p>
        </w:tc>
      </w:tr>
    </w:tbl>
    <w:p>
      <w:pPr>
        <w:spacing w:after="120"/>
      </w:pPr>
    </w:p>
    <w:p>
      <w:pPr>
        <w:pStyle w:val="Heading2"/>
      </w:pPr>
      <w:r>
        <w:t xml:space="preserve">B4 · Backend &amp; Database Integration</w:t>
      </w:r>
    </w:p>
    <w:p>
      <w:pPr>
        <w:pStyle w:val="ListParagraph"/>
        <w:numPr>
          <w:ilvl w:val="0"/>
          <w:numId w:val="2"/>
        </w:numPr>
        <w:spacing w:after="80"/>
      </w:pPr>
      <w:r>
        <w:rPr>
          <w:b/>
          <w:bCs/>
        </w:rPr>
        <w:t xml:space="preserve">Provision Backend: </w:t>
      </w:r>
      <w:r>
        <w:t xml:space="preserve">Database on the client-owned account audited in A2.</w:t>
      </w:r>
    </w:p>
    <w:p>
      <w:pPr>
        <w:pStyle w:val="ListParagraph"/>
        <w:numPr>
          <w:ilvl w:val="0"/>
          <w:numId w:val="2"/>
        </w:numPr>
        <w:spacing w:after="80"/>
      </w:pPr>
      <w:r>
        <w:rPr>
          <w:b/>
          <w:bCs/>
        </w:rPr>
        <w:t xml:space="preserve">Execute Migrations: </w:t>
      </w:r>
      <w:r>
        <w:t xml:space="preserve">SQL scripts for tables, schemas, keys.</w:t>
      </w:r>
    </w:p>
    <w:p>
      <w:pPr>
        <w:pStyle w:val="ListParagraph"/>
        <w:numPr>
          <w:ilvl w:val="0"/>
          <w:numId w:val="2"/>
        </w:numPr>
        <w:spacing w:after="80"/>
      </w:pPr>
      <w:r>
        <w:rPr>
          <w:b/>
          <w:bCs/>
        </w:rPr>
        <w:t xml:space="preserve">Configure SDK Client: </w:t>
      </w:r>
      <w:r>
        <w:t xml:space="preserve">Single client config file; secrets in .env.local, git-ignored.</w:t>
      </w:r>
    </w:p>
    <w:p>
      <w:pPr>
        <w:pStyle w:val="ListParagraph"/>
        <w:numPr>
          <w:ilvl w:val="0"/>
          <w:numId w:val="2"/>
        </w:numPr>
        <w:spacing w:after="80"/>
      </w:pPr>
      <w:r>
        <w:rPr>
          <w:b/>
          <w:bCs/>
        </w:rPr>
        <w:t xml:space="preserve">Run Data Migration Dry-Run: </w:t>
      </w:r>
      <w:r>
        <w:t xml:space="preserve">Import A2 samples into staging; surface data-quality problems early. Brownfield live-data rule: verified backup first, dry-run repeated until clean, agreed maintenance window, rollback rehearsed — institutions may require zero-downtime migration, which is a priced line item.</w:t>
      </w:r>
    </w:p>
    <w:p>
      <w:pPr>
        <w:pStyle w:val="Heading2"/>
      </w:pPr>
      <w:r>
        <w:t xml:space="preserve">B5 · Core Features &amp; Logic</w:t>
      </w:r>
    </w:p>
    <w:p>
      <w:pPr>
        <w:pStyle w:val="ListParagraph"/>
        <w:numPr>
          <w:ilvl w:val="0"/>
          <w:numId w:val="2"/>
        </w:numPr>
        <w:spacing w:after="80"/>
      </w:pPr>
      <w:r>
        <w:rPr>
          <w:b/>
          <w:bCs/>
        </w:rPr>
        <w:t xml:space="preserve">Integrate Auth: </w:t>
      </w:r>
      <w:r>
        <w:t xml:space="preserve">Registration, login, sessions, logout; mobile adds biometrics and deep links where scoped. Institutions: SSO via SAML/OAuth against their identity provider where scoped.</w:t>
      </w:r>
    </w:p>
    <w:p>
      <w:pPr>
        <w:pStyle w:val="ListParagraph"/>
        <w:numPr>
          <w:ilvl w:val="0"/>
          <w:numId w:val="2"/>
        </w:numPr>
        <w:spacing w:after="80"/>
      </w:pPr>
      <w:r>
        <w:rPr>
          <w:b/>
          <w:bCs/>
        </w:rPr>
        <w:t xml:space="preserve">Hook Up CRUD: </w:t>
      </w:r>
      <w:r>
        <w:t xml:space="preserve">Replace mock data with live async queries.</w:t>
      </w:r>
    </w:p>
    <w:p>
      <w:pPr>
        <w:pStyle w:val="ListParagraph"/>
        <w:numPr>
          <w:ilvl w:val="0"/>
          <w:numId w:val="2"/>
        </w:numPr>
        <w:spacing w:after="80"/>
      </w:pPr>
      <w:r>
        <w:rPr>
          <w:b/>
          <w:bCs/>
        </w:rPr>
        <w:t xml:space="preserve">Handle File Storage: </w:t>
      </w:r>
      <w:r>
        <w:t xml:space="preserve">Buckets for uploads where scoped.</w:t>
      </w:r>
    </w:p>
    <w:p>
      <w:pPr>
        <w:pStyle w:val="ListParagraph"/>
        <w:numPr>
          <w:ilvl w:val="0"/>
          <w:numId w:val="2"/>
        </w:numPr>
        <w:spacing w:after="80"/>
      </w:pPr>
      <w:r>
        <w:rPr>
          <w:b/>
          <w:bCs/>
        </w:rPr>
        <w:t xml:space="preserve">Integrate Payments (if in scope): </w:t>
      </w:r>
      <w:r>
        <w:t xml:space="preserve">Provider integration with webhook signature verification and idempotent handlers.</w:t>
      </w:r>
    </w:p>
    <w:p>
      <w:pPr>
        <w:pStyle w:val="ListParagraph"/>
        <w:numPr>
          <w:ilvl w:val="0"/>
          <w:numId w:val="2"/>
        </w:numPr>
        <w:spacing w:after="80"/>
      </w:pPr>
      <w:r>
        <w:rPr>
          <w:b/>
          <w:bCs/>
        </w:rPr>
        <w:t xml:space="preserve">Debug Systematically: </w:t>
      </w:r>
      <w:r>
        <w:t xml:space="preserve">Feed runtime errors back to Claude to patch edge cases; brownfield: every fix gains a characterization test.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2 — Feature Walkthrough</w:t>
            </w:r>
          </w:p>
          <w:p>
            <w:r>
              <w:rPr>
                <w:sz w:val="21"/>
                <w:szCs w:val="21"/>
              </w:rPr>
              <w:t xml:space="preserve">Client walks the A3 user journeys end-to-end on a live dev build. Revision round 2 consumed. Approval freezes scope — new asks become change requests priced from the Out-of-Scope matrix (brownfield: or from contingency, at your discretion).</w:t>
            </w:r>
          </w:p>
        </w:tc>
      </w:tr>
    </w:tbl>
    <w:p>
      <w:pPr>
        <w:spacing w:after="120"/>
      </w:pPr>
    </w:p>
    <w:p>
      <w:pPr>
        <w:pStyle w:val="Heading2"/>
      </w:pPr>
      <w:r>
        <w:t xml:space="preserve">B6 · Security &amp; Compliance Hardening</w:t>
      </w:r>
    </w:p>
    <w:p>
      <w:pPr>
        <w:pStyle w:val="ListParagraph"/>
        <w:numPr>
          <w:ilvl w:val="0"/>
          <w:numId w:val="2"/>
        </w:numPr>
        <w:spacing w:after="80"/>
      </w:pPr>
      <w:r>
        <w:rPr>
          <w:b/>
          <w:bCs/>
        </w:rPr>
        <w:t xml:space="preserve">Review Secrets: </w:t>
      </w:r>
      <w:r>
        <w:t xml:space="preserve">No keys in codebase or git history. Brownfield: rotate every inherited credential — assume prior exposure.</w:t>
      </w:r>
    </w:p>
    <w:p>
      <w:pPr>
        <w:pStyle w:val="ListParagraph"/>
        <w:numPr>
          <w:ilvl w:val="0"/>
          <w:numId w:val="2"/>
        </w:numPr>
        <w:spacing w:after="80"/>
      </w:pPr>
      <w:r>
        <w:rPr>
          <w:b/>
          <w:bCs/>
        </w:rPr>
        <w:t xml:space="preserve">Configure CORS: </w:t>
      </w:r>
      <w:r>
        <w:t xml:space="preserve">Backend accepts traffic only from production domains.</w:t>
      </w:r>
    </w:p>
    <w:p>
      <w:pPr>
        <w:pStyle w:val="ListParagraph"/>
        <w:numPr>
          <w:ilvl w:val="0"/>
          <w:numId w:val="2"/>
        </w:numPr>
        <w:spacing w:after="80"/>
      </w:pPr>
      <w:r>
        <w:rPr>
          <w:b/>
          <w:bCs/>
        </w:rPr>
        <w:t xml:space="preserve">Enforce RLS: </w:t>
      </w:r>
      <w:r>
        <w:t xml:space="preserve">Row Level Security so users access only their own data.</w:t>
      </w:r>
    </w:p>
    <w:p>
      <w:pPr>
        <w:pStyle w:val="ListParagraph"/>
        <w:numPr>
          <w:ilvl w:val="0"/>
          <w:numId w:val="2"/>
        </w:numPr>
        <w:spacing w:after="80"/>
      </w:pPr>
      <w:r>
        <w:rPr>
          <w:b/>
          <w:bCs/>
        </w:rPr>
        <w:t xml:space="preserve">Validate Inputs: </w:t>
      </w:r>
      <w:r>
        <w:t xml:space="preserve">Server-side schema validation (Zod) on every mutation.</w:t>
      </w:r>
    </w:p>
    <w:p>
      <w:pPr>
        <w:pStyle w:val="ListParagraph"/>
        <w:numPr>
          <w:ilvl w:val="0"/>
          <w:numId w:val="2"/>
        </w:numPr>
        <w:spacing w:after="80"/>
      </w:pPr>
      <w:r>
        <w:rPr>
          <w:b/>
          <w:bCs/>
        </w:rPr>
        <w:t xml:space="preserve">Verify Compliance Bounds: </w:t>
      </w:r>
      <w:r>
        <w:t xml:space="preserve">Against the A1 list: GDPR consent, residency, privacy policy; mobile privacy labels and data-safety forms.</w:t>
      </w:r>
    </w:p>
    <w:p>
      <w:pPr>
        <w:pStyle w:val="ListParagraph"/>
        <w:numPr>
          <w:ilvl w:val="0"/>
          <w:numId w:val="2"/>
        </w:numPr>
        <w:spacing w:after="80"/>
      </w:pPr>
      <w:r>
        <w:rPr>
          <w:b/>
          <w:bCs/>
        </w:rPr>
        <w:t xml:space="preserve">Configure Backups &amp; Recovery: </w:t>
      </w:r>
      <w:r>
        <w:t xml:space="preserve">Automated backups enabled and a restore actually tested once.</w:t>
      </w:r>
    </w:p>
    <w:p>
      <w:pPr>
        <w:pStyle w:val="Heading2"/>
      </w:pPr>
      <w:r>
        <w:t xml:space="preserve">B7 · Testing &amp; Code Quality</w:t>
      </w:r>
    </w:p>
    <w:p>
      <w:pPr>
        <w:pStyle w:val="ListParagraph"/>
        <w:numPr>
          <w:ilvl w:val="0"/>
          <w:numId w:val="2"/>
        </w:numPr>
        <w:spacing w:after="80"/>
      </w:pPr>
      <w:r>
        <w:rPr>
          <w:b/>
          <w:bCs/>
        </w:rPr>
        <w:t xml:space="preserve">Refactor Layouts: </w:t>
      </w:r>
      <w:r>
        <w:t xml:space="preserve">Modular, reusable components.</w:t>
      </w:r>
    </w:p>
    <w:p>
      <w:pPr>
        <w:pStyle w:val="ListParagraph"/>
        <w:numPr>
          <w:ilvl w:val="0"/>
          <w:numId w:val="2"/>
        </w:numPr>
        <w:spacing w:after="80"/>
      </w:pPr>
      <w:r>
        <w:rPr>
          <w:b/>
          <w:bCs/>
        </w:rPr>
        <w:t xml:space="preserve">Add Error Boundaries: </w:t>
      </w:r>
      <w:r>
        <w:t xml:space="preserve">One component crash never blanks the app.</w:t>
      </w:r>
    </w:p>
    <w:p>
      <w:pPr>
        <w:pStyle w:val="ListParagraph"/>
        <w:numPr>
          <w:ilvl w:val="0"/>
          <w:numId w:val="2"/>
        </w:numPr>
        <w:spacing w:after="80"/>
      </w:pPr>
      <w:r>
        <w:rPr>
          <w:b/>
          <w:bCs/>
        </w:rPr>
        <w:t xml:space="preserve">Write Unit Tests: </w:t>
      </w:r>
      <w:r>
        <w:t xml:space="preserve">Vitest/Jest on critical business logic.</w:t>
      </w:r>
    </w:p>
    <w:p>
      <w:pPr>
        <w:pStyle w:val="ListParagraph"/>
        <w:numPr>
          <w:ilvl w:val="0"/>
          <w:numId w:val="2"/>
        </w:numPr>
        <w:spacing w:after="80"/>
      </w:pPr>
      <w:r>
        <w:rPr>
          <w:b/>
          <w:bCs/>
        </w:rPr>
        <w:t xml:space="preserve">Test User Flows: </w:t>
      </w:r>
      <w:r>
        <w:t xml:space="preserve">Playwright/Cypress (web) or Maestro/Detox (mobile) on core journeys. Brownfield: full characterization/regression suite green is a Gate 3 entry condition.</w:t>
      </w:r>
    </w:p>
    <w:p>
      <w:pPr>
        <w:pStyle w:val="ListParagraph"/>
        <w:numPr>
          <w:ilvl w:val="0"/>
          <w:numId w:val="2"/>
        </w:numPr>
        <w:spacing w:after="80"/>
      </w:pPr>
      <w:r>
        <w:rPr>
          <w:b/>
          <w:bCs/>
        </w:rPr>
        <w:t xml:space="preserve">Run Accessibility Pass: </w:t>
      </w:r>
      <w:r>
        <w:t xml:space="preserve">WCAG 2.1 AA: contrast, focus, labels, touch targets ≥ 44px, screen-reader labels.</w:t>
      </w:r>
    </w:p>
    <w:p>
      <w:pPr>
        <w:pStyle w:val="Heading2"/>
      </w:pPr>
      <w:r>
        <w:t xml:space="preserve">B8 · Performance Optimization</w:t>
      </w:r>
    </w:p>
    <w:p>
      <w:pPr>
        <w:pStyle w:val="ListParagraph"/>
        <w:numPr>
          <w:ilvl w:val="0"/>
          <w:numId w:val="2"/>
        </w:numPr>
        <w:spacing w:after="80"/>
      </w:pPr>
      <w:r>
        <w:rPr>
          <w:b/>
          <w:bCs/>
        </w:rPr>
        <w:t xml:space="preserve">Optimize Assets: </w:t>
      </w:r>
      <w:r>
        <w:t xml:space="preserve">WebP, explicit dimensions, no layout shift.</w:t>
      </w:r>
    </w:p>
    <w:p>
      <w:pPr>
        <w:pStyle w:val="ListParagraph"/>
        <w:numPr>
          <w:ilvl w:val="0"/>
          <w:numId w:val="2"/>
        </w:numPr>
        <w:spacing w:after="80"/>
      </w:pPr>
      <w:r>
        <w:rPr>
          <w:b/>
          <w:bCs/>
        </w:rPr>
        <w:t xml:space="preserve">Audit Bundle Size: </w:t>
      </w:r>
      <w:r>
        <w:t xml:space="preserve">Purge oversized dependencies; mobile: Hermes on, startup profiled on low-end Android.</w:t>
      </w:r>
    </w:p>
    <w:p>
      <w:pPr>
        <w:pStyle w:val="ListParagraph"/>
        <w:numPr>
          <w:ilvl w:val="0"/>
          <w:numId w:val="2"/>
        </w:numPr>
        <w:spacing w:after="80"/>
      </w:pPr>
      <w:r>
        <w:rPr>
          <w:b/>
          <w:bCs/>
        </w:rPr>
        <w:t xml:space="preserve">Implement Caching: </w:t>
      </w:r>
      <w:r>
        <w:t xml:space="preserve">SWR/React Query revalidation to kill duplicate calls.</w:t>
      </w:r>
    </w:p>
    <w:p>
      <w:pPr>
        <w:pStyle w:val="ListParagraph"/>
        <w:numPr>
          <w:ilvl w:val="0"/>
          <w:numId w:val="2"/>
        </w:numPr>
        <w:spacing w:after="80"/>
      </w:pPr>
      <w:r>
        <w:rPr>
          <w:b/>
          <w:bCs/>
        </w:rPr>
        <w:t xml:space="preserve">Lazy Load: </w:t>
      </w:r>
      <w:r>
        <w:t xml:space="preserve">Code splitting on secondary routes/screens. Brownfield: measure against the A0 baseline — this delta is your proof of value at Gate 4.</w:t>
      </w:r>
    </w:p>
    <w:p>
      <w:pPr>
        <w:pStyle w:val="Heading2"/>
      </w:pPr>
      <w:r>
        <w:t xml:space="preserve">B9 · Analytics &amp; Monitoring</w:t>
      </w:r>
    </w:p>
    <w:p>
      <w:pPr>
        <w:pStyle w:val="ListParagraph"/>
        <w:numPr>
          <w:ilvl w:val="0"/>
          <w:numId w:val="2"/>
        </w:numPr>
        <w:spacing w:after="80"/>
      </w:pPr>
      <w:r>
        <w:rPr>
          <w:b/>
          <w:bCs/>
        </w:rPr>
        <w:t xml:space="preserve">Install Crash Tracking: </w:t>
      </w:r>
      <w:r>
        <w:t xml:space="preserve">Sentry before launch, not after the first incident.</w:t>
      </w:r>
    </w:p>
    <w:p>
      <w:pPr>
        <w:pStyle w:val="ListParagraph"/>
        <w:numPr>
          <w:ilvl w:val="0"/>
          <w:numId w:val="2"/>
        </w:numPr>
        <w:spacing w:after="80"/>
      </w:pPr>
      <w:r>
        <w:rPr>
          <w:b/>
          <w:bCs/>
        </w:rPr>
        <w:t xml:space="preserve">Set Up Analytics: </w:t>
      </w:r>
      <w:r>
        <w:t xml:space="preserve">Privacy-friendly tracking (Plausible, Vercel Analytics, PostHog).</w:t>
      </w:r>
    </w:p>
    <w:p>
      <w:pPr>
        <w:pStyle w:val="Heading2"/>
      </w:pPr>
      <w:r>
        <w:t xml:space="preserve">B10 · Staging &amp; User Acceptance Testing</w:t>
      </w:r>
    </w:p>
    <w:p>
      <w:pPr>
        <w:pStyle w:val="ListParagraph"/>
        <w:numPr>
          <w:ilvl w:val="0"/>
          <w:numId w:val="2"/>
        </w:numPr>
        <w:spacing w:after="80"/>
      </w:pPr>
      <w:r>
        <w:rPr>
          <w:b/>
          <w:bCs/>
        </w:rPr>
        <w:t xml:space="preserve">Deploy Release Candidate: </w:t>
      </w:r>
      <w:r>
        <w:t xml:space="preserve">Web: staging URL. Mobile: TestFlight / Play Internal Testing.</w:t>
      </w:r>
    </w:p>
    <w:p>
      <w:pPr>
        <w:pStyle w:val="ListParagraph"/>
        <w:numPr>
          <w:ilvl w:val="0"/>
          <w:numId w:val="2"/>
        </w:numPr>
        <w:spacing w:after="80"/>
      </w:pPr>
      <w:r>
        <w:rPr>
          <w:b/>
          <w:bCs/>
        </w:rPr>
        <w:t xml:space="preserve">Client UAT: </w:t>
      </w:r>
      <w:r>
        <w:t xml:space="preserve">Full test against the Definition of Done, on the client's own devices. Brownfield: side-by-side with the old system where practical.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3 — UAT Sign-off</w:t>
            </w:r>
          </w:p>
          <w:p>
            <w:r>
              <w:rPr>
                <w:sz w:val="21"/>
                <w:szCs w:val="21"/>
              </w:rPr>
              <w:t xml:space="preserve">Written approval of the release candidate. Brownfield entry condition: regression suite green and rollback plan rehearsed. Last checkpoint before the product is public.</w:t>
            </w:r>
          </w:p>
        </w:tc>
      </w:tr>
    </w:tbl>
    <w:p>
      <w:pPr>
        <w:spacing w:after="120"/>
      </w:pPr>
    </w:p>
    <w:p>
      <w:pPr>
        <w:pStyle w:val="Heading2"/>
      </w:pPr>
      <w:r>
        <w:t xml:space="preserve">B11 · Launch &amp; Cutover — Platform Tracks</w:t>
      </w:r>
    </w:p>
    <w:p>
      <w:pPr>
        <w:pStyle w:val="Heading3"/>
      </w:pPr>
      <w:r>
        <w:t xml:space="preserve">Web App Track</w:t>
      </w:r>
    </w:p>
    <w:p>
      <w:pPr>
        <w:pStyle w:val="ListParagraph"/>
        <w:numPr>
          <w:ilvl w:val="0"/>
          <w:numId w:val="2"/>
        </w:numPr>
        <w:spacing w:after="60"/>
      </w:pPr>
      <w:r>
        <w:t xml:space="preserve">Production build clean: zero TypeScript errors, zero warnings.</w:t>
      </w:r>
    </w:p>
    <w:p>
      <w:pPr>
        <w:pStyle w:val="ListParagraph"/>
        <w:numPr>
          <w:ilvl w:val="0"/>
          <w:numId w:val="2"/>
        </w:numPr>
        <w:spacing w:after="60"/>
      </w:pPr>
      <w:r>
        <w:t xml:space="preserve">Stable main branch pushed to the client's private GitHub repository.</w:t>
      </w:r>
    </w:p>
    <w:p>
      <w:pPr>
        <w:pStyle w:val="ListParagraph"/>
        <w:numPr>
          <w:ilvl w:val="0"/>
          <w:numId w:val="2"/>
        </w:numPr>
        <w:spacing w:after="60"/>
      </w:pPr>
      <w:r>
        <w:t xml:space="preserve">Deploy via Vercel/Netlify with automated builds from main.</w:t>
      </w:r>
    </w:p>
    <w:p>
      <w:pPr>
        <w:pStyle w:val="ListParagraph"/>
        <w:numPr>
          <w:ilvl w:val="0"/>
          <w:numId w:val="2"/>
        </w:numPr>
        <w:spacing w:after="60"/>
      </w:pPr>
      <w:r>
        <w:t xml:space="preserve">Custom domain with SSL; DNS verified. Renovate cutover: lower DNS TTL in advance, cut over in the agreed window, keep the old system warm for instant rollback until the day-7 review.</w:t>
      </w:r>
    </w:p>
    <w:p>
      <w:pPr>
        <w:pStyle w:val="ListParagraph"/>
        <w:numPr>
          <w:ilvl w:val="0"/>
          <w:numId w:val="2"/>
        </w:numPr>
        <w:spacing w:after="60"/>
      </w:pPr>
      <w:r>
        <w:t xml:space="preserve">Sitemap submitted; SEO meta and OpenGraph verified. Renovate: 301-redirect map for every legacy URL — lost URLs are lost rankings.</w:t>
      </w:r>
    </w:p>
    <w:p>
      <w:pPr>
        <w:pStyle w:val="Heading3"/>
      </w:pPr>
      <w:r>
        <w:t xml:space="preserve">Mobile App Track</w:t>
      </w:r>
    </w:p>
    <w:p>
      <w:pPr>
        <w:pStyle w:val="ListParagraph"/>
        <w:numPr>
          <w:ilvl w:val="0"/>
          <w:numId w:val="2"/>
        </w:numPr>
        <w:spacing w:after="60"/>
      </w:pPr>
      <w:r>
        <w:t xml:space="preserve">Signed release builds via EAS (client owns signing credentials).</w:t>
      </w:r>
    </w:p>
    <w:p>
      <w:pPr>
        <w:pStyle w:val="ListParagraph"/>
        <w:numPr>
          <w:ilvl w:val="0"/>
          <w:numId w:val="2"/>
        </w:numPr>
        <w:spacing w:after="60"/>
      </w:pPr>
      <w:r>
        <w:t xml:space="preserve">Store listings: screenshots, descriptions, keywords, privacy labels, content ratings.</w:t>
      </w:r>
    </w:p>
    <w:p>
      <w:pPr>
        <w:pStyle w:val="ListParagraph"/>
        <w:numPr>
          <w:ilvl w:val="0"/>
          <w:numId w:val="2"/>
        </w:numPr>
        <w:spacing w:after="60"/>
      </w:pPr>
      <w:r>
        <w:t xml:space="preserve">Submit for review — budget 1–3 days (Apple), up to 7 for first Google submissions, plus one rejection cycle.</w:t>
      </w:r>
    </w:p>
    <w:p>
      <w:pPr>
        <w:pStyle w:val="ListParagraph"/>
        <w:numPr>
          <w:ilvl w:val="0"/>
          <w:numId w:val="2"/>
        </w:numPr>
        <w:spacing w:after="60"/>
      </w:pPr>
      <w:r>
        <w:t xml:space="preserve">Staged rollout (Play) and phased release (App Store). Renovate of an existing store app: ship as an update on the existing listing to keep reviews and installs — never a new listing unless forced.</w:t>
      </w:r>
    </w:p>
    <w:p>
      <w:pPr>
        <w:pStyle w:val="ListParagraph"/>
        <w:numPr>
          <w:ilvl w:val="0"/>
          <w:numId w:val="2"/>
        </w:numPr>
        <w:spacing w:after="60"/>
      </w:pPr>
      <w:r>
        <w:t xml:space="preserve">OTA updates (EAS Update) configured for JS-level fixes within store policy.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D3FD3" w:sz="6"/>
              <w:left w:val="single" w:color="5D3FD3" w:sz="18"/>
              <w:bottom w:val="single" w:color="5D3FD3" w:sz="6"/>
              <w:right w:val="single" w:color="5D3FD3" w:sz="6"/>
            </w:tcBorders>
            <w:shd w:fill="EDE9FB" w:val="clear"/>
            <w:tcMar>
              <w:top w:type="dxa" w:w="120"/>
              <w:left w:type="dxa" w:w="160"/>
              <w:bottom w:type="dxa" w:w="120"/>
              <w:right w:type="dxa" w:w="160"/>
            </w:tcMar>
          </w:tcPr>
          <w:p>
            <w:pPr>
              <w:spacing w:after="40"/>
            </w:pPr>
            <w:r>
              <w:rPr>
                <w:b/>
                <w:bCs/>
                <w:color w:val="5D3FD3"/>
                <w:sz w:val="22"/>
                <w:szCs w:val="22"/>
              </w:rPr>
              <w:t xml:space="preserve">GATE 4 — Launch Acceptance</w:t>
            </w:r>
          </w:p>
          <w:p>
            <w:r>
              <w:rPr>
                <w:sz w:val="21"/>
                <w:szCs w:val="21"/>
              </w:rPr>
              <w:t xml:space="preserve">Definition of Done verified line-by-line on the live product. Brownfield adds: baseline-vs-now comparison presented (performance, errors, security posture) and zero regressions confirmed. Final invoice issued; warranty window starts today.</w:t>
            </w:r>
          </w:p>
        </w:tc>
      </w:tr>
    </w:tbl>
    <w:p>
      <w:pPr>
        <w:pStyle w:val="Heading1"/>
        <w:pageBreakBefore/>
      </w:pPr>
      <w:r>
        <w:t xml:space="preserve">Phase C — After Production</w:t>
      </w:r>
    </w:p>
    <w:p>
      <w:pPr>
        <w:spacing w:after="120"/>
      </w:pPr>
      <w:r>
        <w:t xml:space="preserve">Objective: transfer ownership cleanly, stabilize, collect final payment, and convert the engagement into recurring revenue. For Maintain engagements, Phase C is the engagement — entered directly after the A0 audit and contract.</w:t>
      </w:r>
    </w:p>
    <w:p>
      <w:pPr>
        <w:pStyle w:val="Heading2"/>
      </w:pPr>
      <w:r>
        <w:t xml:space="preserve">C0 · Reverse Handover  (Maintain engagements)</w:t>
      </w:r>
    </w:p>
    <w:p>
      <w:pPr>
        <w:pStyle w:val="ListParagraph"/>
        <w:numPr>
          <w:ilvl w:val="0"/>
          <w:numId w:val="2"/>
        </w:numPr>
        <w:spacing w:after="80"/>
      </w:pPr>
      <w:r>
        <w:rPr>
          <w:b/>
          <w:bCs/>
        </w:rPr>
        <w:t xml:space="preserve">Receive the System: </w:t>
      </w:r>
      <w:r>
        <w:t xml:space="preserve">Collect credentials into the shared vault; take over hosting, DNS, database, store accounts; document what actually exists versus what the client believes exists.</w:t>
      </w:r>
    </w:p>
    <w:p>
      <w:pPr>
        <w:pStyle w:val="ListParagraph"/>
        <w:numPr>
          <w:ilvl w:val="0"/>
          <w:numId w:val="2"/>
        </w:numPr>
        <w:spacing w:after="80"/>
      </w:pPr>
      <w:r>
        <w:rPr>
          <w:b/>
          <w:bCs/>
        </w:rPr>
        <w:t xml:space="preserve">Freeze Unknown Pipelines: </w:t>
      </w:r>
      <w:r>
        <w:t xml:space="preserve">Disable deploy processes you do not yet understand; nothing ships until you can reproduce a deploy safely.</w:t>
      </w:r>
    </w:p>
    <w:p>
      <w:pPr>
        <w:pStyle w:val="ListParagraph"/>
        <w:numPr>
          <w:ilvl w:val="0"/>
          <w:numId w:val="2"/>
        </w:numPr>
        <w:spacing w:after="80"/>
      </w:pPr>
      <w:r>
        <w:rPr>
          <w:b/>
          <w:bCs/>
        </w:rPr>
        <w:t xml:space="preserve">Stabilize First: </w:t>
      </w:r>
      <w:r>
        <w:t xml:space="preserve">Apply critical security patches and enable backups before any feature work; the A0 risk register sets the order.</w:t>
      </w:r>
    </w:p>
    <w:p>
      <w:pPr>
        <w:pStyle w:val="Heading2"/>
      </w:pPr>
      <w:r>
        <w:t xml:space="preserve">C1 · Handover &amp; Knowledge Transfer</w:t>
      </w:r>
    </w:p>
    <w:p>
      <w:pPr>
        <w:pStyle w:val="ListParagraph"/>
        <w:numPr>
          <w:ilvl w:val="0"/>
          <w:numId w:val="2"/>
        </w:numPr>
        <w:spacing w:after="80"/>
      </w:pPr>
      <w:r>
        <w:rPr>
          <w:b/>
          <w:bCs/>
        </w:rPr>
        <w:t xml:space="preserve">Transfer the Repository: </w:t>
      </w:r>
      <w:r>
        <w:t xml:space="preserve">Code to the client's GitHub organization; you retain access only while a retainer is active.</w:t>
      </w:r>
    </w:p>
    <w:p>
      <w:pPr>
        <w:pStyle w:val="ListParagraph"/>
        <w:numPr>
          <w:ilvl w:val="0"/>
          <w:numId w:val="2"/>
        </w:numPr>
        <w:spacing w:after="80"/>
      </w:pPr>
      <w:r>
        <w:rPr>
          <w:b/>
          <w:bCs/>
        </w:rPr>
        <w:t xml:space="preserve">Hand Over Credentials: </w:t>
      </w:r>
      <w:r>
        <w:t xml:space="preserve">Everything through the shared vault; client owns hosting, database, domain, and store accounts — nothing remains under your personal accounts.</w:t>
      </w:r>
    </w:p>
    <w:p>
      <w:pPr>
        <w:pStyle w:val="ListParagraph"/>
        <w:numPr>
          <w:ilvl w:val="0"/>
          <w:numId w:val="2"/>
        </w:numPr>
        <w:spacing w:after="80"/>
      </w:pPr>
      <w:r>
        <w:rPr>
          <w:b/>
          <w:bCs/>
        </w:rPr>
        <w:t xml:space="preserve">Deliver Documentation: </w:t>
      </w:r>
      <w:r>
        <w:t xml:space="preserve">README, environment-variable reference, deployment runbook, admin guide.</w:t>
      </w:r>
    </w:p>
    <w:p>
      <w:pPr>
        <w:pStyle w:val="ListParagraph"/>
        <w:numPr>
          <w:ilvl w:val="0"/>
          <w:numId w:val="2"/>
        </w:numPr>
        <w:spacing w:after="80"/>
      </w:pPr>
      <w:r>
        <w:rPr>
          <w:b/>
          <w:bCs/>
        </w:rPr>
        <w:t xml:space="preserve">Run a Training Session: </w:t>
      </w:r>
      <w:r>
        <w:t xml:space="preserve">Recorded walkthrough of admin surface and routine operations. Institutions: staff training is a scoped, repeatable line item.</w:t>
      </w:r>
    </w:p>
    <w:p>
      <w:pPr>
        <w:pStyle w:val="Heading2"/>
      </w:pPr>
      <w:r>
        <w:t xml:space="preserve">C2 · Warranty Window Execution</w:t>
      </w:r>
    </w:p>
    <w:p>
      <w:pPr>
        <w:pStyle w:val="ListParagraph"/>
        <w:numPr>
          <w:ilvl w:val="0"/>
          <w:numId w:val="2"/>
        </w:numPr>
        <w:spacing w:after="80"/>
      </w:pPr>
      <w:r>
        <w:rPr>
          <w:b/>
          <w:bCs/>
        </w:rPr>
        <w:t xml:space="preserve">Enforce the Triage Rule: </w:t>
      </w:r>
      <w:r>
        <w:t xml:space="preserve">Defect in scoped behavior = free fix; new behavior = change request. The A3 user journeys arbitrate.</w:t>
      </w:r>
    </w:p>
    <w:p>
      <w:pPr>
        <w:pStyle w:val="ListParagraph"/>
        <w:numPr>
          <w:ilvl w:val="0"/>
          <w:numId w:val="2"/>
        </w:numPr>
        <w:spacing w:after="80"/>
      </w:pPr>
      <w:r>
        <w:rPr>
          <w:b/>
          <w:bCs/>
        </w:rPr>
        <w:t xml:space="preserve">Set Severity Targets: </w:t>
      </w:r>
      <w:r>
        <w:t xml:space="preserve">Critical (down/payments failing): 24h response · major: 3 business days · cosmetic: next maintenance cycle.</w:t>
      </w:r>
    </w:p>
    <w:p>
      <w:pPr>
        <w:pStyle w:val="ListParagraph"/>
        <w:numPr>
          <w:ilvl w:val="0"/>
          <w:numId w:val="2"/>
        </w:numPr>
        <w:spacing w:after="80"/>
      </w:pPr>
      <w:r>
        <w:rPr>
          <w:b/>
          <w:bCs/>
        </w:rPr>
        <w:t xml:space="preserve">Close the Window Formally: </w:t>
      </w:r>
      <w:r>
        <w:t xml:space="preserve">Final-day email summarizing fixes and confirming transition to retainer or as-needed billing.</w:t>
      </w:r>
    </w:p>
    <w:p>
      <w:pPr>
        <w:pStyle w:val="Heading2"/>
      </w:pPr>
      <w:r>
        <w:t xml:space="preserve">C3 · Monitoring &amp; Stabilization (Days 1–30)</w:t>
      </w:r>
    </w:p>
    <w:p>
      <w:pPr>
        <w:pStyle w:val="ListParagraph"/>
        <w:numPr>
          <w:ilvl w:val="0"/>
          <w:numId w:val="2"/>
        </w:numPr>
        <w:spacing w:after="80"/>
      </w:pPr>
      <w:r>
        <w:rPr>
          <w:b/>
          <w:bCs/>
        </w:rPr>
        <w:t xml:space="preserve">Triage Crash Reports: </w:t>
      </w:r>
      <w:r>
        <w:t xml:space="preserve">Sentry on a defined cadence; mobile target ≥ 99% crash-free sessions.</w:t>
      </w:r>
    </w:p>
    <w:p>
      <w:pPr>
        <w:pStyle w:val="ListParagraph"/>
        <w:numPr>
          <w:ilvl w:val="0"/>
          <w:numId w:val="2"/>
        </w:numPr>
        <w:spacing w:after="80"/>
      </w:pPr>
      <w:r>
        <w:rPr>
          <w:b/>
          <w:bCs/>
        </w:rPr>
        <w:t xml:space="preserve">Watch Performance: </w:t>
      </w:r>
      <w:r>
        <w:t xml:space="preserve">Core Web Vitals (web); startup time and ANR rates (mobile).</w:t>
      </w:r>
    </w:p>
    <w:p>
      <w:pPr>
        <w:pStyle w:val="ListParagraph"/>
        <w:numPr>
          <w:ilvl w:val="0"/>
          <w:numId w:val="2"/>
        </w:numPr>
        <w:spacing w:after="80"/>
      </w:pPr>
      <w:r>
        <w:rPr>
          <w:b/>
          <w:bCs/>
        </w:rPr>
        <w:t xml:space="preserve">Deliver the Day-30 Report: </w:t>
      </w:r>
      <w:r>
        <w:t xml:space="preserve">Traffic/installs, activation, top paths, error trends, actual infrastructure spend vs. the A5 estimate. Brownfield: side-by-side with the A0 baseline — the renovation's proof of value in one page.</w:t>
      </w:r>
    </w:p>
    <w:p>
      <w:pPr>
        <w:pStyle w:val="Heading2"/>
      </w:pPr>
      <w:r>
        <w:t xml:space="preserve">C4 · Final Acceptance &amp; Financial Close</w:t>
      </w:r>
    </w:p>
    <w:p>
      <w:pPr>
        <w:pStyle w:val="ListParagraph"/>
        <w:numPr>
          <w:ilvl w:val="0"/>
          <w:numId w:val="2"/>
        </w:numPr>
        <w:spacing w:after="80"/>
      </w:pPr>
      <w:r>
        <w:rPr>
          <w:b/>
          <w:bCs/>
        </w:rPr>
        <w:t xml:space="preserve">Reconcile Infrastructure Costs: </w:t>
      </w:r>
      <w:r>
        <w:t xml:space="preserve">Real monthly bill vs. the A5 estimate; client re-confirms cost ownership.</w:t>
      </w:r>
    </w:p>
    <w:p>
      <w:pPr>
        <w:pStyle w:val="ListParagraph"/>
        <w:numPr>
          <w:ilvl w:val="0"/>
          <w:numId w:val="2"/>
        </w:numPr>
        <w:spacing w:after="80"/>
      </w:pPr>
      <w:r>
        <w:rPr>
          <w:b/>
          <w:bCs/>
        </w:rPr>
        <w:t xml:space="preserve">Reconcile Contingency: </w:t>
      </w:r>
      <w:r>
        <w:t xml:space="preserve">Brownfield: report contingency consumed vs. returned — returning unused contingency builds more trust than any pitch.</w:t>
      </w:r>
    </w:p>
    <w:p>
      <w:pPr>
        <w:pStyle w:val="ListParagraph"/>
        <w:numPr>
          <w:ilvl w:val="0"/>
          <w:numId w:val="2"/>
        </w:numPr>
        <w:spacing w:after="80"/>
      </w:pPr>
      <w:r>
        <w:rPr>
          <w:b/>
          <w:bCs/>
        </w:rPr>
        <w:t xml:space="preserve">Confirm Final Payment: </w:t>
      </w:r>
      <w:r>
        <w:t xml:space="preserve">Balance per the A7 schedule; IP transfer completes on payment.</w:t>
      </w:r>
    </w:p>
    <w:p>
      <w:pPr>
        <w:pStyle w:val="Heading2"/>
      </w:pPr>
      <w:r>
        <w:t xml:space="preserve">C5 · Maintenance Retainer — Tiered by Audience</w:t>
      </w:r>
    </w:p>
    <w:p>
      <w:pPr>
        <w:spacing w:after="120"/>
      </w:pPr>
      <w:r>
        <w:t xml:space="preserve">For Build/Renovate/Enhance clients this activates the A6 proposal; for Maintain clients it is the core contract. Monthly one-page report in every tier: uptime, incidents, updates applied, hours consumed.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60"/>
        <w:gridCol w:w="4300"/>
        <w:gridCol w:w="1500"/>
      </w:tblGrid>
      <w:tr>
        <w:trPr>
          <w:tblHeader/>
        </w:trPr>
        <w:tc>
          <w:tcPr>
            <w:tcW w:type="dxa" w:w="14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Tier</w:t>
            </w:r>
          </w:p>
        </w:tc>
        <w:tc>
          <w:tcPr>
            <w:tcW w:type="dxa" w:w="21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Audience</w:t>
            </w:r>
          </w:p>
        </w:tc>
        <w:tc>
          <w:tcPr>
            <w:tcW w:type="dxa" w:w="43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Includes</w:t>
            </w:r>
          </w:p>
        </w:tc>
        <w:tc>
          <w:tcPr>
            <w:tcW w:type="dxa" w:w="15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Cadence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Essential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Individuals &amp; professionals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Dependency updates, backups verified, uptime monitoring, email support, small fixes within hour budget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Monthly cycle, best-effort response</w:t>
            </w:r>
          </w:p>
        </w:tc>
      </w:tr>
      <w:tr>
        <w:tc>
          <w:tcPr>
            <w:tcW w:type="dxa" w:w="14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Business</w:t>
            </w:r>
          </w:p>
        </w:tc>
        <w:tc>
          <w:tcPr>
            <w:tcW w:type="dxa" w:w="21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SMEs</w:t>
            </w:r>
          </w:p>
        </w:tc>
        <w:tc>
          <w:tcPr>
            <w:tcW w:type="dxa" w:w="43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Essential + 48h response SLA, error-tracking triage, staging environment kept current, small-feature budget, quarterly health check</w:t>
            </w:r>
          </w:p>
        </w:tc>
        <w:tc>
          <w:tcPr>
            <w:tcW w:type="dxa" w:w="15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Monthly report + quarterly review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Institutional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Schools &amp; institutions</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 formal uptime SLA, compliance &amp; data-protection reporting, SSO/user administration support, staff training refreshers, named escalation 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Monthly report + quarterly on-site/remote review</w:t>
            </w:r>
          </w:p>
        </w:tc>
      </w:tr>
    </w:tbl>
    <w:p>
      <w:pPr>
        <w:spacing w:after="120"/>
      </w:pPr>
    </w:p>
    <w:p>
      <w:pPr>
        <w:pStyle w:val="Heading2"/>
      </w:pPr>
      <w:r>
        <w:t xml:space="preserve">C6 · Store Operations (Mobile Only)</w:t>
      </w:r>
    </w:p>
    <w:p>
      <w:pPr>
        <w:pStyle w:val="ListParagraph"/>
        <w:numPr>
          <w:ilvl w:val="0"/>
          <w:numId w:val="2"/>
        </w:numPr>
        <w:spacing w:after="80"/>
      </w:pPr>
      <w:r>
        <w:rPr>
          <w:b/>
          <w:bCs/>
        </w:rPr>
        <w:t xml:space="preserve">Maintain Store Compliance: </w:t>
      </w:r>
      <w:r>
        <w:t xml:space="preserve">Apple and Google mandate annual minimum OS/SDK targets; missing them delists the app — this alone justifies the retainer for mobile clients.</w:t>
      </w:r>
    </w:p>
    <w:p>
      <w:pPr>
        <w:pStyle w:val="ListParagraph"/>
        <w:numPr>
          <w:ilvl w:val="0"/>
          <w:numId w:val="2"/>
        </w:numPr>
        <w:spacing w:after="80"/>
      </w:pPr>
      <w:r>
        <w:rPr>
          <w:b/>
          <w:bCs/>
        </w:rPr>
        <w:t xml:space="preserve">Manage the Listing: </w:t>
      </w:r>
      <w:r>
        <w:t xml:space="preserve">Review responses, ratings watch, certificate and provisioning renewals before expiry.</w:t>
      </w:r>
    </w:p>
    <w:p>
      <w:pPr>
        <w:pStyle w:val="Heading2"/>
      </w:pPr>
      <w:r>
        <w:t xml:space="preserve">C7 · Growth &amp; Phase 2 Conversion</w:t>
      </w:r>
    </w:p>
    <w:p>
      <w:pPr>
        <w:pStyle w:val="ListParagraph"/>
        <w:numPr>
          <w:ilvl w:val="0"/>
          <w:numId w:val="2"/>
        </w:numPr>
        <w:spacing w:after="80"/>
      </w:pPr>
      <w:r>
        <w:rPr>
          <w:b/>
          <w:bCs/>
        </w:rPr>
        <w:t xml:space="preserve">Capture the Case Study: </w:t>
      </w:r>
      <w:r>
        <w:t xml:space="preserve">Testimonial and results write-up for mustaphaukizuru.com while the win is fresh; brownfield before/after numbers make the strongest case studies.</w:t>
      </w:r>
    </w:p>
    <w:p>
      <w:pPr>
        <w:pStyle w:val="ListParagraph"/>
        <w:numPr>
          <w:ilvl w:val="0"/>
          <w:numId w:val="2"/>
        </w:numPr>
        <w:spacing w:after="80"/>
      </w:pPr>
      <w:r>
        <w:rPr>
          <w:b/>
          <w:bCs/>
        </w:rPr>
        <w:t xml:space="preserve">Review the Out-of-Scope Matrix: </w:t>
      </w:r>
      <w:r>
        <w:t xml:space="preserve">Day-30 call walking the deferred list with real usage data from C3 — the pre-agreed Phase 2 proposal.</w:t>
      </w:r>
    </w:p>
    <w:p>
      <w:pPr>
        <w:pStyle w:val="ListParagraph"/>
        <w:numPr>
          <w:ilvl w:val="0"/>
          <w:numId w:val="2"/>
        </w:numPr>
        <w:spacing w:after="80"/>
      </w:pPr>
      <w:r>
        <w:rPr>
          <w:b/>
          <w:bCs/>
        </w:rPr>
        <w:t xml:space="preserve">Propose the Roadmap: </w:t>
      </w:r>
      <w:r>
        <w:t xml:space="preserve">Quarterly feature phases, each running this same cycle.</w:t>
      </w:r>
    </w:p>
    <w:p>
      <w:pPr>
        <w:pStyle w:val="Heading1"/>
        <w:pageBreakBefore/>
      </w:pPr>
      <w:r>
        <w:t xml:space="preserve">Annex — API Workstream</w:t>
      </w:r>
    </w:p>
    <w:p>
      <w:pPr>
        <w:spacing w:after="120"/>
      </w:pPr>
      <w:r>
        <w:t xml:space="preserve">API work appears in two forms: as its own billable service line, and as a preservation obligation inside every brownfield engagement.</w:t>
      </w:r>
    </w:p>
    <w:p>
      <w:pPr>
        <w:pStyle w:val="Heading2"/>
      </w:pPr>
      <w:r>
        <w:t xml:space="preserve">API as a Service Line</w:t>
      </w:r>
    </w:p>
    <w:p>
      <w:pPr>
        <w:pStyle w:val="ListParagraph"/>
        <w:numPr>
          <w:ilvl w:val="0"/>
          <w:numId w:val="2"/>
        </w:numPr>
        <w:spacing w:after="80"/>
      </w:pPr>
      <w:r>
        <w:rPr>
          <w:b/>
          <w:bCs/>
        </w:rPr>
        <w:t xml:space="preserve">Design &amp; Build: </w:t>
      </w:r>
      <w:r>
        <w:t xml:space="preserve">New REST APIs (or server actions) for client products, versioned from day one under /api/v1.</w:t>
      </w:r>
    </w:p>
    <w:p>
      <w:pPr>
        <w:pStyle w:val="ListParagraph"/>
        <w:numPr>
          <w:ilvl w:val="0"/>
          <w:numId w:val="2"/>
        </w:numPr>
        <w:spacing w:after="80"/>
      </w:pPr>
      <w:r>
        <w:rPr>
          <w:b/>
          <w:bCs/>
        </w:rPr>
        <w:t xml:space="preserve">Integrate: </w:t>
      </w:r>
      <w:r>
        <w:t xml:space="preserve">Third-party services — payments, messaging, logistics, AI — with webhook signature verification and idempotent handlers.</w:t>
      </w:r>
    </w:p>
    <w:p>
      <w:pPr>
        <w:pStyle w:val="ListParagraph"/>
        <w:numPr>
          <w:ilvl w:val="0"/>
          <w:numId w:val="2"/>
        </w:numPr>
        <w:spacing w:after="80"/>
      </w:pPr>
      <w:r>
        <w:rPr>
          <w:b/>
          <w:bCs/>
        </w:rPr>
        <w:t xml:space="preserve">Expose Legacy: </w:t>
      </w:r>
      <w:r>
        <w:t xml:space="preserve">Add a modern API layer over an existing system so new frontends, mobile apps, or partners can consume it without a rewrite — often the first strangler-fig step of a renovation.</w:t>
      </w:r>
    </w:p>
    <w:p>
      <w:pPr>
        <w:pStyle w:val="ListParagraph"/>
        <w:numPr>
          <w:ilvl w:val="0"/>
          <w:numId w:val="2"/>
        </w:numPr>
        <w:spacing w:after="80"/>
      </w:pPr>
      <w:r>
        <w:rPr>
          <w:b/>
          <w:bCs/>
        </w:rPr>
        <w:t xml:space="preserve">Modernize: </w:t>
      </w:r>
      <w:r>
        <w:t xml:space="preserve">Legacy SOAP/XML or ad-hoc endpoints migrated to documented REST.</w:t>
      </w:r>
    </w:p>
    <w:p>
      <w:pPr>
        <w:spacing w:after="120"/>
      </w:pPr>
      <w:r>
        <w:t xml:space="preserve">Standard deliverables on any API engagement: OpenAPI specification, authentication model (keys or OAuth), rate limiting, input validation, usage monitoring, and a versioning policy — each an explicit line item, not an assumed freebie.</w:t>
      </w:r>
    </w:p>
    <w:p>
      <w:pPr>
        <w:pStyle w:val="Heading2"/>
      </w:pPr>
      <w:r>
        <w:t xml:space="preserve">Contract Preservation Protocol (all brownfield work)</w:t>
      </w:r>
    </w:p>
    <w:p>
      <w:pPr>
        <w:pStyle w:val="ListParagraph"/>
        <w:numPr>
          <w:ilvl w:val="0"/>
          <w:numId w:val="2"/>
        </w:numPr>
        <w:spacing w:after="60"/>
      </w:pPr>
      <w:r>
        <w:t xml:space="preserve">Inventory consumers during A0 from access logs and code: mobile apps, partner integrations, cron scripts, spreadsheets hitting endpoints.</w:t>
      </w:r>
    </w:p>
    <w:p>
      <w:pPr>
        <w:pStyle w:val="ListParagraph"/>
        <w:numPr>
          <w:ilvl w:val="0"/>
          <w:numId w:val="2"/>
        </w:numPr>
        <w:spacing w:after="60"/>
      </w:pPr>
      <w:r>
        <w:t xml:space="preserve">Classify every existing endpoint at B1: preserve unchanged · version (v1 kept alive, v2 new) · retire (with announced deprecation window).</w:t>
      </w:r>
    </w:p>
    <w:p>
      <w:pPr>
        <w:pStyle w:val="ListParagraph"/>
        <w:numPr>
          <w:ilvl w:val="0"/>
          <w:numId w:val="2"/>
        </w:numPr>
        <w:spacing w:after="60"/>
      </w:pPr>
      <w:r>
        <w:t xml:space="preserve">Guard compatibility with contract tests in CI — a breaking change on /api/v1 fails the build.</w:t>
      </w:r>
    </w:p>
    <w:p>
      <w:pPr>
        <w:pStyle w:val="ListParagraph"/>
        <w:numPr>
          <w:ilvl w:val="0"/>
          <w:numId w:val="2"/>
        </w:numPr>
        <w:spacing w:after="60"/>
      </w:pPr>
      <w:r>
        <w:t xml:space="preserve">Communicate: deprecation notices with dates to every known consumer; institutions may need a formal change-notification letter.</w:t>
      </w:r>
    </w:p>
    <w:p>
      <w:pPr>
        <w:pStyle w:val="ListParagraph"/>
        <w:numPr>
          <w:ilvl w:val="0"/>
          <w:numId w:val="2"/>
        </w:numPr>
        <w:spacing w:after="60"/>
      </w:pPr>
      <w:r>
        <w:t xml:space="preserve">Never break silently: an endpoint you break is someone else's production outage, and you will be blamed regardless of contract language.</w:t>
      </w:r>
    </w:p>
    <w:p>
      <w:pPr>
        <w:pStyle w:val="Heading2"/>
      </w:pPr>
      <w:r>
        <w:t xml:space="preserve">Institutional Integrations</w:t>
      </w:r>
    </w:p>
    <w:p>
      <w:pPr>
        <w:pStyle w:val="ListParagraph"/>
        <w:numPr>
          <w:ilvl w:val="0"/>
          <w:numId w:val="2"/>
        </w:numPr>
        <w:spacing w:after="60"/>
      </w:pPr>
      <w:r>
        <w:t xml:space="preserve">SSO against the institution's identity provider (SAML / OAuth / Google Workspace for Education).</w:t>
      </w:r>
    </w:p>
    <w:p>
      <w:pPr>
        <w:pStyle w:val="ListParagraph"/>
        <w:numPr>
          <w:ilvl w:val="0"/>
          <w:numId w:val="2"/>
        </w:numPr>
        <w:spacing w:after="60"/>
      </w:pPr>
      <w:r>
        <w:t xml:space="preserve">Data exchange with existing systems: ERP, student information systems, government reporting formats.</w:t>
      </w:r>
    </w:p>
    <w:p>
      <w:pPr>
        <w:pStyle w:val="ListParagraph"/>
        <w:numPr>
          <w:ilvl w:val="0"/>
          <w:numId w:val="2"/>
        </w:numPr>
        <w:spacing w:after="60"/>
      </w:pPr>
      <w:r>
        <w:t xml:space="preserve">Scoped as explicit line items with named systems and test-account access secured in A2 — integration against a system you cannot test-access is unquotable.</w:t>
      </w:r>
    </w:p>
    <w:p>
      <w:pPr>
        <w:pStyle w:val="Heading1"/>
        <w:pageBreakBefore/>
      </w:pPr>
      <w:r>
        <w:t xml:space="preserve">Traceability Matrix</w:t>
      </w:r>
    </w:p>
    <w:p>
      <w:pPr>
        <w:spacing w:after="120"/>
      </w:pPr>
      <w:r>
        <w:t xml:space="preserve">Every Preproduction commitment maps to a Production execution step and an After-Production closure. Brownfield rows marked (B).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3100"/>
        <w:gridCol w:w="2600"/>
      </w:tblGrid>
      <w:tr>
        <w:trPr>
          <w:tblHeader/>
        </w:trPr>
        <w:tc>
          <w:tcPr>
            <w:tcW w:type="dxa" w:w="366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Preproduction Commitment</w:t>
            </w:r>
          </w:p>
        </w:tc>
        <w:tc>
          <w:tcPr>
            <w:tcW w:type="dxa" w:w="31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Executed In</w:t>
            </w:r>
          </w:p>
        </w:tc>
        <w:tc>
          <w:tcPr>
            <w:tcW w:type="dxa" w:w="2600"/>
            <w:tcBorders>
              <w:top w:val="single" w:color="CCCCCC" w:sz="1"/>
              <w:left w:val="single" w:color="CCCCCC" w:sz="1"/>
              <w:bottom w:val="single" w:color="CCCCCC" w:sz="1"/>
              <w:right w:val="single" w:color="CCCCCC" w:sz="1"/>
            </w:tcBorders>
            <w:shd w:fill="1A1B23" w:val="clear"/>
            <w:tcMar>
              <w:top w:type="dxa" w:w="80"/>
              <w:left w:type="dxa" w:w="120"/>
              <w:bottom w:type="dxa" w:w="80"/>
              <w:right w:type="dxa" w:w="120"/>
            </w:tcMar>
          </w:tcPr>
          <w:p>
            <w:r>
              <w:rPr>
                <w:b/>
                <w:bCs/>
                <w:color w:val="FFFFFF"/>
                <w:sz w:val="20"/>
                <w:szCs w:val="20"/>
              </w:rPr>
              <w:t xml:space="preserve">Closed Out In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decision (A1)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Routes B0–B11 track selection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C6 store ops / C5 retainer</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Compliance bounds (A1)</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B6 verification, privacy labels</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C1 docs · C5 Institutional reporting</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 &amp; account audit (A2)</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B4 provisioning on client accounts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C1 ownership confirmation</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Legacy data samples (A2)</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 migration plan · B4 dry-run</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C3 data integrity in day-30 report</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Wireframes &amp; theme (A3)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B3 UI MVP → Gate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User journeys (A3)</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 PRD · B5 features → Gate 2</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C2 bug-vs-feature arbiter</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Scope Boundary Matrix (A3)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2 scope freeze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C7 Phase 2 pipeline</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Revision limits &amp; SLA (A4)</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Consumed at Gates 1–2</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C2 severity targets continue SLA</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Cost estimate (A5)</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B4/B11 real services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C4 reconciliation vs. actuals</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Definition of Done (A6)</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B10 UAT tested against it</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Gate 4 line-by-line verification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Warranty terms (A6)</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C2 warranty execution</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Maintenance proposal (A6)</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C5 tiered retainer activation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SOW, IP, payments (A7)</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Gate 0 unlocks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C4 final payment completes IP transfer</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 Audit findings &amp; risk register (A0)</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B0 entry protocol · Gate 1 renovation plan</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C4 contingency reconciliation</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Performance baseline (A0)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B8 improvement targets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C3 baseline-vs-now · Gate 4 evidence</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 API consumer inventory (A0)</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B1 endpoint classification · contract tests</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Annex deprecation management</w:t>
            </w:r>
          </w:p>
        </w:tc>
      </w:tr>
      <w:tr>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 Ownership &amp; IP verification (A0)</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A2 asset transfer before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C1 clean ownership confirmation</w:t>
            </w:r>
          </w:p>
        </w:tc>
      </w:tr>
      <w:tr>
        <w:tc>
          <w:tcPr>
            <w:tcW w:type="dxa" w:w="366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(B) Contingency line item (A5)</w:t>
            </w:r>
          </w:p>
        </w:tc>
        <w:tc>
          <w:tcPr>
            <w:tcW w:type="dxa" w:w="31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Absorbs legacy surprises via change control</w:t>
            </w:r>
          </w:p>
        </w:tc>
        <w:tc>
          <w:tcPr>
            <w:tcW w:type="dxa" w:w="2600"/>
            <w:tcBorders>
              <w:top w:val="single" w:color="CCCCCC" w:sz="1"/>
              <w:left w:val="single" w:color="CCCCCC" w:sz="1"/>
              <w:bottom w:val="single" w:color="CCCCCC" w:sz="1"/>
              <w:right w:val="single" w:color="CCCCCC" w:sz="1"/>
            </w:tcBorders>
            <w:shd w:fill="EFF1F5" w:val="clear"/>
            <w:tcMar>
              <w:top w:type="dxa" w:w="80"/>
              <w:left w:type="dxa" w:w="120"/>
              <w:bottom w:type="dxa" w:w="80"/>
              <w:right w:type="dxa" w:w="120"/>
            </w:tcMar>
          </w:tcPr>
          <w:p>
            <w:r>
              <w:rPr>
                <w:sz w:val="20"/>
                <w:szCs w:val="20"/>
              </w:rPr>
              <w:t xml:space="preserve">C4 consumed-vs-returned report</w:t>
            </w:r>
          </w:p>
        </w:tc>
      </w:tr>
    </w:tbl>
    <w:p>
      <w:pPr>
        <w:pStyle w:val="Heading1"/>
        <w:pageBreakBefore/>
      </w:pPr>
      <w:r>
        <w:t xml:space="preserve">Definition of Done — Master Checklist</w:t>
      </w:r>
    </w:p>
    <w:p>
      <w:pPr>
        <w:spacing w:after="120"/>
      </w:pPr>
      <w:r>
        <w:t xml:space="preserve">Verified with the client at Gate 4. Items marked (B) apply to brownfield engagements. Never launch with an unchecked box unresolved in writing.</w:t>
      </w:r>
    </w:p>
    <w:p>
      <w:pPr>
        <w:pStyle w:val="ListParagraph"/>
        <w:numPr>
          <w:ilvl w:val="0"/>
          <w:numId w:val="2"/>
        </w:numPr>
        <w:spacing w:after="60"/>
      </w:pPr>
      <w:r>
        <w:t xml:space="preserve">All scoped user journeys pass end-to-end on production.</w:t>
      </w:r>
    </w:p>
    <w:p>
      <w:pPr>
        <w:pStyle w:val="ListParagraph"/>
        <w:numPr>
          <w:ilvl w:val="0"/>
          <w:numId w:val="2"/>
        </w:numPr>
        <w:spacing w:after="60"/>
      </w:pPr>
      <w:r>
        <w:t xml:space="preserve">Zero TypeScript errors; production build clean.</w:t>
      </w:r>
    </w:p>
    <w:p>
      <w:pPr>
        <w:pStyle w:val="ListParagraph"/>
        <w:numPr>
          <w:ilvl w:val="0"/>
          <w:numId w:val="2"/>
        </w:numPr>
        <w:spacing w:after="60"/>
      </w:pPr>
      <w:r>
        <w:t xml:space="preserve">Unit and E2E test suites pass.</w:t>
      </w:r>
    </w:p>
    <w:p>
      <w:pPr>
        <w:pStyle w:val="ListParagraph"/>
        <w:numPr>
          <w:ilvl w:val="0"/>
          <w:numId w:val="2"/>
        </w:numPr>
        <w:spacing w:after="60"/>
      </w:pPr>
      <w:r>
        <w:t xml:space="preserve">(B) Characterization/regression suite green — zero regressions vs. pre-engagement behavior.</w:t>
      </w:r>
    </w:p>
    <w:p>
      <w:pPr>
        <w:pStyle w:val="ListParagraph"/>
        <w:numPr>
          <w:ilvl w:val="0"/>
          <w:numId w:val="2"/>
        </w:numPr>
        <w:spacing w:after="60"/>
      </w:pPr>
      <w:r>
        <w:t xml:space="preserve">(B) Measured improvement over the A0 baseline presented to the client.</w:t>
      </w:r>
    </w:p>
    <w:p>
      <w:pPr>
        <w:pStyle w:val="ListParagraph"/>
        <w:numPr>
          <w:ilvl w:val="0"/>
          <w:numId w:val="2"/>
        </w:numPr>
        <w:spacing w:after="60"/>
      </w:pPr>
      <w:r>
        <w:t xml:space="preserve">(B) All /api/v1 consumers unaffected; deprecations announced with dates.</w:t>
      </w:r>
    </w:p>
    <w:p>
      <w:pPr>
        <w:pStyle w:val="ListParagraph"/>
        <w:numPr>
          <w:ilvl w:val="0"/>
          <w:numId w:val="2"/>
        </w:numPr>
        <w:spacing w:after="60"/>
      </w:pPr>
      <w:r>
        <w:t xml:space="preserve">(B) Rollback rehearsed; old system retained until the day-7 review.</w:t>
      </w:r>
    </w:p>
    <w:p>
      <w:pPr>
        <w:pStyle w:val="ListParagraph"/>
        <w:numPr>
          <w:ilvl w:val="0"/>
          <w:numId w:val="2"/>
        </w:numPr>
        <w:spacing w:after="60"/>
      </w:pPr>
      <w:r>
        <w:t xml:space="preserve">(B) All inherited credentials rotated; assets transferred out of previous developer's control.</w:t>
      </w:r>
    </w:p>
    <w:p>
      <w:pPr>
        <w:pStyle w:val="ListParagraph"/>
        <w:numPr>
          <w:ilvl w:val="0"/>
          <w:numId w:val="2"/>
        </w:numPr>
        <w:spacing w:after="60"/>
      </w:pPr>
      <w:r>
        <w:t xml:space="preserve">Security hardening complete: secrets clean, CORS locked, RLS enforced, inputs validated.</w:t>
      </w:r>
    </w:p>
    <w:p>
      <w:pPr>
        <w:pStyle w:val="ListParagraph"/>
        <w:numPr>
          <w:ilvl w:val="0"/>
          <w:numId w:val="2"/>
        </w:numPr>
        <w:spacing w:after="60"/>
      </w:pPr>
      <w:r>
        <w:t xml:space="preserve">Compliance items from A1 verified; privacy policy live.</w:t>
      </w:r>
    </w:p>
    <w:p>
      <w:pPr>
        <w:pStyle w:val="ListParagraph"/>
        <w:numPr>
          <w:ilvl w:val="0"/>
          <w:numId w:val="2"/>
        </w:numPr>
        <w:spacing w:after="60"/>
      </w:pPr>
      <w:r>
        <w:t xml:space="preserve">Accessibility pass complete (WCAG 2.1 AA).</w:t>
      </w:r>
    </w:p>
    <w:p>
      <w:pPr>
        <w:pStyle w:val="ListParagraph"/>
        <w:numPr>
          <w:ilvl w:val="0"/>
          <w:numId w:val="2"/>
        </w:numPr>
        <w:spacing w:after="60"/>
      </w:pPr>
      <w:r>
        <w:t xml:space="preserve">Backups enabled and restore tested.</w:t>
      </w:r>
    </w:p>
    <w:p>
      <w:pPr>
        <w:pStyle w:val="ListParagraph"/>
        <w:numPr>
          <w:ilvl w:val="0"/>
          <w:numId w:val="2"/>
        </w:numPr>
        <w:spacing w:after="60"/>
      </w:pPr>
      <w:r>
        <w:t xml:space="preserve">Crash tracking and analytics live.</w:t>
      </w:r>
    </w:p>
    <w:p>
      <w:pPr>
        <w:pStyle w:val="ListParagraph"/>
        <w:numPr>
          <w:ilvl w:val="0"/>
          <w:numId w:val="2"/>
        </w:numPr>
        <w:spacing w:after="60"/>
      </w:pPr>
      <w:r>
        <w:t xml:space="preserve">Web: domain live with SSL, SEO verified, (B) 301 redirect map deployed. Mobile: published on both stores, client owns signing credentials.</w:t>
      </w:r>
    </w:p>
    <w:p>
      <w:pPr>
        <w:pStyle w:val="ListParagraph"/>
        <w:numPr>
          <w:ilvl w:val="0"/>
          <w:numId w:val="2"/>
        </w:numPr>
        <w:spacing w:after="60"/>
      </w:pPr>
      <w:r>
        <w:t xml:space="preserve">Codebase on client-owned GitHub repository.</w:t>
      </w:r>
    </w:p>
    <w:p>
      <w:pPr>
        <w:pStyle w:val="ListParagraph"/>
        <w:numPr>
          <w:ilvl w:val="0"/>
          <w:numId w:val="2"/>
        </w:numPr>
        <w:spacing w:after="60"/>
      </w:pPr>
      <w:r>
        <w:t xml:space="preserve">Documentation and training delivered.</w:t>
      </w:r>
    </w:p>
    <w:p>
      <w:pPr>
        <w:pStyle w:val="ListParagraph"/>
        <w:numPr>
          <w:ilvl w:val="0"/>
          <w:numId w:val="2"/>
        </w:numPr>
        <w:spacing w:after="60"/>
      </w:pPr>
      <w:r>
        <w:t xml:space="preserve">Final invoice issued; warranty start date confirmed in writing.</w:t>
      </w:r>
    </w:p>
    <w:p>
      <w:pPr>
        <w:spacing w:after="120"/>
      </w:pPr>
    </w:p>
    <w:p>
      <w:pPr>
        <w:pStyle w:val="Heading2"/>
      </w:pPr>
      <w:r>
        <w:t xml:space="preserve">Document Changelog</w:t>
      </w:r>
    </w:p>
    <w:p>
      <w:pPr>
        <w:pStyle w:val="ListParagraph"/>
        <w:numPr>
          <w:ilvl w:val="0"/>
          <w:numId w:val="2"/>
        </w:numPr>
        <w:spacing w:after="60"/>
      </w:pPr>
      <w:r>
        <w:t xml:space="preserve">v2.0 · July 2026 — Multi-Engagement Edition: engagement-type matrix (Build/Renovate/Enhance/Maintain), paid A0 Technical Audit, brownfield overlays across Phases A–C, C0 reverse handover, audience-tiered maintenance (Essential/Business/Institutional), API Workstream annex, expanded traceability and DoD.</w:t>
      </w:r>
    </w:p>
    <w:p>
      <w:pPr>
        <w:pStyle w:val="ListParagraph"/>
        <w:numPr>
          <w:ilvl w:val="0"/>
          <w:numId w:val="2"/>
        </w:numPr>
        <w:spacing w:after="60"/>
      </w:pPr>
      <w:r>
        <w:t xml:space="preserve">v1.0 · July 2026 — Initial consolidated playbook: three connected phases, five gates, web &amp; mobile launch tracks, traceability matrix.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 Build it. Simplify it. Scale 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4748B"/>
        <w:sz w:val="18"/>
        <w:szCs w:val="18"/>
      </w:rPr>
      <w:t xml:space="preserve">mustaphaukizuru.com</w:t>
    </w:r>
    <w:r>
      <w:rPr>
        <w:color w:val="64748B"/>
        <w:sz w:val="18"/>
        <w:szCs w:val="18"/>
      </w:rPr>
      <w:t xml:space="preserve">	Service Delivery Playbook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B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D3FD3" w:sz="8" w:space="2"/>
      </w:pBdr>
      <w:spacing w:after="200" w:before="300"/>
      <w:outlineLvl w:val="0"/>
    </w:pPr>
    <w:rPr>
      <w:rFonts w:ascii="Arial" w:cs="Arial" w:eastAsia="Arial" w:hAnsi="Arial"/>
      <w:b/>
      <w:bCs/>
      <w:color w:val="1A1B23"/>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5D3FD3"/>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0284C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2026-07-08T16:50:44.145Z</dcterms:created>
  <dcterms:modified xsi:type="dcterms:W3CDTF">2026-07-08T16:50:44.146Z</dcterms:modified>
</cp:coreProperties>
</file>

<file path=docProps/custom.xml><?xml version="1.0" encoding="utf-8"?>
<Properties xmlns="http://schemas.openxmlformats.org/officeDocument/2006/custom-properties" xmlns:vt="http://schemas.openxmlformats.org/officeDocument/2006/docPropsVTypes"/>
</file>