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A6FF" w14:textId="6D4F62F2" w:rsidR="00167B15" w:rsidRPr="006D0913" w:rsidRDefault="006D0913" w:rsidP="00167B15">
      <w:pPr>
        <w:spacing w:after="0" w:line="240" w:lineRule="auto"/>
        <w:jc w:val="center"/>
        <w:rPr>
          <w:rFonts w:ascii="Times New Roman" w:eastAsia="Times New Roman" w:hAnsi="Times New Roman" w:cs="Times New Roman"/>
          <w:b/>
          <w:bCs/>
          <w:sz w:val="24"/>
          <w:szCs w:val="24"/>
        </w:rPr>
      </w:pPr>
      <w:r w:rsidRPr="006D0913">
        <w:rPr>
          <w:rFonts w:ascii="Times New Roman" w:eastAsia="Times New Roman" w:hAnsi="Times New Roman" w:cs="Times New Roman"/>
          <w:b/>
          <w:bCs/>
          <w:sz w:val="24"/>
          <w:szCs w:val="24"/>
        </w:rPr>
        <w:t>BEYOND CHATGPT: REIMAGINING EDUCATION, LEARNING, AND ASSESSMENT IN THE AGE OF GENERATIVE AI</w:t>
      </w:r>
    </w:p>
    <w:p w14:paraId="69517FF7" w14:textId="77777777" w:rsidR="00167B15" w:rsidRDefault="00167B15" w:rsidP="00167B15">
      <w:pPr>
        <w:spacing w:after="0" w:line="240" w:lineRule="auto"/>
        <w:jc w:val="center"/>
        <w:rPr>
          <w:rFonts w:ascii="Times New Roman" w:eastAsia="Times New Roman" w:hAnsi="Times New Roman" w:cs="Times New Roman"/>
          <w:b/>
        </w:rPr>
      </w:pPr>
    </w:p>
    <w:p w14:paraId="76A72655" w14:textId="3FD938A8" w:rsidR="00167B15" w:rsidRDefault="009A0D5E"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Wawan Kurniawan</w:t>
      </w:r>
      <w:r w:rsidR="00167B15">
        <w:rPr>
          <w:rFonts w:ascii="Times New Roman" w:eastAsia="Times New Roman" w:hAnsi="Times New Roman" w:cs="Times New Roman"/>
          <w:b/>
          <w:color w:val="000000"/>
          <w:sz w:val="24"/>
          <w:szCs w:val="24"/>
          <w:vertAlign w:val="superscript"/>
        </w:rPr>
        <w:t>1*</w:t>
      </w:r>
    </w:p>
    <w:p w14:paraId="05767189" w14:textId="77777777" w:rsidR="00167B15" w:rsidRDefault="00167B15" w:rsidP="00167B15">
      <w:pPr>
        <w:tabs>
          <w:tab w:val="left" w:pos="3119"/>
        </w:tabs>
        <w:spacing w:after="0" w:line="240" w:lineRule="auto"/>
        <w:jc w:val="center"/>
        <w:rPr>
          <w:rFonts w:ascii="Times New Roman" w:eastAsia="Times New Roman" w:hAnsi="Times New Roman" w:cs="Times New Roman"/>
          <w:b/>
          <w:color w:val="000000"/>
          <w:sz w:val="24"/>
          <w:szCs w:val="24"/>
          <w:vertAlign w:val="superscript"/>
        </w:rPr>
      </w:pPr>
    </w:p>
    <w:p w14:paraId="2BEE428D" w14:textId="4DD4B68F"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 xml:space="preserve">1 </w:t>
      </w:r>
      <w:r w:rsidR="009A0D5E" w:rsidRPr="009A0D5E">
        <w:rPr>
          <w:rFonts w:ascii="Times New Roman" w:eastAsia="Times New Roman" w:hAnsi="Times New Roman" w:cs="Times New Roman"/>
          <w:color w:val="000000"/>
          <w:sz w:val="24"/>
          <w:szCs w:val="24"/>
        </w:rPr>
        <w:t>STEI Al Amar Subang</w:t>
      </w:r>
      <w:r w:rsidR="009A0D5E">
        <w:rPr>
          <w:rFonts w:ascii="Times New Roman" w:eastAsia="Times New Roman" w:hAnsi="Times New Roman" w:cs="Times New Roman"/>
          <w:color w:val="000000"/>
          <w:sz w:val="24"/>
          <w:szCs w:val="24"/>
        </w:rPr>
        <w:t>, Indonesia</w:t>
      </w:r>
    </w:p>
    <w:p w14:paraId="6E7BF463" w14:textId="27710694" w:rsidR="00167B15" w:rsidRPr="00A5277C" w:rsidRDefault="00167B15" w:rsidP="00167B15">
      <w:pPr>
        <w:tabs>
          <w:tab w:val="left" w:pos="3119"/>
        </w:tabs>
        <w:spacing w:after="0" w:line="240" w:lineRule="auto"/>
        <w:jc w:val="center"/>
        <w:rPr>
          <w:rFonts w:ascii="Times New Roman" w:eastAsia="Times New Roman" w:hAnsi="Times New Roman" w:cs="Times New Roman"/>
          <w:color w:val="000000"/>
          <w:sz w:val="20"/>
          <w:szCs w:val="20"/>
        </w:rPr>
      </w:pPr>
      <w:r w:rsidRPr="00A5277C">
        <w:rPr>
          <w:sz w:val="20"/>
          <w:szCs w:val="20"/>
        </w:rPr>
        <w:t xml:space="preserve"> *</w:t>
      </w:r>
      <w:r w:rsidRPr="00A5277C">
        <w:rPr>
          <w:rFonts w:ascii="Times New Roman" w:eastAsia="Times New Roman" w:hAnsi="Times New Roman" w:cs="Times New Roman"/>
          <w:i/>
          <w:sz w:val="20"/>
          <w:szCs w:val="20"/>
        </w:rPr>
        <w:t xml:space="preserve">Corresponding author: </w:t>
      </w:r>
      <w:hyperlink r:id="rId7" w:history="1">
        <w:r w:rsidR="00C52DCA" w:rsidRPr="00F02C69">
          <w:rPr>
            <w:rStyle w:val="Hyperlink"/>
            <w:rFonts w:ascii="Times New Roman" w:eastAsia="Times New Roman" w:hAnsi="Times New Roman" w:cs="Times New Roman"/>
            <w:i/>
            <w:sz w:val="20"/>
            <w:szCs w:val="20"/>
          </w:rPr>
          <w:t>wawan.kurniawan@steialamar.ac.id</w:t>
        </w:r>
      </w:hyperlink>
      <w:r w:rsidR="00C52DCA">
        <w:rPr>
          <w:rFonts w:ascii="Times New Roman" w:eastAsia="Times New Roman" w:hAnsi="Times New Roman" w:cs="Times New Roman"/>
          <w:i/>
          <w:sz w:val="20"/>
          <w:szCs w:val="20"/>
        </w:rPr>
        <w:t xml:space="preserve"> </w:t>
      </w:r>
    </w:p>
    <w:p w14:paraId="245B59A6"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p>
    <w:p w14:paraId="5F8B0D7E"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sz w:val="18"/>
          <w:szCs w:val="18"/>
        </w:rPr>
        <w:t>Received dd Month yyyy; Revised dd Month yyyy; Accepted dd Month yyyy  (9pt)</w:t>
      </w:r>
    </w:p>
    <w:p w14:paraId="46725FBD" w14:textId="77777777" w:rsidR="00167B15" w:rsidRDefault="00167B15" w:rsidP="00167B1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CCFB160" w14:textId="77777777" w:rsidR="00167B15" w:rsidRPr="00A5277C" w:rsidRDefault="00167B15" w:rsidP="00167B15">
      <w:pPr>
        <w:spacing w:after="0" w:line="240" w:lineRule="auto"/>
        <w:jc w:val="center"/>
        <w:rPr>
          <w:rFonts w:ascii="Times New Roman" w:eastAsia="Times New Roman" w:hAnsi="Times New Roman" w:cs="Times New Roman"/>
          <w:i/>
          <w:sz w:val="20"/>
          <w:szCs w:val="20"/>
        </w:rPr>
      </w:pPr>
      <w:r w:rsidRPr="00A5277C">
        <w:rPr>
          <w:rFonts w:ascii="Times New Roman" w:eastAsia="Times New Roman" w:hAnsi="Times New Roman" w:cs="Times New Roman"/>
          <w:b/>
          <w:i/>
          <w:sz w:val="20"/>
          <w:szCs w:val="20"/>
        </w:rPr>
        <w:t>Abstract</w:t>
      </w:r>
    </w:p>
    <w:p w14:paraId="36D46FF1" w14:textId="7BAFA31D" w:rsidR="00167B15" w:rsidRPr="005511B9" w:rsidRDefault="005511B9" w:rsidP="00167B15">
      <w:pPr>
        <w:spacing w:after="0" w:line="240" w:lineRule="auto"/>
        <w:jc w:val="both"/>
        <w:rPr>
          <w:rFonts w:ascii="Times New Roman" w:eastAsia="Times New Roman" w:hAnsi="Times New Roman" w:cs="Times New Roman"/>
          <w:i/>
          <w:sz w:val="20"/>
          <w:szCs w:val="20"/>
        </w:rPr>
      </w:pPr>
      <w:r w:rsidRPr="005511B9">
        <w:rPr>
          <w:rFonts w:ascii="Times New Roman" w:eastAsia="Times New Roman" w:hAnsi="Times New Roman" w:cs="Times New Roman"/>
          <w:i/>
          <w:sz w:val="20"/>
          <w:szCs w:val="20"/>
        </w:rPr>
        <w:t>Generative artificial intelligence has rapidly transformed educational practices by enabling students and teachers to generate text, explanations, ideas, questions, feedback, and other forms of learning content. While ChatGPT has become the most visible representation of this transformation, the broader development of generative AI raises more fundamental questions concerning the purpose of education, the nature of learning, the role of teachers, and the validity of conventional assessment practices. This study aims to critically examine the implications of generative AI for education, learning, and assessment and to develop a conceptual framework for reimagining educational practices in the generative AI era. The study employs a qualitative library research approach through a critical analysis of scholarly literature concerning generative AI, artificial intelligence in education, learning theories, assessment, academic integrity, digital literacy, and human-AI interaction. The findings indicate that generative AI can provide substantial opportunities for personalized learning, content generation, feedback, tutoring, brainstorming, language support, and instructional design. However, unrestricted reliance on generative AI may encourage cognitive offloading, reduce learner autonomy, facilitate academic misconduct, reproduce misinformation and bias, and make conventional product-oriented assessment increasingly unable to demonstrate authentic learning. The study argues that the emergence of generative AI requires a shift from knowledge transmission toward knowledge construction, critical inquiry, collaboration, creativity, metacognition, and responsible AI use. Assessment should similarly move beyond evaluating final products toward examining reasoning processes, application, reflection, oral defense, authentic performance, and students' ability to critically evaluate AI-generated outputs. The study proposes a human-centered educational framework in which generative AI functions as a learning partner and cognitive support while teachers retain pedagogical authority and students remain responsible for intellectual judgment. Generative AI should therefore be understood not simply as a new educational technology but as a catalyst for redesigning educational purposes, learning processes, and assessment systems.</w:t>
      </w:r>
    </w:p>
    <w:p w14:paraId="0ED72FA5" w14:textId="77777777" w:rsidR="00167B15" w:rsidRDefault="00167B15" w:rsidP="00167B15">
      <w:pPr>
        <w:spacing w:after="0" w:line="240" w:lineRule="auto"/>
        <w:jc w:val="both"/>
        <w:rPr>
          <w:rFonts w:ascii="Times New Roman" w:eastAsia="Times New Roman" w:hAnsi="Times New Roman" w:cs="Times New Roman"/>
          <w:i/>
          <w:sz w:val="20"/>
          <w:szCs w:val="20"/>
        </w:rPr>
      </w:pPr>
    </w:p>
    <w:p w14:paraId="704B7E2B" w14:textId="0A14FA08" w:rsidR="00167B15" w:rsidRDefault="00167B15" w:rsidP="00167B15">
      <w:pPr>
        <w:spacing w:after="0" w:line="240" w:lineRule="auto"/>
        <w:rPr>
          <w:rFonts w:ascii="Times New Roman" w:eastAsia="Times New Roman" w:hAnsi="Times New Roman" w:cs="Times New Roman"/>
          <w:i/>
          <w:sz w:val="20"/>
          <w:szCs w:val="20"/>
        </w:rPr>
      </w:pPr>
      <w:r>
        <w:rPr>
          <w:rFonts w:ascii="Times New Roman" w:eastAsia="Times New Roman" w:hAnsi="Times New Roman" w:cs="Times New Roman"/>
          <w:b/>
          <w:i/>
          <w:sz w:val="20"/>
          <w:szCs w:val="20"/>
        </w:rPr>
        <w:t>Keywords</w:t>
      </w:r>
      <w:r>
        <w:rPr>
          <w:rFonts w:ascii="Times New Roman" w:eastAsia="Times New Roman" w:hAnsi="Times New Roman" w:cs="Times New Roman"/>
          <w:i/>
          <w:sz w:val="20"/>
          <w:szCs w:val="20"/>
        </w:rPr>
        <w:t xml:space="preserve">: </w:t>
      </w:r>
      <w:r w:rsidR="005511B9" w:rsidRPr="005511B9">
        <w:rPr>
          <w:rFonts w:ascii="Times New Roman" w:eastAsia="Times New Roman" w:hAnsi="Times New Roman" w:cs="Times New Roman"/>
          <w:i/>
          <w:sz w:val="20"/>
          <w:szCs w:val="20"/>
        </w:rPr>
        <w:t>Generative Artificial Intelligence; ChatGPT; Education; Learning</w:t>
      </w:r>
    </w:p>
    <w:p w14:paraId="1360559E" w14:textId="77777777" w:rsidR="00EA5C5F" w:rsidRDefault="00EA5C5F" w:rsidP="00EA5C5F">
      <w:pPr>
        <w:spacing w:after="0" w:line="240" w:lineRule="auto"/>
        <w:rPr>
          <w:rFonts w:ascii="Times New Roman" w:eastAsia="Times New Roman" w:hAnsi="Times New Roman" w:cs="Times New Roman"/>
          <w:b/>
          <w:sz w:val="24"/>
          <w:szCs w:val="24"/>
        </w:rPr>
      </w:pPr>
    </w:p>
    <w:p w14:paraId="36832249" w14:textId="77777777" w:rsidR="00EA5C5F" w:rsidRDefault="00EA5C5F" w:rsidP="00EA5C5F">
      <w:pPr>
        <w:spacing w:after="0" w:line="240" w:lineRule="auto"/>
        <w:rPr>
          <w:rFonts w:ascii="Times New Roman" w:eastAsia="Times New Roman" w:hAnsi="Times New Roman" w:cs="Times New Roman"/>
          <w:sz w:val="24"/>
          <w:szCs w:val="24"/>
        </w:rPr>
      </w:pPr>
    </w:p>
    <w:p w14:paraId="5FC71CCA" w14:textId="77777777" w:rsidR="00EA5C5F" w:rsidRDefault="00EA5C5F" w:rsidP="00EA5C5F">
      <w:pPr>
        <w:spacing w:after="0" w:line="240" w:lineRule="auto"/>
        <w:rPr>
          <w:rFonts w:ascii="Times New Roman" w:eastAsia="Times New Roman" w:hAnsi="Times New Roman" w:cs="Times New Roman"/>
          <w:sz w:val="24"/>
          <w:szCs w:val="24"/>
        </w:rPr>
        <w:sectPr w:rsidR="00EA5C5F" w:rsidSect="00EA5C5F">
          <w:headerReference w:type="even" r:id="rId8"/>
          <w:headerReference w:type="default" r:id="rId9"/>
          <w:footerReference w:type="even" r:id="rId10"/>
          <w:type w:val="continuous"/>
          <w:pgSz w:w="11907" w:h="16839"/>
          <w:pgMar w:top="1701" w:right="1701" w:bottom="1701" w:left="1701" w:header="709" w:footer="709" w:gutter="0"/>
          <w:pgNumType w:start="92"/>
          <w:cols w:space="720"/>
        </w:sectPr>
      </w:pPr>
    </w:p>
    <w:p w14:paraId="1324D763" w14:textId="1D72EB53" w:rsidR="00167B15" w:rsidRPr="00C97A28" w:rsidRDefault="00C97A28" w:rsidP="006E0D96">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INTRODUCTION</w:t>
      </w:r>
    </w:p>
    <w:p w14:paraId="6F2AEB2B" w14:textId="3A17BA11" w:rsidR="006E0D96" w:rsidRPr="006E0D96" w:rsidRDefault="006E0D96" w:rsidP="006E0D96">
      <w:pPr>
        <w:pStyle w:val="pdq2pgselectionanchorcontainer"/>
        <w:spacing w:before="0" w:beforeAutospacing="0" w:after="0" w:afterAutospacing="0"/>
        <w:ind w:firstLine="720"/>
        <w:jc w:val="both"/>
      </w:pPr>
      <w:r w:rsidRPr="006E0D96">
        <w:t xml:space="preserve">Generative artificial intelligence has emerged as one of the most significant technological developments influencing contemporary education. The rapid development of systems capable of generating text, images, code, explanations, questions, summaries, and other forms of content has fundamentally altered how students and teachers interact with information. Among these technologies, ChatGPT has received extensive attention because of its ability </w:t>
      </w:r>
      <w:r w:rsidRPr="006E0D96">
        <w:t>to engage in natural-language conversations and generate responses across a wide range of educational tasks. Students can use generative AI to explain concepts, summarize readings, generate ideas, translate texts, solve problems, develop outlines, and obtain feedback. Teachers can similarly use it to develop instructional materials, generate questions, design activities, and support administrative tasks</w:t>
      </w:r>
      <w:r w:rsidR="00CA20D3">
        <w:t xml:space="preserve"> </w:t>
      </w:r>
      <w:r w:rsidR="00CA20D3">
        <w:fldChar w:fldCharType="begin" w:fldLock="1"/>
      </w:r>
      <w:r w:rsidR="00CA20D3">
        <w:instrText>ADDIN CSL_CITATION {"citationItems":[{"id":"ITEM-1","itemData":{"ISSN":"0719-4706","author":[{"dropping-particle":"","family":"Silva","given":"Maicon Lino Ferreira","non-dropping-particle":"da","parse-names":false,"suffix":""},{"dropping-particle":"","family":"Silva Rodrigues","given":"Augusto José","non-dropping-particle":"da","parse-names":false,"suffix":""}],"container-title":"Revista Inclusiones","id":"ITEM-1","issued":{"date-parts":[["2018"]]},"page":"12-31","title":"A new digital method to recover the state of art: systematic literature review (SLR)","type":"article-journal"},"uris":["http://www.mendeley.com/documents/?uuid=dd1580e0-4290-467e-805a-87e2fa92222b"]}],"mendeley":{"formattedCitation":"(da Silva &amp; da Silva Rodrigues, 2018)","plainTextFormattedCitation":"(da Silva &amp; da Silva Rodrigues, 2018)","previouslyFormattedCitation":"(da Silva &amp; da Silva Rodrigues, 2018)"},"properties":{"noteIndex":0},"schema":"https://github.com/citation-style-language/schema/raw/master/csl-citation.json"}</w:instrText>
      </w:r>
      <w:r w:rsidR="00CA20D3">
        <w:fldChar w:fldCharType="separate"/>
      </w:r>
      <w:r w:rsidR="00CA20D3" w:rsidRPr="00CA20D3">
        <w:rPr>
          <w:noProof/>
        </w:rPr>
        <w:t>(da Silva &amp; da Silva Rodrigues, 2018)</w:t>
      </w:r>
      <w:r w:rsidR="00CA20D3">
        <w:fldChar w:fldCharType="end"/>
      </w:r>
      <w:r w:rsidRPr="006E0D96">
        <w:t>.</w:t>
      </w:r>
    </w:p>
    <w:p w14:paraId="5C8CD5EB" w14:textId="02FA810E" w:rsidR="006E0D96" w:rsidRPr="006E0D96" w:rsidRDefault="006E0D96" w:rsidP="006E0D96">
      <w:pPr>
        <w:pStyle w:val="pdq2pgselectionanchorcontainer"/>
        <w:spacing w:before="0" w:beforeAutospacing="0" w:after="0" w:afterAutospacing="0"/>
        <w:ind w:firstLine="720"/>
        <w:jc w:val="both"/>
      </w:pPr>
      <w:r w:rsidRPr="006E0D96">
        <w:lastRenderedPageBreak/>
        <w:t>However, the educational significance of generative AI extends far beyond ChatGPT itself. Focusing exclusively on one platform risks treating generative AI as simply another educational technology rather than recognizing the broader transformation it represents. The central issue is not whether students should be allowed to use ChatGPT but how education should respond to an environment in which intelligent systems can increasingly produce materials that previously required substantial human effort. The emergence of generative AI therefore raises fundamental questions about what students need to learn, what teachers should teach, and what evidence should be accepted as proof of learning</w:t>
      </w:r>
      <w:r w:rsidR="00CA20D3">
        <w:t xml:space="preserve"> </w:t>
      </w:r>
      <w:r w:rsidR="00CA20D3">
        <w:fldChar w:fldCharType="begin" w:fldLock="1"/>
      </w:r>
      <w:r w:rsidR="00CA20D3">
        <w:instrText>ADDIN CSL_CITATION {"citationItems":[{"id":"ITEM-1","itemData":{"DOI":"http://dx.doi.org/10.24042/biosfer.v14i1.16891","ISSN":"2580-4960","author":[{"dropping-particle":"","family":"Windari","given":"Meylinda Retno","non-dropping-particle":"","parse-names":false,"suffix":""},{"dropping-particle":"","family":"Prihatin","given":"Jekti","non-dropping-particle":"","parse-names":false,"suffix":""},{"dropping-particle":"","family":"Fikri","given":"Kamalia","non-dropping-particle":"","parse-names":false,"suffix":""}],"container-title":"Biosfer: Jurnal Tadris Biologi","id":"ITEM-1","issue":"1","issued":{"date-parts":[["2023"]]},"page":"79-88","title":"The Effectiveness of Digital Textbooks on Brain-based Learning assisted by Animated Videos and Maze Chase-Wordwall on Science Literacy Skills and Student Learning Outcomes","type":"article-journal","volume":"14"},"uris":["http://www.mendeley.com/documents/?uuid=f5356f2d-34e5-4c72-bf49-bd50c5841783"]}],"mendeley":{"formattedCitation":"(Windari et al., 2023)","plainTextFormattedCitation":"(Windari et al., 2023)","previouslyFormattedCitation":"(Windari et al., 2023)"},"properties":{"noteIndex":0},"schema":"https://github.com/citation-style-language/schema/raw/master/csl-citation.json"}</w:instrText>
      </w:r>
      <w:r w:rsidR="00CA20D3">
        <w:fldChar w:fldCharType="separate"/>
      </w:r>
      <w:r w:rsidR="00CA20D3" w:rsidRPr="00CA20D3">
        <w:rPr>
          <w:noProof/>
        </w:rPr>
        <w:t>(Windari et al., 2023)</w:t>
      </w:r>
      <w:r w:rsidR="00CA20D3">
        <w:fldChar w:fldCharType="end"/>
      </w:r>
      <w:r w:rsidRPr="006E0D96">
        <w:t>.</w:t>
      </w:r>
    </w:p>
    <w:p w14:paraId="21F7779B" w14:textId="6A01D03B" w:rsidR="006E0D96" w:rsidRPr="006E0D96" w:rsidRDefault="006E0D96" w:rsidP="006E0D96">
      <w:pPr>
        <w:pStyle w:val="pdq2pgselectionanchorcontainer"/>
        <w:spacing w:before="0" w:beforeAutospacing="0" w:after="0" w:afterAutospacing="0"/>
        <w:ind w:firstLine="720"/>
        <w:jc w:val="both"/>
      </w:pPr>
      <w:r w:rsidRPr="006E0D96">
        <w:t>Traditional educational systems have historically been structured around relatively stable relationships between knowledge, learning activities, and assessment. Teachers provide instruction, students engage with educational materials, and assessments evaluate whether students have acquired the intended knowledge and skills</w:t>
      </w:r>
      <w:r w:rsidR="00CA20D3">
        <w:t xml:space="preserve"> </w:t>
      </w:r>
      <w:r w:rsidR="00CA20D3">
        <w:fldChar w:fldCharType="begin" w:fldLock="1"/>
      </w:r>
      <w:r w:rsidR="00CA20D3">
        <w:instrText>ADDIN CSL_CITATION {"citationItems":[{"id":"ITEM-1","itemData":{"DOI":"https://doi.org/10.55352/mudir.v7i1.1469","ISSN":"2657-2230","author":[{"dropping-particle":"","family":"Fauzi","given":"Helmi Al Hafid","non-dropping-particle":"","parse-names":false,"suffix":""},{"dropping-particle":"","family":"Hidayat","given":"Wahyu","non-dropping-particle":"","parse-names":false,"suffix":""},{"dropping-particle":"","family":"Ayyubi","given":"Ibnu Imam","non-dropping-particle":"Al","parse-names":false,"suffix":""},{"dropping-particle":"","family":"Nurhikmah","given":"","non-dropping-particle":"","parse-names":false,"suffix":""},{"dropping-particle":"","family":"Al-Ghatnaini","given":"Raed Awadh Saeed","non-dropping-particle":"","parse-names":false,"suffix":""}],"container-title":"Mudir: Jurnal Manajemen Pendidikan","id":"ITEM-1","issue":"1","issued":{"date-parts":[["2025"]]},"page":"19-27","title":"Work Stress Levels At Madrasah Tsanawiyah Arrukhshatul'ulum: The Challenges of Digitalization in Developing Islamic Educational Institutions","type":"article-journal","volume":"7"},"uris":["http://www.mendeley.com/documents/?uuid=6b6230b4-9750-46f5-9b64-6ac6db5fac96"]}],"mendeley":{"formattedCitation":"(Fauzi et al., 2025)","plainTextFormattedCitation":"(Fauzi et al., 2025)","previouslyFormattedCitation":"(Fauzi et al., 2025)"},"properties":{"noteIndex":0},"schema":"https://github.com/citation-style-language/schema/raw/master/csl-citation.json"}</w:instrText>
      </w:r>
      <w:r w:rsidR="00CA20D3">
        <w:fldChar w:fldCharType="separate"/>
      </w:r>
      <w:r w:rsidR="00CA20D3" w:rsidRPr="00CA20D3">
        <w:rPr>
          <w:noProof/>
        </w:rPr>
        <w:t>(Fauzi et al., 2025)</w:t>
      </w:r>
      <w:r w:rsidR="00CA20D3">
        <w:fldChar w:fldCharType="end"/>
      </w:r>
      <w:r w:rsidRPr="006E0D96">
        <w:t>. Generative AI disrupts this structure because students can now access an external system capable of producing apparently sophisticated answers during or outside the learning process. As a result, the boundary between student-generated work and machine-generated work becomes increasingly difficult to establish through conventional assessment practices</w:t>
      </w:r>
      <w:r w:rsidR="00CA20D3">
        <w:t xml:space="preserve"> </w:t>
      </w:r>
      <w:r w:rsidR="00CA20D3">
        <w:fldChar w:fldCharType="begin" w:fldLock="1"/>
      </w:r>
      <w:r w:rsidR="00CA20D3">
        <w:instrText>ADDIN CSL_CITATION {"citationItems":[{"id":"ITEM-1","itemData":{"DOI":"https://doi.org/10.1108/LHTN-12-2021-0095","ISSN":"0741-9058","author":[{"dropping-particle":"","family":"Tinmaz","given":"Hasan","non-dropping-particle":"","parse-names":false,"suffix":""},{"dropping-particle":"","family":"Fanea-Ivanovici","given":"Mina","non-dropping-particle":"","parse-names":false,"suffix":""},{"dropping-particle":"","family":"Baber","given":"Hasnan","non-dropping-particle":"","parse-names":false,"suffix":""}],"container-title":"Library Hi Tech News","id":"ITEM-1","issue":"1","issued":{"date-parts":[["2023"]]},"page":"20-23","publisher":"Emerald Publishing Limited","title":"A snapshot of digital literacy","type":"article-journal","volume":"40"},"uris":["http://www.mendeley.com/documents/?uuid=66d71c85-b8bb-41ec-85ec-b9576a9e81da"]}],"mendeley":{"formattedCitation":"(Tinmaz et al., 2023)","plainTextFormattedCitation":"(Tinmaz et al., 2023)","previouslyFormattedCitation":"(Tinmaz et al., 2023)"},"properties":{"noteIndex":0},"schema":"https://github.com/citation-style-language/schema/raw/master/csl-citation.json"}</w:instrText>
      </w:r>
      <w:r w:rsidR="00CA20D3">
        <w:fldChar w:fldCharType="separate"/>
      </w:r>
      <w:r w:rsidR="00CA20D3" w:rsidRPr="00CA20D3">
        <w:rPr>
          <w:noProof/>
        </w:rPr>
        <w:t>(Tinmaz et al., 2023)</w:t>
      </w:r>
      <w:r w:rsidR="00CA20D3">
        <w:fldChar w:fldCharType="end"/>
      </w:r>
      <w:r w:rsidRPr="006E0D96">
        <w:t>.</w:t>
      </w:r>
    </w:p>
    <w:p w14:paraId="2DB449FB" w14:textId="77777777" w:rsidR="006E0D96" w:rsidRPr="006E0D96" w:rsidRDefault="006E0D96" w:rsidP="006E0D96">
      <w:pPr>
        <w:pStyle w:val="pdq2pgselectionanchorcontainer"/>
        <w:spacing w:before="0" w:beforeAutospacing="0" w:after="0" w:afterAutospacing="0"/>
        <w:ind w:firstLine="720"/>
        <w:jc w:val="both"/>
      </w:pPr>
      <w:r w:rsidRPr="006E0D96">
        <w:t xml:space="preserve">This development creates a particularly important challenge for written assignments. Essays, reports, reflections, summaries, and even some forms of problem solving can be </w:t>
      </w:r>
      <w:r w:rsidRPr="006E0D96">
        <w:t>generated or substantially assisted by generative AI. If assessment continues to focus primarily on the final product, educators may have difficulty determining whether the submitted work reflects the student's own understanding. The problem is therefore not simply academic dishonesty. More fundamentally, it concerns the epistemological validity of assessment: what does a submitted product actually tell us about what a student knows and can do?</w:t>
      </w:r>
    </w:p>
    <w:p w14:paraId="7886DF66" w14:textId="0B4308D3" w:rsidR="006E0D96" w:rsidRPr="00CA20D3" w:rsidRDefault="006E0D96" w:rsidP="006E0D96">
      <w:pPr>
        <w:pStyle w:val="pdq2pgselectionanchorcontainer"/>
        <w:spacing w:before="0" w:beforeAutospacing="0" w:after="0" w:afterAutospacing="0"/>
        <w:ind w:firstLine="720"/>
        <w:jc w:val="both"/>
        <w:rPr>
          <w:lang w:val="da-DK"/>
        </w:rPr>
      </w:pPr>
      <w:r w:rsidRPr="006E0D96">
        <w:t>The increasing availability of generative AI also challenges traditional conceptions of learning. Learning has often been associated with the acquisition and reproduction of knowledge, but generative AI can provide immediate access to large amounts of information and generate coherent responses to complex questions. Consequently, memorization and reproduction may become less central as indicators of educational achievement. This does not mean that knowledge acquisition is no longer important. Rather, students increasingly need to know how to interpret, evaluate, connect, apply, and question information</w:t>
      </w:r>
      <w:r w:rsidR="00CA20D3">
        <w:t xml:space="preserve"> </w:t>
      </w:r>
      <w:r w:rsidR="00CA20D3">
        <w:fldChar w:fldCharType="begin" w:fldLock="1"/>
      </w:r>
      <w:r w:rsidR="00CA20D3">
        <w:instrText>ADDIN CSL_CITATION {"citationItems":[{"id":"ITEM-1","itemData":{"DOI":"https://doi.org/10.38073/wasilatuna.v7i01.1468","ISSN":"2654-2595","author":[{"dropping-particle":"","family":"Ayyubi","given":"Ibnu Imam","non-dropping-particle":"Al","parse-names":false,"suffix":""},{"dropping-particle":"","family":"Suryana","given":"Irfan","non-dropping-particle":"","parse-names":false,"suffix":""},{"dropping-particle":"","family":"Andirani","given":"Anita","non-dropping-particle":"","parse-names":false,"suffix":""},{"dropping-particle":"","family":"Masfuroh","given":"Ai Sri","non-dropping-particle":"","parse-names":false,"suffix":""},{"dropping-particle":"","family":"Noerzanah","given":"Firda","non-dropping-particle":"","parse-names":false,"suffix":""}],"container-title":"Wasilatuna: Jurnal Komunikasi dan Penyiaran Islam","id":"ITEM-1","issue":"1","issued":{"date-parts":[["2024"]]},"page":"112-127","title":"The Existence of Nahdlatul Ulama Da'wah in the Era of Digitalization and Disruption","type":"article-journal","volume":"7"},"uris":["http://www.mendeley.com/documents/?uuid=e588cf5b-6a27-4885-8937-9b75a3ff5357"]},{"id":"ITEM-2","itemData":{"DOI":"https://doi.org/10.1007/s10639-021-10624-x","ISSN":"1360-2357","author":[{"dropping-particle":"","family":"Farias-Gaytan","given":"Silvia","non-dropping-particle":"","parse-names":false,"suffix":""},{"dropping-particle":"","family":"Aguaded","given":"Ignacio","non-dropping-particle":"","parse-names":false,"suffix":""},{"dropping-particle":"","family":"Ramirez-Montoya","given":"Maria-Soledad","non-dropping-particle":"","parse-names":false,"suffix":""}],"container-title":"Education and Information Technologies","id":"ITEM-2","issue":"2","issued":{"date-parts":[["2022"]]},"page":"1417-1437","publisher":"Springer","title":"Transformation and digital literacy: Systematic literature mapping","type":"article-journal","volume":"27"},"uris":["http://www.mendeley.com/documents/?uuid=0ed234ca-9407-4ddb-b917-35d35df81f4d"]},{"id":"ITEM-3","itemData":{"DOI":"https://doi.org/10.59166/el-adabi.v3i2.170","ISSN":"2964-0679","author":[{"dropping-particle":"","family":"Ayyubi","given":"Ibnu Imam","non-dropping-particle":"Al","parse-names":false,"suffix":""},{"dropping-particle":"","family":"Hayati","given":"Ai Faridatul","non-dropping-particle":"","parse-names":false,"suffix":""},{"dropping-particle":"","family":"Hartati","given":"Ratna Dewi","non-dropping-particle":"","parse-names":false,"suffix":""},{"dropping-particle":"","family":"Rahmawati","given":"Siti","non-dropping-particle":"","parse-names":false,"suffix":""}],"container-title":"El-Adabi: Jurnal Studi Islam","id":"ITEM-3","issue":"2","issued":{"date-parts":[["2024"]]},"page":"14-28","title":"Building Religious Moderation Life Through Digital Media","type":"article-journal","volume":"3"},"uris":["http://www.mendeley.com/documents/?uuid=447f5d52-9ba4-4f94-bcde-12a5483e6f1c"]}],"mendeley":{"formattedCitation":"(Al Ayyubi, Hayati, et al., 2024; Al Ayyubi, Suryana, et al., 2024; Farias-Gaytan et al., 2022)","plainTextFormattedCitation":"(Al Ayyubi, Hayati, et al., 2024; Al Ayyubi, Suryana, et al., 2024; Farias-Gaytan et al., 2022)","previouslyFormattedCitation":"(Al Ayyubi, Hayati, et al., 2024; Al Ayyubi, Suryana, et al., 2024; Farias-Gaytan et al., 2022)"},"properties":{"noteIndex":0},"schema":"https://github.com/citation-style-language/schema/raw/master/csl-citation.json"}</w:instrText>
      </w:r>
      <w:r w:rsidR="00CA20D3">
        <w:fldChar w:fldCharType="separate"/>
      </w:r>
      <w:r w:rsidR="00CA20D3" w:rsidRPr="00CA20D3">
        <w:rPr>
          <w:noProof/>
          <w:lang w:val="da-DK"/>
        </w:rPr>
        <w:t>(Al Ayyubi, Hayati, et al., 2024; Al Ayyubi, Suryana, et al., 2024; Farias-Gaytan et al., 2022)</w:t>
      </w:r>
      <w:r w:rsidR="00CA20D3">
        <w:fldChar w:fldCharType="end"/>
      </w:r>
      <w:r w:rsidRPr="00CA20D3">
        <w:rPr>
          <w:lang w:val="da-DK"/>
        </w:rPr>
        <w:t>.</w:t>
      </w:r>
    </w:p>
    <w:p w14:paraId="69353540" w14:textId="7C1CA69D" w:rsidR="006E0D96" w:rsidRPr="006E0D96" w:rsidRDefault="006E0D96" w:rsidP="006E0D96">
      <w:pPr>
        <w:pStyle w:val="pdq2pgselectionanchorcontainer"/>
        <w:spacing w:before="0" w:beforeAutospacing="0" w:after="0" w:afterAutospacing="0"/>
        <w:ind w:firstLine="720"/>
        <w:jc w:val="both"/>
      </w:pPr>
      <w:r w:rsidRPr="006E0D96">
        <w:t xml:space="preserve">Critical thinking therefore becomes increasingly important in the generative AI era. AI-generated information may appear convincing while containing factual inaccuracies, fabricated references, biased assumptions, or incomplete arguments. Students who rely on AI without verification may reproduce errors without recognizing them. Education consequently needs to cultivate students who are capable not only of using AI but </w:t>
      </w:r>
      <w:r w:rsidRPr="006E0D96">
        <w:lastRenderedPageBreak/>
        <w:t>also of challenging and evaluating its outputs</w:t>
      </w:r>
      <w:r w:rsidR="00CA20D3">
        <w:t xml:space="preserve"> </w:t>
      </w:r>
      <w:r w:rsidR="00CA20D3">
        <w:fldChar w:fldCharType="begin" w:fldLock="1"/>
      </w:r>
      <w:r w:rsidR="00CA20D3">
        <w:instrText>ADDIN CSL_CITATION {"citationItems":[{"id":"ITEM-1","itemData":{"DOI":"https://doi.org/10.33200/ijcer.633051","ISSN":"2148-3868","author":[{"dropping-particle":"","family":"Ökmen","given":"Burcu","non-dropping-particle":"","parse-names":false,"suffix":""},{"dropping-particle":"","family":"Şahin","given":"Şeyma","non-dropping-particle":"","parse-names":false,"suffix":""},{"dropping-particle":"","family":"Kılıç","given":"Abdurrahman","non-dropping-particle":"","parse-names":false,"suffix":""}],"container-title":"International Journal of Contemporary Educational Research","id":"ITEM-1","issue":"1","issued":{"date-parts":[["2020"]]},"page":"54-70","publisher":"Muhammed ZİNCİRLİ","title":"A critical view to the primary school teaching","type":"article-journal","volume":"7"},"uris":["http://www.mendeley.com/documents/?uuid=684ff34b-4b62-44aa-9196-16ef15411d15"]},{"id":"ITEM-2","itemData":{"DOI":"10.15642/teosofi.2021.11.1.93-121","ISSN":"2442-871X","author":[{"dropping-particle":"","family":"Chowdury","given":"Saeyd Rashed Hasan","non-dropping-particle":"","parse-names":false,"suffix":""},{"dropping-particle":"","family":"Göktaş","given":"Vahit","non-dropping-particle":"","parse-names":false,"suffix":""}],"container-title":"Teosofi: Jurnal Tasawuf dan Pemikiran Islam","id":"ITEM-2","issue":"1","issued":{"date-parts":[["2021"]]},"page":"93-121","title":"A Critical Analysis of Imam Rabbani Ahmad Sirhindi’s Doctrines on Sufism","type":"article-journal","volume":"11"},"uris":["http://www.mendeley.com/documents/?uuid=bd6a75ba-0cec-4c7a-b3de-e55f8ebf032c"]},{"id":"ITEM-3","itemData":{"DOI":"https://doi.org/10.61100/adman.v2i1.128","ISSN":"2988-3121","author":[{"dropping-particle":"","family":"Zaakiyyah","given":"Hizbul Khootimah Az","non-dropping-particle":"","parse-names":false,"suffix":""}],"container-title":"Journal of Contemporary Administration and Management (ADMAN)","id":"ITEM-3","issue":"1","issued":{"date-parts":[["2024"]]},"page":"331-336","title":"Innovative strategies to enhance the quality of higher education management: Human resource development and the critical role of communication","type":"article-journal","volume":"2"},"uris":["http://www.mendeley.com/documents/?uuid=0f12c209-af33-4b50-9eb4-0300227fd26c"]},{"id":"ITEM-4","itemData":{"DOI":"10.2991/assehr.k.201201.086","ISBN":"9462392854","author":[{"dropping-particle":"","family":"Nasution","given":"Aida Rahmi","non-dropping-particle":"","parse-names":false,"suffix":""},{"dropping-particle":"","family":"Zuela","given":"M S","non-dropping-particle":"","parse-names":false,"suffix":""},{"dropping-particle":"","family":"Rafli","given":"Zaenal","non-dropping-particle":"","parse-names":false,"suffix":""}],"container-title":"International Joint Conference on Arts and Humanities (IJCAH 2020)","id":"ITEM-4","issued":{"date-parts":[["2020"]]},"page":"485-492","publisher":"Atlantis Press","title":"Improving Critical Thinking Skill of Elementary School Students Through Brain Based Learning","type":"paper-conference"},"uris":["http://www.mendeley.com/documents/?uuid=818a427b-20e0-4458-86e5-8a99223bfe49"]},{"id":"ITEM-5","itemData":{"DOI":"https://doi.org/10.28918/jei.v10i1.10661","ISSN":"2548-5822","author":[{"dropping-particle":"","family":"Sukarno","given":"Sukarno","non-dropping-particle":"","parse-names":false,"suffix":""},{"dropping-particle":"","family":"Murayama","given":"Kaito","non-dropping-particle":"","parse-names":false,"suffix":""}],"container-title":"Edukasia Islamika","id":"ITEM-5","issue":"1","issued":{"date-parts":[["2025"]]},"page":"1-16","title":"Designing Adaptive Human Resource Management in Pesantren: A Critical Study of Traditional Practices","type":"article-journal","volume":"10"},"uris":["http://www.mendeley.com/documents/?uuid=2d56a091-26d3-4882-9d24-4d60a4d0c9a2"]}],"mendeley":{"formattedCitation":"(Chowdury &amp; Göktaş, 2021; Nasution et al., 2020; Ökmen et al., 2020; Sukarno &amp; Murayama, 2025; Zaakiyyah, 2024)","plainTextFormattedCitation":"(Chowdury &amp; Göktaş, 2021; Nasution et al., 2020; Ökmen et al., 2020; Sukarno &amp; Murayama, 2025; Zaakiyyah, 2024)","previouslyFormattedCitation":"(Chowdury &amp; Göktaş, 2021; Nasution et al., 2020; Ökmen et al., 2020; Sukarno &amp; Murayama, 2025; Zaakiyyah, 2024)"},"properties":{"noteIndex":0},"schema":"https://github.com/citation-style-language/schema/raw/master/csl-citation.json"}</w:instrText>
      </w:r>
      <w:r w:rsidR="00CA20D3">
        <w:fldChar w:fldCharType="separate"/>
      </w:r>
      <w:r w:rsidR="00CA20D3" w:rsidRPr="00CA20D3">
        <w:rPr>
          <w:noProof/>
        </w:rPr>
        <w:t>(Chowdury &amp; Göktaş, 2021; Nasution et al., 2020; Ökmen et al., 2020; Sukarno &amp; Murayama, 2025; Zaakiyyah, 2024)</w:t>
      </w:r>
      <w:r w:rsidR="00CA20D3">
        <w:fldChar w:fldCharType="end"/>
      </w:r>
      <w:r w:rsidRPr="006E0D96">
        <w:t>.</w:t>
      </w:r>
    </w:p>
    <w:p w14:paraId="3948D95A" w14:textId="77777777" w:rsidR="006E0D96" w:rsidRPr="006E0D96" w:rsidRDefault="006E0D96" w:rsidP="006E0D96">
      <w:pPr>
        <w:pStyle w:val="pdq2pgselectionanchorcontainer"/>
        <w:spacing w:before="0" w:beforeAutospacing="0" w:after="0" w:afterAutospacing="0"/>
        <w:ind w:firstLine="720"/>
        <w:jc w:val="both"/>
      </w:pPr>
      <w:r w:rsidRPr="006E0D96">
        <w:t>The emergence of generative AI also creates new possibilities for personalized learning. Students can receive explanations adapted to their perceived level of understanding, request additional examples, explore alternative perspectives, and engage in interactive questioning. Generative AI may therefore provide learning opportunities that are difficult to deliver consistently in large classrooms. However, personalization through AI should not be confused with meaningful learning. A system can provide a customized response without necessarily understanding the learner's underlying misconceptions, emotional conditions, social context, or developmental needs.</w:t>
      </w:r>
    </w:p>
    <w:p w14:paraId="3AC72A43" w14:textId="77777777" w:rsidR="006E0D96" w:rsidRPr="006E0D96" w:rsidRDefault="006E0D96" w:rsidP="006E0D96">
      <w:pPr>
        <w:pStyle w:val="pdq2pgselectionanchorcontainer"/>
        <w:spacing w:before="0" w:beforeAutospacing="0" w:after="0" w:afterAutospacing="0"/>
        <w:ind w:firstLine="720"/>
        <w:jc w:val="both"/>
      </w:pPr>
      <w:r w:rsidRPr="006E0D96">
        <w:t>The role of teachers must therefore be reconsidered rather than eliminated. Teachers remain responsible for determining learning objectives, designing meaningful educational experiences, interpreting students' needs, facilitating dialogue, evaluating learning, and developing ethical and social dimensions of education. Generative AI may automate certain instructional tasks, but educational relationships involve dimensions of judgment, empathy, responsibility, and contextual understanding that cannot simply be reduced to content generation.</w:t>
      </w:r>
    </w:p>
    <w:p w14:paraId="05AD1AA5" w14:textId="77777777" w:rsidR="006E0D96" w:rsidRPr="006E0D96" w:rsidRDefault="006E0D96" w:rsidP="006E0D96">
      <w:pPr>
        <w:pStyle w:val="pdq2pgselectionanchorcontainer"/>
        <w:spacing w:before="0" w:beforeAutospacing="0" w:after="0" w:afterAutospacing="0"/>
        <w:ind w:firstLine="720"/>
        <w:jc w:val="both"/>
      </w:pPr>
      <w:r w:rsidRPr="006E0D96">
        <w:t xml:space="preserve">Curriculum design must also respond to this transformation. If AI can rapidly generate information and conventional academic products, education should increasingly emphasize capabilities that require students to exercise judgment and agency. These </w:t>
      </w:r>
      <w:r w:rsidRPr="006E0D96">
        <w:t>include problem formulation, critical thinking, creativity, collaboration, communication, ethical reasoning, metacognition, and the ability to apply knowledge to unfamiliar contexts. The objective should not be to compete with AI in tasks that AI performs efficiently but to develop human capacities that enable individuals to use AI intelligently and responsibly.</w:t>
      </w:r>
    </w:p>
    <w:p w14:paraId="5CE3D84C" w14:textId="77777777" w:rsidR="006E0D96" w:rsidRPr="006E0D96" w:rsidRDefault="006E0D96" w:rsidP="006E0D96">
      <w:pPr>
        <w:pStyle w:val="pdq2pgselectionanchorcontainer"/>
        <w:spacing w:before="0" w:beforeAutospacing="0" w:after="0" w:afterAutospacing="0"/>
        <w:ind w:firstLine="720"/>
        <w:jc w:val="both"/>
      </w:pPr>
      <w:r w:rsidRPr="006E0D96">
        <w:t>Assessment represents perhaps the most urgent area requiring transformation. Conventional examinations and assignments frequently assess whether students can reproduce information, solve structured problems, or produce written outputs. Generative AI challenges these forms of assessment because many outputs can now be generated automatically. Assessment must therefore increasingly focus on learning processes and authentic performance rather than solely on final products.</w:t>
      </w:r>
    </w:p>
    <w:p w14:paraId="2BEDC9D5" w14:textId="77777777" w:rsidR="006E0D96" w:rsidRPr="006E0D96" w:rsidRDefault="006E0D96" w:rsidP="006E0D96">
      <w:pPr>
        <w:pStyle w:val="pdq2pgselectionanchorcontainer"/>
        <w:spacing w:before="0" w:beforeAutospacing="0" w:after="0" w:afterAutospacing="0"/>
        <w:ind w:firstLine="720"/>
        <w:jc w:val="both"/>
      </w:pPr>
      <w:r w:rsidRPr="006E0D96">
        <w:t>Process-oriented assessment can include oral examinations, project-based learning, portfolios, classroom discussions, reflective journals, demonstrations, iterative drafts, and opportunities for students to explain and defend their work. AI-generated materials can also become objects of assessment. Students may be asked to evaluate an AI-generated argument, identify errors, verify sources, improve a response, or explain why a particular answer is inappropriate. Such approaches transform generative AI from a threat to assessment into a resource for designing more intellectually demanding assessment.</w:t>
      </w:r>
    </w:p>
    <w:p w14:paraId="5C64AB45" w14:textId="77777777" w:rsidR="006E0D96" w:rsidRPr="006E0D96" w:rsidRDefault="006E0D96" w:rsidP="006E0D96">
      <w:pPr>
        <w:pStyle w:val="pdq2pgselectionanchorcontainer"/>
        <w:spacing w:before="0" w:beforeAutospacing="0" w:after="0" w:afterAutospacing="0"/>
        <w:ind w:firstLine="720"/>
        <w:jc w:val="both"/>
      </w:pPr>
      <w:r w:rsidRPr="006E0D96">
        <w:t xml:space="preserve">The ethical dimension of generative AI also requires serious attention. Issues concerning privacy, intellectual property, authorship, bias, </w:t>
      </w:r>
      <w:r w:rsidRPr="006E0D96">
        <w:lastRenderedPageBreak/>
        <w:t>transparency, academic integrity, and unequal access may influence how AI affects educational opportunities. Students with greater access to sophisticated AI systems may possess advantages over those who do not. Educational institutions must therefore consider not only technological adoption but also questions of fairness, responsible use, and digital inclusion.</w:t>
      </w:r>
    </w:p>
    <w:p w14:paraId="1D0B6D6E" w14:textId="77777777" w:rsidR="006E0D96" w:rsidRPr="006E0D96" w:rsidRDefault="006E0D96" w:rsidP="006E0D96">
      <w:pPr>
        <w:pStyle w:val="pdq2pgselectionanchorcontainer"/>
        <w:spacing w:before="0" w:beforeAutospacing="0" w:after="0" w:afterAutospacing="0"/>
        <w:ind w:firstLine="720"/>
        <w:jc w:val="both"/>
      </w:pPr>
      <w:r w:rsidRPr="006E0D96">
        <w:t>Existing scholarship has rapidly expanded around ChatGPT and generative AI in education. Research has examined their potential for personalized learning, content creation, tutoring, feedback, language learning, academic writing, and instructional design. Other studies have emphasized concerns regarding academic integrity, hallucination, misinformation, privacy, bias, and overreliance. However, much of the existing discussion remains focused on whether generative AI is beneficial or harmful and how existing educational practices can incorporate it.</w:t>
      </w:r>
    </w:p>
    <w:p w14:paraId="5A71D5FF" w14:textId="77777777" w:rsidR="006E0D96" w:rsidRPr="006E0D96" w:rsidRDefault="006E0D96" w:rsidP="006E0D96">
      <w:pPr>
        <w:pStyle w:val="pdq2pgselectionanchorcontainer"/>
        <w:spacing w:before="0" w:beforeAutospacing="0" w:after="0" w:afterAutospacing="0"/>
        <w:ind w:firstLine="720"/>
        <w:jc w:val="both"/>
      </w:pPr>
      <w:r w:rsidRPr="006E0D96">
        <w:t>A more fundamental issue remains insufficiently explored: whether educational systems themselves need to be redesigned because the assumptions underlying traditional learning and assessment have changed. If students have continuous access to systems capable of generating knowledge products, simply establishing rules concerning whether ChatGPT may or may not be used does not adequately address the underlying transformation.</w:t>
      </w:r>
    </w:p>
    <w:p w14:paraId="307519B2" w14:textId="7E1FB915" w:rsidR="00167B15" w:rsidRDefault="006E0D96" w:rsidP="006E0D96">
      <w:pPr>
        <w:pStyle w:val="pdq2pgselectionanchorcontainer"/>
        <w:spacing w:before="0" w:beforeAutospacing="0" w:after="0" w:afterAutospacing="0"/>
        <w:ind w:firstLine="720"/>
        <w:jc w:val="both"/>
      </w:pPr>
      <w:r w:rsidRPr="006E0D96">
        <w:t xml:space="preserve">This study addresses this gap by moving beyond a technology-centered discussion of ChatGPT and examining generative AI as a catalyst for educational transformation. The study focuses on three interconnected dimensions: the transformation of educational purposes and learning </w:t>
      </w:r>
      <w:r w:rsidRPr="006E0D96">
        <w:t>processes, the changing roles of teachers and students, and the redesign of assessment to establish more authentic evidence of learning. The study ultimately proposes a human-centered framework for education in the generative AI era in which technology supports learning while human judgment, agency, critical thinking, creativity, and responsibility remain central.</w:t>
      </w:r>
    </w:p>
    <w:p w14:paraId="220C54D7" w14:textId="77777777" w:rsidR="006E0D96" w:rsidRPr="006E0D96" w:rsidRDefault="006E0D96" w:rsidP="006E0D96">
      <w:pPr>
        <w:pStyle w:val="pdq2pgselectionanchorcontainer"/>
        <w:spacing w:before="0" w:beforeAutospacing="0" w:after="0" w:afterAutospacing="0"/>
        <w:jc w:val="both"/>
      </w:pPr>
    </w:p>
    <w:p w14:paraId="176789BF" w14:textId="0BE146A6" w:rsidR="00167B15" w:rsidRPr="00C97A28" w:rsidRDefault="00167B15" w:rsidP="006E0D96">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M</w:t>
      </w:r>
      <w:r w:rsidR="00C97A28">
        <w:rPr>
          <w:rFonts w:ascii="Times New Roman" w:eastAsia="Times New Roman" w:hAnsi="Times New Roman" w:cs="Times New Roman"/>
          <w:b/>
          <w:sz w:val="24"/>
          <w:szCs w:val="24"/>
          <w:lang w:val="en-US"/>
        </w:rPr>
        <w:t>ETHOD</w:t>
      </w:r>
    </w:p>
    <w:p w14:paraId="555FF16B" w14:textId="2E53179D" w:rsidR="00714440" w:rsidRDefault="00714440" w:rsidP="00714440">
      <w:pPr>
        <w:pStyle w:val="pdq2pgselectionanchorcontainer"/>
        <w:spacing w:before="0" w:beforeAutospacing="0" w:after="0" w:afterAutospacing="0"/>
        <w:ind w:firstLine="720"/>
        <w:jc w:val="both"/>
      </w:pPr>
      <w:r>
        <w:t>This study employs a qualitative library research approach to critically examine the implications of generative AI for education, learning, and assessment</w:t>
      </w:r>
      <w:r w:rsidR="00E9253B">
        <w:t xml:space="preserve"> </w:t>
      </w:r>
      <w:r w:rsidR="00CA20D3">
        <w:fldChar w:fldCharType="begin" w:fldLock="1"/>
      </w:r>
      <w:r w:rsidR="00C074B6">
        <w:instrText>ADDIN CSL_CITATION {"citationItems":[{"id":"ITEM-1","itemData":{"ISBN":"1506386695","author":[{"dropping-particle":"","family":"Creswell","given":"John W","non-dropping-particle":"","parse-names":false,"suffix":""},{"dropping-particle":"","family":"Creswell","given":"J David","non-dropping-particle":"","parse-names":false,"suffix":""}],"id":"ITEM-1","issued":{"date-parts":[["2017"]]},"publisher":"Sage publications","title":"Research design: Qualitative, quantitative, and mixed methods approaches","type":"book"},"uris":["http://www.mendeley.com/documents/?uuid=3e897cc2-8a96-4489-b4e4-a9fb25e244d9"]}],"mendeley":{"formattedCitation":"(Creswell &amp; Creswell, 2017)","plainTextFormattedCitation":"(Creswell &amp; Creswell, 2017)","previouslyFormattedCitation":"(Creswell &amp; Creswell, 2017)"},"properties":{"noteIndex":0},"schema":"https://github.com/citation-style-language/schema/raw/master/csl-citation.json"}</w:instrText>
      </w:r>
      <w:r w:rsidR="00CA20D3">
        <w:fldChar w:fldCharType="separate"/>
      </w:r>
      <w:r w:rsidR="00CA20D3" w:rsidRPr="00CA20D3">
        <w:rPr>
          <w:noProof/>
        </w:rPr>
        <w:t>(Creswell &amp; Creswell, 2017)</w:t>
      </w:r>
      <w:r w:rsidR="00CA20D3">
        <w:fldChar w:fldCharType="end"/>
      </w:r>
      <w:r>
        <w:t>. The approach is appropriate because the study seeks to develop a conceptual understanding of educational transformation rather than evaluate the effectiveness of a particular generative AI application through primary empirical research. The study synthesizes theoretical perspectives and findings from existing scholarship to identify emerging patterns, opportunities, risks, and implications for educational practice.</w:t>
      </w:r>
    </w:p>
    <w:p w14:paraId="5CBD7C85" w14:textId="77777777" w:rsidR="00714440" w:rsidRDefault="00714440" w:rsidP="00714440">
      <w:pPr>
        <w:pStyle w:val="pdq2pgselectionanchorcontainer"/>
        <w:spacing w:before="0" w:beforeAutospacing="0" w:after="0" w:afterAutospacing="0"/>
        <w:ind w:firstLine="720"/>
        <w:jc w:val="both"/>
      </w:pPr>
      <w:r>
        <w:t xml:space="preserve">The sources analyzed include peer-reviewed national and international journal articles, academic books, research reports, and scholarly publications concerning generative artificial intelligence, ChatGPT, artificial intelligence in education, learning theories, digital literacy, AI literacy, academic integrity, assessment, personalized learning, teacher roles, and human-AI interaction. Literature addressing critical thinking, creativity, metacognition, authentic assessment, project-based learning, and process-oriented assessment is also incorporated </w:t>
      </w:r>
      <w:r>
        <w:lastRenderedPageBreak/>
        <w:t>because these concepts are directly relevant to the redesign of education in an AI-mediated environment.</w:t>
      </w:r>
    </w:p>
    <w:p w14:paraId="6C5EF4AC" w14:textId="77777777" w:rsidR="00714440" w:rsidRDefault="00714440" w:rsidP="00714440">
      <w:pPr>
        <w:pStyle w:val="pdq2pgselectionanchorcontainer"/>
        <w:spacing w:before="0" w:beforeAutospacing="0" w:after="0" w:afterAutospacing="0"/>
        <w:ind w:firstLine="720"/>
        <w:jc w:val="both"/>
      </w:pPr>
      <w:r>
        <w:t>The literature was organized into three principal analytical dimensions. The first dimension concerned the transformation of educational purposes and learning processes in response to the ability of generative AI to produce information and educational content. The second examined the changing relationships between teachers, students, and AI systems, particularly concerning autonomy, agency, pedagogical authority, and responsible technology use. The third analyzed the implications of generative AI for assessment, academic integrity, and the production of authentic evidence of student learning.</w:t>
      </w:r>
    </w:p>
    <w:p w14:paraId="11DD5C14" w14:textId="77777777" w:rsidR="00714440" w:rsidRDefault="00714440" w:rsidP="00714440">
      <w:pPr>
        <w:pStyle w:val="pdq2pgselectionanchorcontainer"/>
        <w:spacing w:before="0" w:beforeAutospacing="0" w:after="0" w:afterAutospacing="0"/>
        <w:ind w:firstLine="720"/>
        <w:jc w:val="both"/>
      </w:pPr>
      <w:r>
        <w:t>The analysis was conducted thematically through identification, comparison, interpretation, and synthesis of major arguments in the selected literature. Particular attention was given to areas of convergence and disagreement among scholars concerning the educational benefits and risks of generative AI. The analysis also distinguished between technological capabilities and educational purposes to avoid assuming that technological efficiency automatically produces meaningful learning.</w:t>
      </w:r>
    </w:p>
    <w:p w14:paraId="7A1C342F" w14:textId="4FCE8AAF" w:rsidR="00167B15" w:rsidRPr="00714440" w:rsidRDefault="00714440" w:rsidP="00714440">
      <w:pPr>
        <w:pStyle w:val="pdq2pgselectionanchorcontainer"/>
        <w:spacing w:before="0" w:beforeAutospacing="0" w:after="0" w:afterAutospacing="0"/>
        <w:ind w:firstLine="720"/>
        <w:jc w:val="both"/>
      </w:pPr>
      <w:r>
        <w:t xml:space="preserve">The final stage involved conceptual synthesis to formulate a human-centered framework for education in the generative AI era. The framework connects generative AI capabilities with changes in learning objectives, pedagogical practices, student competencies, teacher roles, and assessment strategies. The proposed framework emphasizes critical thinking, creativity, collaboration, metacognition, </w:t>
      </w:r>
      <w:r>
        <w:t>AI literacy, human agency, ethical responsibility, and authentic assessment.</w:t>
      </w:r>
    </w:p>
    <w:p w14:paraId="270ADA13" w14:textId="77777777" w:rsidR="00167B15" w:rsidRDefault="00167B15" w:rsidP="00167B15">
      <w:pPr>
        <w:spacing w:after="0" w:line="240" w:lineRule="auto"/>
        <w:rPr>
          <w:rFonts w:ascii="Times New Roman" w:eastAsia="Times New Roman" w:hAnsi="Times New Roman" w:cs="Times New Roman"/>
          <w:b/>
          <w:sz w:val="24"/>
          <w:szCs w:val="24"/>
        </w:rPr>
      </w:pPr>
    </w:p>
    <w:p w14:paraId="665CCD10" w14:textId="7BDBFA4A" w:rsidR="00167B15" w:rsidRPr="00714440" w:rsidRDefault="00C97A28" w:rsidP="00714440">
      <w:pPr>
        <w:spacing w:after="0" w:line="240" w:lineRule="auto"/>
        <w:rPr>
          <w:rFonts w:ascii="Times New Roman" w:eastAsia="Times New Roman" w:hAnsi="Times New Roman" w:cs="Times New Roman"/>
          <w:b/>
          <w:sz w:val="24"/>
          <w:szCs w:val="24"/>
          <w:lang w:val="en-US"/>
        </w:rPr>
      </w:pPr>
      <w:r w:rsidRPr="00714440">
        <w:rPr>
          <w:rFonts w:ascii="Times New Roman" w:eastAsia="Times New Roman" w:hAnsi="Times New Roman" w:cs="Times New Roman"/>
          <w:b/>
          <w:sz w:val="24"/>
          <w:szCs w:val="24"/>
          <w:lang w:val="en-US"/>
        </w:rPr>
        <w:t>RESULTS AND DISCUSSION</w:t>
      </w:r>
    </w:p>
    <w:p w14:paraId="411DF107" w14:textId="697143FE" w:rsidR="00C97A28" w:rsidRPr="00714440" w:rsidRDefault="00C97A28" w:rsidP="00714440">
      <w:pPr>
        <w:spacing w:after="0" w:line="240" w:lineRule="auto"/>
        <w:rPr>
          <w:rFonts w:ascii="Times New Roman" w:eastAsia="Times New Roman" w:hAnsi="Times New Roman" w:cs="Times New Roman"/>
          <w:b/>
          <w:sz w:val="24"/>
          <w:szCs w:val="24"/>
          <w:lang w:val="en-US"/>
        </w:rPr>
      </w:pPr>
      <w:r w:rsidRPr="00714440">
        <w:rPr>
          <w:rFonts w:ascii="Times New Roman" w:eastAsia="Times New Roman" w:hAnsi="Times New Roman" w:cs="Times New Roman"/>
          <w:b/>
          <w:sz w:val="24"/>
          <w:szCs w:val="24"/>
          <w:lang w:val="en-US"/>
        </w:rPr>
        <w:t>RESULT</w:t>
      </w:r>
    </w:p>
    <w:p w14:paraId="5E02B1EA" w14:textId="41DB3661" w:rsidR="00714440" w:rsidRPr="00714440" w:rsidRDefault="00714440" w:rsidP="00714440">
      <w:pPr>
        <w:pStyle w:val="Heading2"/>
        <w:spacing w:before="0" w:beforeAutospacing="0" w:after="0" w:afterAutospacing="0"/>
        <w:rPr>
          <w:sz w:val="24"/>
          <w:szCs w:val="24"/>
        </w:rPr>
      </w:pPr>
      <w:r w:rsidRPr="00714440">
        <w:rPr>
          <w:sz w:val="24"/>
          <w:szCs w:val="24"/>
        </w:rPr>
        <w:t>Generative AI and the Transformation of Educational Purposes</w:t>
      </w:r>
    </w:p>
    <w:p w14:paraId="1087DAC0" w14:textId="77777777" w:rsidR="00B23EF2" w:rsidRDefault="00714440" w:rsidP="00B23EF2">
      <w:pPr>
        <w:pStyle w:val="pdq2pgselectionanchorcontainer"/>
        <w:spacing w:before="0" w:beforeAutospacing="0" w:after="0" w:afterAutospacing="0"/>
        <w:ind w:firstLine="720"/>
        <w:jc w:val="both"/>
      </w:pPr>
      <w:r w:rsidRPr="00714440">
        <w:t>The analysis of the literature indicates that the emergence of generative artificial intelligence is transforming the fundamental purposes of education. Conventional educational practices have historically placed considerable emphasis on the acquisition, retention, and reproduction of knowledge through lectures, textbooks, written assignments, examinations, and other forms of structured learning. The development of generative AI challenges this orientation because students can now obtain explanations, summaries, examples, arguments, and other forms of informational content almost instantaneously.</w:t>
      </w:r>
    </w:p>
    <w:p w14:paraId="287050A6" w14:textId="4437175B" w:rsidR="00714440" w:rsidRPr="00714440" w:rsidRDefault="00714440" w:rsidP="00B23EF2">
      <w:pPr>
        <w:pStyle w:val="pdq2pgselectionanchorcontainer"/>
        <w:spacing w:before="0" w:beforeAutospacing="0" w:after="0" w:afterAutospacing="0"/>
        <w:ind w:firstLine="720"/>
        <w:jc w:val="both"/>
      </w:pPr>
      <w:r w:rsidRPr="00714440">
        <w:t xml:space="preserve">As a result, the educational value of simply reproducing information is increasingly limited. Knowledge remains a fundamental component of learning, but the findings suggest that education needs to place greater emphasis on how learners interpret, evaluate, connect, apply, and generate knowledge. In this context, the primary purpose of education should increasingly shift from knowledge transmission toward the development of learners who are capable of questioning information, constructing meaning, solving unfamiliar problems, making informed decisions, and applying knowledge responsibly. Generative AI therefore does not eliminate the importance of knowledge but changes the relationship </w:t>
      </w:r>
      <w:r w:rsidRPr="00714440">
        <w:lastRenderedPageBreak/>
        <w:t>between knowledge and learning by making access to information increasingly easy while making critical engagement with that information increasingly important.</w:t>
      </w:r>
    </w:p>
    <w:p w14:paraId="77D2C6B2" w14:textId="14C87E47" w:rsidR="00714440" w:rsidRPr="00714440" w:rsidRDefault="00714440" w:rsidP="00714440">
      <w:pPr>
        <w:spacing w:after="0" w:line="240" w:lineRule="auto"/>
        <w:outlineLvl w:val="1"/>
        <w:rPr>
          <w:rFonts w:ascii="Times New Roman" w:eastAsia="Times New Roman" w:hAnsi="Times New Roman" w:cs="Times New Roman"/>
          <w:b/>
          <w:bCs/>
          <w:sz w:val="24"/>
          <w:szCs w:val="24"/>
          <w:lang w:val="en-US" w:eastAsia="en-US"/>
          <w14:ligatures w14:val="none"/>
        </w:rPr>
      </w:pPr>
      <w:r w:rsidRPr="00714440">
        <w:rPr>
          <w:rFonts w:ascii="Times New Roman" w:eastAsia="Times New Roman" w:hAnsi="Times New Roman" w:cs="Times New Roman"/>
          <w:b/>
          <w:bCs/>
          <w:sz w:val="24"/>
          <w:szCs w:val="24"/>
          <w:lang w:val="en-US" w:eastAsia="en-US"/>
          <w14:ligatures w14:val="none"/>
        </w:rPr>
        <w:t>Generative AI as a Learning Partner</w:t>
      </w:r>
    </w:p>
    <w:p w14:paraId="330AB385" w14:textId="77777777" w:rsidR="00B23EF2" w:rsidRDefault="00714440" w:rsidP="00B23EF2">
      <w:pPr>
        <w:pStyle w:val="pdq2pgselectionanchorcontainer"/>
        <w:spacing w:before="0" w:beforeAutospacing="0" w:after="0" w:afterAutospacing="0"/>
        <w:ind w:firstLine="720"/>
        <w:jc w:val="both"/>
      </w:pPr>
      <w:r w:rsidRPr="00714440">
        <w:t>The literature demonstrates that generative AI has considerable potential to function as a learning partner by providing interactive explanations, examples, feedback, brainstorming assistance, question generation, and personalized support. Unlike static digital learning resources, generative AI can respond dynamically to users' questions and provide multiple forms of explanation. This characteristic can support students who require additional clarification or alternative approaches to understanding a particular concept.</w:t>
      </w:r>
    </w:p>
    <w:p w14:paraId="6C1D850F" w14:textId="0F4A5E27" w:rsidR="00714440" w:rsidRPr="00714440" w:rsidRDefault="00714440" w:rsidP="00B23EF2">
      <w:pPr>
        <w:pStyle w:val="pdq2pgselectionanchorcontainer"/>
        <w:spacing w:before="0" w:beforeAutospacing="0" w:after="0" w:afterAutospacing="0"/>
        <w:ind w:firstLine="720"/>
        <w:jc w:val="both"/>
      </w:pPr>
      <w:r w:rsidRPr="00714440">
        <w:t>Generative AI can also facilitate exploratory learning because students can use it to compare perspectives, generate hypotheses, examine alternative solutions, and engage in iterative questioning. However, the findings indicate that the pedagogical value of AI depends strongly on how students interact with it. When AI is used primarily to generate answers that students subsequently copy, its contribution to learning may be limited and may even undermine independent thinking. Conversely, when students use AI to question assumptions, compare explanations, verify information, and reflect on their own understanding, the technology can become a productive component of the learning process. Thus, generative AI is most educationally valuable when it supports cognitive engagement rather than replacing it.</w:t>
      </w:r>
    </w:p>
    <w:p w14:paraId="43868DF4" w14:textId="3E5DC1A1" w:rsidR="00714440" w:rsidRPr="00714440" w:rsidRDefault="00714440" w:rsidP="00714440">
      <w:pPr>
        <w:spacing w:after="0" w:line="240" w:lineRule="auto"/>
        <w:outlineLvl w:val="1"/>
        <w:rPr>
          <w:rFonts w:ascii="Times New Roman" w:eastAsia="Times New Roman" w:hAnsi="Times New Roman" w:cs="Times New Roman"/>
          <w:b/>
          <w:bCs/>
          <w:sz w:val="24"/>
          <w:szCs w:val="24"/>
          <w:lang w:val="en-US" w:eastAsia="en-US"/>
          <w14:ligatures w14:val="none"/>
        </w:rPr>
      </w:pPr>
      <w:r w:rsidRPr="00714440">
        <w:rPr>
          <w:rFonts w:ascii="Times New Roman" w:eastAsia="Times New Roman" w:hAnsi="Times New Roman" w:cs="Times New Roman"/>
          <w:b/>
          <w:bCs/>
          <w:sz w:val="24"/>
          <w:szCs w:val="24"/>
          <w:lang w:val="en-US" w:eastAsia="en-US"/>
          <w14:ligatures w14:val="none"/>
        </w:rPr>
        <w:t>Transformation of Teacher Roles</w:t>
      </w:r>
    </w:p>
    <w:p w14:paraId="220BE626" w14:textId="77777777" w:rsidR="00B23EF2" w:rsidRDefault="00714440" w:rsidP="00B23EF2">
      <w:pPr>
        <w:pStyle w:val="pdq2pgselectionanchorcontainer"/>
        <w:spacing w:before="0" w:beforeAutospacing="0" w:after="0" w:afterAutospacing="0"/>
        <w:ind w:firstLine="720"/>
        <w:jc w:val="both"/>
      </w:pPr>
      <w:r w:rsidRPr="00714440">
        <w:t xml:space="preserve">The analysis further indicates that generative AI is changing rather than </w:t>
      </w:r>
      <w:r w:rsidRPr="00714440">
        <w:t>eliminating the role of teachers. As AI becomes increasingly capable of generating explanations, instructional materials, questions, and feedback, teachers may no longer need to function primarily as providers of information. Instead, their role increasingly involves designing meaningful learning experiences, facilitating inquiry, monitoring students' understanding, evaluating the quality of AI-generated content, and supporting students in developing critical and ethical approaches to technology. Teachers remain essential because educational decisions require contextual judgment concerning students' needs, learning objectives, classroom dynamics, and ethical considerations.</w:t>
      </w:r>
    </w:p>
    <w:p w14:paraId="1C00AD13" w14:textId="7195FCB0" w:rsidR="00714440" w:rsidRPr="00714440" w:rsidRDefault="00714440" w:rsidP="00B23EF2">
      <w:pPr>
        <w:pStyle w:val="pdq2pgselectionanchorcontainer"/>
        <w:spacing w:before="0" w:beforeAutospacing="0" w:after="0" w:afterAutospacing="0"/>
        <w:ind w:firstLine="720"/>
        <w:jc w:val="both"/>
      </w:pPr>
      <w:r w:rsidRPr="00714440">
        <w:t>The findings suggest that effective integration of generative AI requires teachers to develop not only technological competence but also pedagogical knowledge concerning when, why, and how AI should be used. Teachers therefore become mediators between technological possibilities and educational purposes, ensuring that the use of AI contributes to meaningful learning rather than simply increasing the efficiency of task completion.</w:t>
      </w:r>
    </w:p>
    <w:p w14:paraId="60FC66CD" w14:textId="68E6F76C" w:rsidR="00714440" w:rsidRPr="00714440" w:rsidRDefault="00714440" w:rsidP="00714440">
      <w:pPr>
        <w:spacing w:after="0" w:line="240" w:lineRule="auto"/>
        <w:outlineLvl w:val="1"/>
        <w:rPr>
          <w:rFonts w:ascii="Times New Roman" w:eastAsia="Times New Roman" w:hAnsi="Times New Roman" w:cs="Times New Roman"/>
          <w:b/>
          <w:bCs/>
          <w:sz w:val="24"/>
          <w:szCs w:val="24"/>
          <w:lang w:val="en-US" w:eastAsia="en-US"/>
          <w14:ligatures w14:val="none"/>
        </w:rPr>
      </w:pPr>
      <w:r w:rsidRPr="00714440">
        <w:rPr>
          <w:rFonts w:ascii="Times New Roman" w:eastAsia="Times New Roman" w:hAnsi="Times New Roman" w:cs="Times New Roman"/>
          <w:b/>
          <w:bCs/>
          <w:sz w:val="24"/>
          <w:szCs w:val="24"/>
          <w:lang w:val="en-US" w:eastAsia="en-US"/>
          <w14:ligatures w14:val="none"/>
        </w:rPr>
        <w:t>Cognitive Offloading and AI Dependency</w:t>
      </w:r>
    </w:p>
    <w:p w14:paraId="605F2263" w14:textId="77777777" w:rsidR="00B23EF2" w:rsidRDefault="00714440" w:rsidP="00B23EF2">
      <w:pPr>
        <w:pStyle w:val="pdq2pgselectionanchorcontainer"/>
        <w:spacing w:before="0" w:beforeAutospacing="0" w:after="0" w:afterAutospacing="0"/>
        <w:ind w:firstLine="720"/>
        <w:jc w:val="both"/>
      </w:pPr>
      <w:r w:rsidRPr="00714440">
        <w:t xml:space="preserve">Despite the opportunities offered by generative AI, the literature identifies cognitive offloading and technological dependency as significant educational risks. Generative AI can perform many cognitive tasks that students would traditionally be expected to complete independently, including summarizing information, generating ideas, composing written responses, solving problems, and explaining concepts. Although delegating some routine tasks </w:t>
      </w:r>
      <w:r w:rsidRPr="00714440">
        <w:lastRenderedPageBreak/>
        <w:t>to technology can increase efficiency, excessive reliance may reduce opportunities for students to engage in productive struggle, develop problem-solving strategies, and construct knowledge through independent effort.</w:t>
      </w:r>
    </w:p>
    <w:p w14:paraId="4E00A974" w14:textId="28F52A29" w:rsidR="00714440" w:rsidRPr="00714440" w:rsidRDefault="00714440" w:rsidP="00B23EF2">
      <w:pPr>
        <w:pStyle w:val="pdq2pgselectionanchorcontainer"/>
        <w:spacing w:before="0" w:beforeAutospacing="0" w:after="0" w:afterAutospacing="0"/>
        <w:ind w:firstLine="720"/>
        <w:jc w:val="both"/>
      </w:pPr>
      <w:r w:rsidRPr="00714440">
        <w:t xml:space="preserve">The findings indicate that students may gradually become dependent on AI when they consistently use it before attempting to understand or solve a problem themselves. This creates a potential discrepancy between </w:t>
      </w:r>
      <w:proofErr w:type="gramStart"/>
      <w:r w:rsidRPr="00714440">
        <w:t>students'</w:t>
      </w:r>
      <w:proofErr w:type="gramEnd"/>
      <w:r w:rsidRPr="00714440">
        <w:t xml:space="preserve"> demonstrated performance and their actual competence because a sophisticated final product may be generated with limited intellectual engagement by the learner. The challenge is therefore not to eliminate cognitive assistance but to ensure that AI-supported learning maintains an appropriate level of productive cognitive effort and requires students to remain intellectually responsible for their learning.</w:t>
      </w:r>
    </w:p>
    <w:p w14:paraId="0A719EF6" w14:textId="3A2F13BD" w:rsidR="00714440" w:rsidRPr="00714440" w:rsidRDefault="00714440" w:rsidP="00714440">
      <w:pPr>
        <w:spacing w:after="0" w:line="240" w:lineRule="auto"/>
        <w:outlineLvl w:val="1"/>
        <w:rPr>
          <w:rFonts w:ascii="Times New Roman" w:eastAsia="Times New Roman" w:hAnsi="Times New Roman" w:cs="Times New Roman"/>
          <w:b/>
          <w:bCs/>
          <w:sz w:val="24"/>
          <w:szCs w:val="24"/>
          <w:lang w:val="en-US" w:eastAsia="en-US"/>
          <w14:ligatures w14:val="none"/>
        </w:rPr>
      </w:pPr>
      <w:r w:rsidRPr="00714440">
        <w:rPr>
          <w:rFonts w:ascii="Times New Roman" w:eastAsia="Times New Roman" w:hAnsi="Times New Roman" w:cs="Times New Roman"/>
          <w:b/>
          <w:bCs/>
          <w:sz w:val="24"/>
          <w:szCs w:val="24"/>
          <w:lang w:val="en-US" w:eastAsia="en-US"/>
          <w14:ligatures w14:val="none"/>
        </w:rPr>
        <w:t>Academic Integrity and Authorship</w:t>
      </w:r>
    </w:p>
    <w:p w14:paraId="6EF64030" w14:textId="77777777" w:rsidR="00B23EF2" w:rsidRDefault="00714440" w:rsidP="00B23EF2">
      <w:pPr>
        <w:pStyle w:val="pdq2pgselectionanchorcontainer"/>
        <w:spacing w:before="0" w:beforeAutospacing="0" w:after="0" w:afterAutospacing="0"/>
        <w:ind w:firstLine="720"/>
        <w:jc w:val="both"/>
      </w:pPr>
      <w:r w:rsidRPr="00714440">
        <w:t>The findings indicate that generative AI has created new challenges for academic integrity and conventional understandings of authorship. Students can use AI systems to generate essays, reports, summaries, answers, and other academic products that may appear to represent their own work. Unlike conventional plagiarism, AI-assisted production may not involve direct copying from a recognizable source, making traditional plagiarism detection approaches insufficient for identifying all forms of inappropriate AI use. The issue consequently extends beyond academic misconduct toward a broader question concerning the relationship between educational products and authentic learning.</w:t>
      </w:r>
    </w:p>
    <w:p w14:paraId="43EBF259" w14:textId="4D346AE9" w:rsidR="00714440" w:rsidRPr="00714440" w:rsidRDefault="00714440" w:rsidP="00B23EF2">
      <w:pPr>
        <w:pStyle w:val="pdq2pgselectionanchorcontainer"/>
        <w:spacing w:before="0" w:beforeAutospacing="0" w:after="0" w:afterAutospacing="0"/>
        <w:ind w:firstLine="720"/>
        <w:jc w:val="both"/>
      </w:pPr>
      <w:r w:rsidRPr="00714440">
        <w:t>If a student submits a sophisticated text but cannot explain its arguments, sources, or reasoning, the product provides limited evidence of genuine learning. The findings therefore indicate that academic integrity policies need to be accompanied by changes in assessment design. Educational institutions should increasingly emphasize transparency regarding AI use while creating assessment environments in which students' intellectual processes, reasoning, reflection, and ability to defend their work become visible.</w:t>
      </w:r>
    </w:p>
    <w:p w14:paraId="4DBD15E6" w14:textId="2B08C697" w:rsidR="00714440" w:rsidRPr="00714440" w:rsidRDefault="00714440" w:rsidP="00714440">
      <w:pPr>
        <w:spacing w:after="0" w:line="240" w:lineRule="auto"/>
        <w:outlineLvl w:val="1"/>
        <w:rPr>
          <w:rFonts w:ascii="Times New Roman" w:eastAsia="Times New Roman" w:hAnsi="Times New Roman" w:cs="Times New Roman"/>
          <w:b/>
          <w:bCs/>
          <w:sz w:val="24"/>
          <w:szCs w:val="24"/>
          <w:lang w:val="en-US" w:eastAsia="en-US"/>
          <w14:ligatures w14:val="none"/>
        </w:rPr>
      </w:pPr>
      <w:r w:rsidRPr="00714440">
        <w:rPr>
          <w:rFonts w:ascii="Times New Roman" w:eastAsia="Times New Roman" w:hAnsi="Times New Roman" w:cs="Times New Roman"/>
          <w:b/>
          <w:bCs/>
          <w:sz w:val="24"/>
          <w:szCs w:val="24"/>
          <w:lang w:val="en-US" w:eastAsia="en-US"/>
          <w14:ligatures w14:val="none"/>
        </w:rPr>
        <w:t>Transformation of Assessment</w:t>
      </w:r>
    </w:p>
    <w:p w14:paraId="3004F977" w14:textId="77777777" w:rsidR="00B23EF2" w:rsidRDefault="00714440" w:rsidP="00B23EF2">
      <w:pPr>
        <w:pStyle w:val="pdq2pgselectionanchorcontainer"/>
        <w:spacing w:before="0" w:beforeAutospacing="0" w:after="0" w:afterAutospacing="0"/>
        <w:ind w:firstLine="720"/>
        <w:jc w:val="both"/>
      </w:pPr>
      <w:r w:rsidRPr="00714440">
        <w:t>The analysis demonstrates that assessment is one of the educational domains most directly affected by generative AI. Traditional assessments frequently emphasize final products, including written assignments, standardized examinations, essays, reports, and structured problem-solving tasks. Generative AI challenges these approaches because students can increasingly obtain assistance in producing polished responses. The findings suggest that assessment should therefore place greater emphasis on processes of learning and evidence of individual understanding. Process-oriented assessment can involve iterative drafts, reflective explanations, oral presentations, discussions, demonstrations, portfolios, authentic projects, and opportunities for students to justify their decisions.</w:t>
      </w:r>
    </w:p>
    <w:p w14:paraId="69FE0307" w14:textId="21901867" w:rsidR="00714440" w:rsidRPr="00714440" w:rsidRDefault="00714440" w:rsidP="00B23EF2">
      <w:pPr>
        <w:pStyle w:val="pdq2pgselectionanchorcontainer"/>
        <w:spacing w:before="0" w:beforeAutospacing="0" w:after="0" w:afterAutospacing="0"/>
        <w:ind w:firstLine="720"/>
        <w:jc w:val="both"/>
      </w:pPr>
      <w:r w:rsidRPr="00714440">
        <w:t xml:space="preserve">Generative AI can also be incorporated directly into assessment by asking students to evaluate AI-generated responses, identify errors, verify information, compare alternative outputs, and improve machine-generated content. Such approaches transform AI </w:t>
      </w:r>
      <w:r w:rsidRPr="00714440">
        <w:lastRenderedPageBreak/>
        <w:t>from an external threat to assessment into a pedagogical resource for evaluating higher-order thinking. The central concern consequently shifts from determining whether a student has used AI toward determining whether the student possesses the knowledge and reasoning necessary to use, evaluate, and challenge AI appropriately.</w:t>
      </w:r>
    </w:p>
    <w:p w14:paraId="5B25926B" w14:textId="49E32019" w:rsidR="00C97A28" w:rsidRDefault="00C97A28" w:rsidP="00167B15">
      <w:pPr>
        <w:spacing w:after="0" w:line="240" w:lineRule="auto"/>
        <w:rPr>
          <w:rFonts w:ascii="Times New Roman" w:eastAsia="Times New Roman" w:hAnsi="Times New Roman" w:cs="Times New Roman"/>
          <w:bCs/>
          <w:sz w:val="24"/>
          <w:szCs w:val="24"/>
          <w:lang w:val="en-US"/>
        </w:rPr>
      </w:pPr>
    </w:p>
    <w:p w14:paraId="29533F11" w14:textId="77777777" w:rsidR="00B23EF2" w:rsidRDefault="00B23EF2" w:rsidP="00167B15">
      <w:pPr>
        <w:spacing w:after="0" w:line="240" w:lineRule="auto"/>
        <w:rPr>
          <w:rFonts w:ascii="Times New Roman" w:eastAsia="Times New Roman" w:hAnsi="Times New Roman" w:cs="Times New Roman"/>
          <w:b/>
          <w:sz w:val="24"/>
          <w:szCs w:val="24"/>
          <w:lang w:val="en-US"/>
        </w:rPr>
      </w:pPr>
    </w:p>
    <w:p w14:paraId="7D13AA67" w14:textId="63421BD8" w:rsidR="00C97A28" w:rsidRPr="00B23EF2" w:rsidRDefault="00C97A28" w:rsidP="00B23EF2">
      <w:pPr>
        <w:spacing w:after="0" w:line="240" w:lineRule="auto"/>
        <w:rPr>
          <w:rFonts w:ascii="Times New Roman" w:eastAsia="Times New Roman" w:hAnsi="Times New Roman" w:cs="Times New Roman"/>
          <w:b/>
          <w:sz w:val="24"/>
          <w:szCs w:val="24"/>
          <w:lang w:val="en-US"/>
        </w:rPr>
      </w:pPr>
      <w:r w:rsidRPr="00B23EF2">
        <w:rPr>
          <w:rFonts w:ascii="Times New Roman" w:eastAsia="Times New Roman" w:hAnsi="Times New Roman" w:cs="Times New Roman"/>
          <w:b/>
          <w:sz w:val="24"/>
          <w:szCs w:val="24"/>
          <w:lang w:val="en-US"/>
        </w:rPr>
        <w:t>DISCUSSION</w:t>
      </w:r>
    </w:p>
    <w:p w14:paraId="5D0387A7" w14:textId="333080E1" w:rsidR="00B23EF2" w:rsidRPr="00B23EF2" w:rsidRDefault="00B23EF2" w:rsidP="00B23EF2">
      <w:pPr>
        <w:pStyle w:val="Heading2"/>
        <w:spacing w:before="0" w:beforeAutospacing="0" w:after="0" w:afterAutospacing="0"/>
        <w:rPr>
          <w:sz w:val="24"/>
          <w:szCs w:val="24"/>
        </w:rPr>
      </w:pPr>
      <w:r w:rsidRPr="00B23EF2">
        <w:rPr>
          <w:sz w:val="24"/>
          <w:szCs w:val="24"/>
        </w:rPr>
        <w:t>Beyond ChatGPT: Generative AI as an Educational Paradigm Shift</w:t>
      </w:r>
    </w:p>
    <w:p w14:paraId="5FB760B1" w14:textId="36F023F2" w:rsidR="00B23EF2" w:rsidRDefault="00B23EF2" w:rsidP="00B23EF2">
      <w:pPr>
        <w:pStyle w:val="pdq2pgselectionanchorcontainer"/>
        <w:spacing w:before="0" w:beforeAutospacing="0" w:after="0" w:afterAutospacing="0"/>
        <w:ind w:firstLine="720"/>
        <w:jc w:val="both"/>
      </w:pPr>
      <w:r w:rsidRPr="00B23EF2">
        <w:t>The findings demonstrate that the educational significance of generative AI extends beyond ChatGPT as an individual technological platform. ChatGPT represents one prominent manifestation of a broader technological transformation involving systems capable of generating text, images, code, audio, video, explanations, and other forms of content. Consequently, educational responses that focus exclusively on regulating a particular platform may quickly become outdated as new AI systems emerge</w:t>
      </w:r>
      <w:r w:rsidR="00C074B6">
        <w:t xml:space="preserve"> </w:t>
      </w:r>
      <w:r w:rsidR="00C074B6">
        <w:fldChar w:fldCharType="begin" w:fldLock="1"/>
      </w:r>
      <w:r w:rsidR="00C074B6">
        <w:instrText>ADDIN CSL_CITATION {"citationItems":[{"id":"ITEM-1","itemData":{"DOI":"10.14421/jpi.2020.91.29-56","ISSN":"2356-3877","author":[{"dropping-particle":"","family":"Fanani","given":"Ahmad","non-dropping-particle":"","parse-names":false,"suffix":""},{"dropping-particle":"","family":"Yasin","given":"Ilyas","non-dropping-particle":"","parse-names":false,"suffix":""},{"dropping-particle":"","family":"Murniati","given":"Andi","non-dropping-particle":"","parse-names":false,"suffix":""}],"container-title":"Jurnal Pendidikan Islam","id":"ITEM-1","issue":"1","issued":{"date-parts":[["2020"]]},"page":"29-56","title":"Politics of Education in Curriculum Development Policy in Indonesia from 1947 to 2013: A Documentary Research","type":"article-journal","volume":"9"},"uris":["http://www.mendeley.com/documents/?uuid=23c62c31-4013-4337-a08a-d0a59ffa1a0c"]}],"mendeley":{"formattedCitation":"(Fanani et al., 2020)","plainTextFormattedCitation":"(Fanani et al., 2020)","previouslyFormattedCitation":"(Fanani et al., 2020)"},"properties":{"noteIndex":0},"schema":"https://github.com/citation-style-language/schema/raw/master/csl-citation.json"}</w:instrText>
      </w:r>
      <w:r w:rsidR="00C074B6">
        <w:fldChar w:fldCharType="separate"/>
      </w:r>
      <w:r w:rsidR="00C074B6" w:rsidRPr="00C074B6">
        <w:rPr>
          <w:noProof/>
        </w:rPr>
        <w:t>(Fanani et al., 2020)</w:t>
      </w:r>
      <w:r w:rsidR="00C074B6">
        <w:fldChar w:fldCharType="end"/>
      </w:r>
      <w:r w:rsidRPr="00B23EF2">
        <w:t>.</w:t>
      </w:r>
    </w:p>
    <w:p w14:paraId="6B77FCF7" w14:textId="55F69E63" w:rsidR="00B23EF2" w:rsidRPr="00B23EF2" w:rsidRDefault="00B23EF2" w:rsidP="00B23EF2">
      <w:pPr>
        <w:pStyle w:val="pdq2pgselectionanchorcontainer"/>
        <w:spacing w:before="0" w:beforeAutospacing="0" w:after="0" w:afterAutospacing="0"/>
        <w:ind w:firstLine="720"/>
        <w:jc w:val="both"/>
      </w:pPr>
      <w:r w:rsidRPr="00B23EF2">
        <w:t xml:space="preserve">The more fundamental issue concerns how education should operate in an environment where learners have continuous access to systems capable of generating sophisticated informational and academic products. This situation requires educational institutions to reconsider not only technology policies but also curriculum objectives, pedagogical strategies, teacher competencies, and assessment models. The central question should therefore move beyond whether ChatGPT should be permitted toward a broader inquiry concerning what forms of knowledge, competence, and human capability </w:t>
      </w:r>
      <w:r w:rsidRPr="00B23EF2">
        <w:t>education should prioritize when generative technologies can increasingly perform conventional academic tasks.</w:t>
      </w:r>
    </w:p>
    <w:p w14:paraId="75306DC3" w14:textId="45F427CF" w:rsidR="00B23EF2" w:rsidRPr="00B23EF2" w:rsidRDefault="00B23EF2" w:rsidP="00B23EF2">
      <w:pPr>
        <w:pStyle w:val="Heading2"/>
        <w:spacing w:before="0" w:beforeAutospacing="0" w:after="0" w:afterAutospacing="0"/>
        <w:rPr>
          <w:sz w:val="24"/>
          <w:szCs w:val="24"/>
        </w:rPr>
      </w:pPr>
      <w:r w:rsidRPr="00B23EF2">
        <w:rPr>
          <w:sz w:val="24"/>
          <w:szCs w:val="24"/>
        </w:rPr>
        <w:t>From Knowledge Transmission to Knowledge Construction</w:t>
      </w:r>
    </w:p>
    <w:p w14:paraId="460E99A7" w14:textId="45C5A834" w:rsidR="00B23EF2" w:rsidRDefault="00B23EF2" w:rsidP="00B23EF2">
      <w:pPr>
        <w:pStyle w:val="pdq2pgselectionanchorcontainer"/>
        <w:spacing w:before="0" w:beforeAutospacing="0" w:after="0" w:afterAutospacing="0"/>
        <w:ind w:firstLine="720"/>
        <w:jc w:val="both"/>
      </w:pPr>
      <w:r w:rsidRPr="00B23EF2">
        <w:t>The emergence of generative AI strengthens the argument for shifting education from knowledge transmission toward knowledge construction. In conventional learning environments, teachers and educational materials have historically functioned as major sources of information, while students are expected to acquire and reproduce that information. Generative AI changes this relationship because information and explanations can now be generated on demand. However, greater access to information does not automatically result in greater understanding. Students still need to interpret information, evaluate its reliability, connect different ideas, identify contradictions, and apply knowledge to specific contexts</w:t>
      </w:r>
      <w:r w:rsidR="00C074B6">
        <w:t xml:space="preserve"> </w:t>
      </w:r>
      <w:r w:rsidR="00C074B6">
        <w:fldChar w:fldCharType="begin" w:fldLock="1"/>
      </w:r>
      <w:r w:rsidR="00C074B6">
        <w:instrText>ADDIN CSL_CITATION {"citationItems":[{"id":"ITEM-1","itemData":{"DOI":"10.15575/jpi.v6i1.8352","ISSN":"2460-8149","author":[{"dropping-particle":"","family":"Nurhayati","given":"Nurhayati","non-dropping-particle":"","parse-names":false,"suffix":""},{"dropping-particle":"","family":"Hamid","given":"Abdul","non-dropping-particle":"","parse-names":false,"suffix":""}],"container-title":"Jurnal Pendidikan Islam","id":"ITEM-1","issue":"1","issued":{"date-parts":[["2020"]]},"page":"109-126","title":"Radicalism Prevention through Islamic Religious Education Learning at Elementary School","type":"article-journal","volume":"6"},"uris":["http://www.mendeley.com/documents/?uuid=cd0d3651-0e9d-4365-9421-56c74b194668"]}],"mendeley":{"formattedCitation":"(Nurhayati &amp; Hamid, 2020)","plainTextFormattedCitation":"(Nurhayati &amp; Hamid, 2020)","previouslyFormattedCitation":"(Nurhayati &amp; Hamid, 2020)"},"properties":{"noteIndex":0},"schema":"https://github.com/citation-style-language/schema/raw/master/csl-citation.json"}</w:instrText>
      </w:r>
      <w:r w:rsidR="00C074B6">
        <w:fldChar w:fldCharType="separate"/>
      </w:r>
      <w:r w:rsidR="00C074B6" w:rsidRPr="00C074B6">
        <w:rPr>
          <w:noProof/>
        </w:rPr>
        <w:t>(Nurhayati &amp; Hamid, 2020)</w:t>
      </w:r>
      <w:r w:rsidR="00C074B6">
        <w:fldChar w:fldCharType="end"/>
      </w:r>
      <w:r w:rsidRPr="00B23EF2">
        <w:t>.</w:t>
      </w:r>
    </w:p>
    <w:p w14:paraId="5DEFD08B" w14:textId="64DE7A81" w:rsidR="00B23EF2" w:rsidRPr="00B23EF2" w:rsidRDefault="00B23EF2" w:rsidP="00B23EF2">
      <w:pPr>
        <w:pStyle w:val="pdq2pgselectionanchorcontainer"/>
        <w:spacing w:before="0" w:beforeAutospacing="0" w:after="0" w:afterAutospacing="0"/>
        <w:ind w:firstLine="720"/>
        <w:jc w:val="both"/>
      </w:pPr>
      <w:r w:rsidRPr="00B23EF2">
        <w:t>Therefore, the educational role of teachers should increasingly involve designing situations in which students actively construct meaning rather than simply receive information. Generative AI can support this process by providing alternative explanations and perspectives, but the learner must remain responsible for evaluating and integrating the information. The transition from knowledge transmission to knowledge construction consequently represents not a rejection of knowledge but a redefinition of how knowledge becomes educationally meaningful.</w:t>
      </w:r>
    </w:p>
    <w:p w14:paraId="54204454" w14:textId="17ABF387" w:rsidR="00B23EF2" w:rsidRPr="00B23EF2" w:rsidRDefault="00B23EF2" w:rsidP="00B23EF2">
      <w:pPr>
        <w:pStyle w:val="Heading2"/>
        <w:spacing w:before="0" w:beforeAutospacing="0" w:after="0" w:afterAutospacing="0"/>
        <w:rPr>
          <w:sz w:val="24"/>
          <w:szCs w:val="24"/>
        </w:rPr>
      </w:pPr>
      <w:r w:rsidRPr="00B23EF2">
        <w:rPr>
          <w:sz w:val="24"/>
          <w:szCs w:val="24"/>
        </w:rPr>
        <w:t>From Answering Questions to Asking Better Questions</w:t>
      </w:r>
    </w:p>
    <w:p w14:paraId="5C2330A7" w14:textId="744D929F" w:rsidR="0080145E" w:rsidRDefault="00B23EF2" w:rsidP="00B23EF2">
      <w:pPr>
        <w:pStyle w:val="pdq2pgselectionanchorcontainer"/>
        <w:spacing w:before="0" w:beforeAutospacing="0" w:after="0" w:afterAutospacing="0"/>
        <w:ind w:firstLine="720"/>
        <w:jc w:val="both"/>
      </w:pPr>
      <w:r w:rsidRPr="00B23EF2">
        <w:t xml:space="preserve">Another important implication of generative AI concerns the changing value of question formulation. AI </w:t>
      </w:r>
      <w:r w:rsidRPr="00B23EF2">
        <w:lastRenderedPageBreak/>
        <w:t>systems are increasingly capable of providing answers to questions ranging from simple factual inquiries to complex analytical problems. In such an environment, the ability to produce an answer may become less distinctive than the ability to formulate a meaningful question and determine what kind of answer is required. Education should therefore cultivate students' capacity to identify problems, formulate questions, establish assumptions, and explore alternative interpretations</w:t>
      </w:r>
      <w:r w:rsidR="00C074B6">
        <w:t xml:space="preserve"> </w:t>
      </w:r>
      <w:r w:rsidR="00C074B6">
        <w:fldChar w:fldCharType="begin" w:fldLock="1"/>
      </w:r>
      <w:r w:rsidR="00C074B6">
        <w:instrText>ADDIN CSL_CITATION {"citationItems":[{"id":"ITEM-1","itemData":{"DOI":"10.51590/jpm_assunnah.v2i3.285","ISSN":"2830-2656","author":[{"dropping-particle":"","family":"Ramadona","given":"Syahri","non-dropping-particle":"","parse-names":false,"suffix":""},{"dropping-particle":"","family":"Qur’ani","given":"Izzatil","non-dropping-particle":"","parse-names":false,"suffix":""},{"dropping-particle":"","family":"Dewi","given":"Lusi Yana","non-dropping-particle":"","parse-names":false,"suffix":""},{"dropping-particle":"","family":"Dini","given":"Nadia Rofian","non-dropping-particle":"","parse-names":false,"suffix":""},{"dropping-particle":"","family":"Mawaddah","given":"Sakinah","non-dropping-particle":"","parse-names":false,"suffix":""}],"container-title":"Al-Arkhabiil: Jurnal Pengabdian Masyarakat","id":"ITEM-1","issue":"3","issued":{"date-parts":[["2022"]]},"page":"50-63","title":"Educating the Rabbani Generation: A Diffusion of Islamic Scholars Through Participatory Action Research","type":"article-journal","volume":"2"},"uris":["http://www.mendeley.com/documents/?uuid=aa5708a6-157b-4d1c-b3b3-6a648122c11c"]}],"mendeley":{"formattedCitation":"(Ramadona et al., 2022)","plainTextFormattedCitation":"(Ramadona et al., 2022)","previouslyFormattedCitation":"(Ramadona et al., 2022)"},"properties":{"noteIndex":0},"schema":"https://github.com/citation-style-language/schema/raw/master/csl-citation.json"}</w:instrText>
      </w:r>
      <w:r w:rsidR="00C074B6">
        <w:fldChar w:fldCharType="separate"/>
      </w:r>
      <w:r w:rsidR="00C074B6" w:rsidRPr="00C074B6">
        <w:rPr>
          <w:noProof/>
        </w:rPr>
        <w:t>(Ramadona et al., 2022)</w:t>
      </w:r>
      <w:r w:rsidR="00C074B6">
        <w:fldChar w:fldCharType="end"/>
      </w:r>
      <w:r w:rsidRPr="00B23EF2">
        <w:t>.</w:t>
      </w:r>
    </w:p>
    <w:p w14:paraId="74EA3091" w14:textId="71C2E048" w:rsidR="00B23EF2" w:rsidRPr="00B23EF2" w:rsidRDefault="00B23EF2" w:rsidP="00B23EF2">
      <w:pPr>
        <w:pStyle w:val="pdq2pgselectionanchorcontainer"/>
        <w:spacing w:before="0" w:beforeAutospacing="0" w:after="0" w:afterAutospacing="0"/>
        <w:ind w:firstLine="720"/>
        <w:jc w:val="both"/>
      </w:pPr>
      <w:r w:rsidRPr="00B23EF2">
        <w:t>Question formulation requires students to understand the context of a problem and determine what information is relevant. It also encourages deeper engagement because students must evaluate whether an AI-generated response actually addresses the underlying issue. Generative AI can consequently become a tool for developing inquiry when students are encouraged to ask progressively more sophisticated questions rather than simply requesting immediate solutions.</w:t>
      </w:r>
    </w:p>
    <w:p w14:paraId="575613A6" w14:textId="48A7E301" w:rsidR="00B23EF2" w:rsidRPr="00B23EF2" w:rsidRDefault="00B23EF2" w:rsidP="00B23EF2">
      <w:pPr>
        <w:pStyle w:val="Heading2"/>
        <w:spacing w:before="0" w:beforeAutospacing="0" w:after="0" w:afterAutospacing="0"/>
        <w:rPr>
          <w:sz w:val="24"/>
          <w:szCs w:val="24"/>
        </w:rPr>
      </w:pPr>
      <w:r w:rsidRPr="00B23EF2">
        <w:rPr>
          <w:sz w:val="24"/>
          <w:szCs w:val="24"/>
        </w:rPr>
        <w:t>From AI Literacy to AI Criticality</w:t>
      </w:r>
    </w:p>
    <w:p w14:paraId="408B2DBE" w14:textId="5BE60140" w:rsidR="0080145E" w:rsidRDefault="00B23EF2" w:rsidP="0080145E">
      <w:pPr>
        <w:pStyle w:val="pdq2pgselectionanchorcontainer"/>
        <w:spacing w:before="0" w:beforeAutospacing="0" w:after="0" w:afterAutospacing="0"/>
        <w:ind w:firstLine="720"/>
        <w:jc w:val="both"/>
      </w:pPr>
      <w:r w:rsidRPr="00B23EF2">
        <w:t>The findings further indicate that AI literacy should extend beyond the technical ability to operate generative AI systems. Students need to develop what can be conceptualized as AI criticality, namely the capacity to critically evaluate AI-generated information, recognize potential errors and biases, verify claims, assess the quality of sources, and determine the appropriateness of AI outputs in particular contexts. This distinction is important because generative AI can produce responses that appear authoritative even when they contain factual inaccuracies or unsupported claims</w:t>
      </w:r>
      <w:r w:rsidR="00C074B6">
        <w:t xml:space="preserve"> </w:t>
      </w:r>
      <w:r w:rsidR="00C074B6">
        <w:fldChar w:fldCharType="begin" w:fldLock="1"/>
      </w:r>
      <w:r w:rsidR="00C074B6">
        <w:instrText>ADDIN CSL_CITATION {"citationItems":[{"id":"ITEM-1","itemData":{"DOI":"https://doi.org/10.1080/02619768.2020.1849130","ISSN":"0261-9768","author":[{"dropping-particle":"","family":"Tatto","given":"Maria Teresa","non-dropping-particle":"","parse-names":false,"suffix":""}],"container-title":"European Journal of Teacher Education","id":"ITEM-1","issue":"1","issued":{"date-parts":[["2021"]]},"page":"20-44","publisher":"Taylor &amp; Francis","title":"Professionalism in teaching and the role of teacher education","type":"article-journal","volume":"44"},"uris":["http://www.mendeley.com/documents/?uuid=93afe742-1f46-481d-88f1-bc0b3c4cab8f"]}],"mendeley":{"formattedCitation":"(Tatto, 2021)","plainTextFormattedCitation":"(Tatto, 2021)","previouslyFormattedCitation":"(Tatto, 2021)"},"properties":{"noteIndex":0},"schema":"https://github.com/citation-style-language/schema/raw/master/csl-citation.json"}</w:instrText>
      </w:r>
      <w:r w:rsidR="00C074B6">
        <w:fldChar w:fldCharType="separate"/>
      </w:r>
      <w:r w:rsidR="00C074B6" w:rsidRPr="00C074B6">
        <w:rPr>
          <w:noProof/>
        </w:rPr>
        <w:t>(Tatto, 2021)</w:t>
      </w:r>
      <w:r w:rsidR="00C074B6">
        <w:fldChar w:fldCharType="end"/>
      </w:r>
      <w:r w:rsidRPr="00B23EF2">
        <w:t>.</w:t>
      </w:r>
    </w:p>
    <w:p w14:paraId="1C3CB394" w14:textId="6BC35B1C" w:rsidR="00B23EF2" w:rsidRPr="00B23EF2" w:rsidRDefault="00B23EF2" w:rsidP="0080145E">
      <w:pPr>
        <w:pStyle w:val="pdq2pgselectionanchorcontainer"/>
        <w:spacing w:before="0" w:beforeAutospacing="0" w:after="0" w:afterAutospacing="0"/>
        <w:ind w:firstLine="720"/>
        <w:jc w:val="both"/>
      </w:pPr>
      <w:r w:rsidRPr="00B23EF2">
        <w:t>Students who possess only operational AI skills may become efficient users without becoming critical users. Education therefore needs to develop learners who understand both the capabilities and limitations of AI. AI criticality should become integrated into disciplinary learning so that students learn to evaluate AI-generated content using the standards of their respective fields. In this model, the goal is not merely to teach students how to use AI but to teach them when to trust it, when to question it, and when to reject its outputs.</w:t>
      </w:r>
    </w:p>
    <w:p w14:paraId="5FC1FA4C" w14:textId="70023399" w:rsidR="00B23EF2" w:rsidRPr="00B23EF2" w:rsidRDefault="00B23EF2" w:rsidP="00B23EF2">
      <w:pPr>
        <w:pStyle w:val="Heading2"/>
        <w:spacing w:before="0" w:beforeAutospacing="0" w:after="0" w:afterAutospacing="0"/>
        <w:rPr>
          <w:sz w:val="24"/>
          <w:szCs w:val="24"/>
        </w:rPr>
      </w:pPr>
      <w:r w:rsidRPr="00B23EF2">
        <w:rPr>
          <w:sz w:val="24"/>
          <w:szCs w:val="24"/>
        </w:rPr>
        <w:t>Reimagining Assessment in the Generative AI Era</w:t>
      </w:r>
    </w:p>
    <w:p w14:paraId="2CB0517E" w14:textId="58824D03" w:rsidR="0080145E" w:rsidRDefault="00B23EF2" w:rsidP="0080145E">
      <w:pPr>
        <w:pStyle w:val="pdq2pgselectionanchorcontainer"/>
        <w:spacing w:before="0" w:beforeAutospacing="0" w:after="0" w:afterAutospacing="0"/>
        <w:ind w:firstLine="720"/>
        <w:jc w:val="both"/>
      </w:pPr>
      <w:r w:rsidRPr="00B23EF2">
        <w:t>The transformation of assessment represents perhaps the most urgent implication of generative AI. Traditional assessment frequently assumes that a student's submitted product provides reasonable evidence of the student's knowledge and skills. Generative AI weakens this assumption because the production of sophisticated text, answers, and other academic outputs can increasingly involve substantial machine assistance. Consequently, assessment needs to move toward forms that make students' intellectual processes more visible</w:t>
      </w:r>
      <w:r w:rsidR="00C074B6">
        <w:t xml:space="preserve"> </w:t>
      </w:r>
      <w:r w:rsidR="00C074B6">
        <w:fldChar w:fldCharType="begin" w:fldLock="1"/>
      </w:r>
      <w:r w:rsidR="00C074B6">
        <w:instrText>ADDIN CSL_CITATION {"citationItems":[{"id":"ITEM-1","itemData":{"DOI":"https://doi.org/10.1080/27706869.2025.2556586","ISSN":"2770-6869","author":[{"dropping-particle":"","family":"Hasan","given":"Moh Ferdi","non-dropping-particle":"","parse-names":false,"suffix":""}],"container-title":"Legal Pluralism and Critical Social Analysis","id":"ITEM-1","issued":{"date-parts":[["2025"]]},"page":"1-25","publisher":"Taylor &amp; Francis","title":"Educational authority and regulatory legitimacy: comparing normative systems in pesantren and public schools in Indonesia","type":"article-journal"},"uris":["http://www.mendeley.com/documents/?uuid=16dbc1d9-29cd-4aea-89d9-738ddd412622"]}],"mendeley":{"formattedCitation":"(Hasan, 2025)","plainTextFormattedCitation":"(Hasan, 2025)","previouslyFormattedCitation":"(Hasan, 2025)"},"properties":{"noteIndex":0},"schema":"https://github.com/citation-style-language/schema/raw/master/csl-citation.json"}</w:instrText>
      </w:r>
      <w:r w:rsidR="00C074B6">
        <w:fldChar w:fldCharType="separate"/>
      </w:r>
      <w:r w:rsidR="00C074B6" w:rsidRPr="00C074B6">
        <w:rPr>
          <w:noProof/>
        </w:rPr>
        <w:t>(Hasan, 2025)</w:t>
      </w:r>
      <w:r w:rsidR="00C074B6">
        <w:fldChar w:fldCharType="end"/>
      </w:r>
      <w:r w:rsidRPr="00B23EF2">
        <w:t>.</w:t>
      </w:r>
    </w:p>
    <w:p w14:paraId="2FAC2507" w14:textId="0F3CDB28" w:rsidR="00B23EF2" w:rsidRPr="00B23EF2" w:rsidRDefault="00B23EF2" w:rsidP="0080145E">
      <w:pPr>
        <w:pStyle w:val="pdq2pgselectionanchorcontainer"/>
        <w:spacing w:before="0" w:beforeAutospacing="0" w:after="0" w:afterAutospacing="0"/>
        <w:ind w:firstLine="720"/>
        <w:jc w:val="both"/>
      </w:pPr>
      <w:r w:rsidRPr="00B23EF2">
        <w:t xml:space="preserve">Authentic assessment, project-based activities, oral examinations, portfolios, demonstrations, reflective tasks, and iterative assignments can provide stronger evidence of understanding because they require students to explain decisions and demonstrate application. Assessment can also explicitly incorporate AI by asking students to critique an AI-generated response, identify inaccuracies, compare different AI </w:t>
      </w:r>
      <w:r w:rsidRPr="00B23EF2">
        <w:lastRenderedPageBreak/>
        <w:t>outputs, or revise machine-generated content based on disciplinary standards. Such assessment designs do not attempt to make education artificially resistant to technology. Instead, they recognize that AI is part of the contemporary learning environment and assess whether students can use it critically and responsibly.</w:t>
      </w:r>
    </w:p>
    <w:p w14:paraId="7A155B33" w14:textId="09DA5B84" w:rsidR="00B23EF2" w:rsidRPr="00B23EF2" w:rsidRDefault="00B23EF2" w:rsidP="00B23EF2">
      <w:pPr>
        <w:pStyle w:val="Heading2"/>
        <w:spacing w:before="0" w:beforeAutospacing="0" w:after="0" w:afterAutospacing="0"/>
        <w:rPr>
          <w:sz w:val="24"/>
          <w:szCs w:val="24"/>
        </w:rPr>
      </w:pPr>
      <w:r w:rsidRPr="00B23EF2">
        <w:rPr>
          <w:sz w:val="24"/>
          <w:szCs w:val="24"/>
        </w:rPr>
        <w:t>The Changing Role of Teachers</w:t>
      </w:r>
    </w:p>
    <w:p w14:paraId="4B15AB39" w14:textId="77777777" w:rsidR="0080145E" w:rsidRDefault="00B23EF2" w:rsidP="0080145E">
      <w:pPr>
        <w:pStyle w:val="pdq2pgselectionanchorcontainer"/>
        <w:spacing w:before="0" w:beforeAutospacing="0" w:after="0" w:afterAutospacing="0"/>
        <w:ind w:firstLine="720"/>
        <w:jc w:val="both"/>
      </w:pPr>
      <w:r w:rsidRPr="00B23EF2">
        <w:t>The transformation brought by generative AI reinforces the importance of teachers as designers and facilitators of learning rather than reducing their relevance. AI can generate instructional materials and explanations, but it cannot independently determine the educational significance of a particular learning activity for a specific group of students. Teachers understand classroom contexts, recognize students' difficulties, facilitate interpersonal relationships, and make pedagogical decisions based on developmental and cultural considerations.</w:t>
      </w:r>
    </w:p>
    <w:p w14:paraId="2058B5AE" w14:textId="1636B049" w:rsidR="00B23EF2" w:rsidRPr="00B23EF2" w:rsidRDefault="00B23EF2" w:rsidP="0080145E">
      <w:pPr>
        <w:pStyle w:val="pdq2pgselectionanchorcontainer"/>
        <w:spacing w:before="0" w:beforeAutospacing="0" w:after="0" w:afterAutospacing="0"/>
        <w:ind w:firstLine="720"/>
        <w:jc w:val="both"/>
      </w:pPr>
      <w:r w:rsidRPr="00B23EF2">
        <w:t>Their role therefore increasingly involves creating learning environments in which students are challenged to reason, collaborate, question, create, and reflect. Teachers also need to help students establish responsible relationships with AI by modeling verification, transparency, ethical decision-making, and appropriate attribution. The future of teaching is therefore unlikely to involve a simple competition between teachers and machines. Instead, it will involve a deliberate division of responsibilities in which AI supports certain cognitive and instructional tasks while teachers retain responsibility for pedagogical judgment and human development.</w:t>
      </w:r>
    </w:p>
    <w:p w14:paraId="063E9B52" w14:textId="246A8FEC" w:rsidR="00B23EF2" w:rsidRPr="00B23EF2" w:rsidRDefault="00B23EF2" w:rsidP="00B23EF2">
      <w:pPr>
        <w:pStyle w:val="Heading2"/>
        <w:spacing w:before="0" w:beforeAutospacing="0" w:after="0" w:afterAutospacing="0"/>
        <w:rPr>
          <w:sz w:val="24"/>
          <w:szCs w:val="24"/>
        </w:rPr>
      </w:pPr>
      <w:r w:rsidRPr="00B23EF2">
        <w:rPr>
          <w:sz w:val="24"/>
          <w:szCs w:val="24"/>
        </w:rPr>
        <w:t>Human Agency as the Central Principle</w:t>
      </w:r>
    </w:p>
    <w:p w14:paraId="2AD95ABA" w14:textId="77777777" w:rsidR="00B23EF2" w:rsidRPr="00B23EF2" w:rsidRDefault="00B23EF2" w:rsidP="0080145E">
      <w:pPr>
        <w:pStyle w:val="pdq2pgselectionanchorcontainer"/>
        <w:spacing w:before="0" w:beforeAutospacing="0" w:after="0" w:afterAutospacing="0"/>
        <w:ind w:firstLine="720"/>
        <w:jc w:val="both"/>
      </w:pPr>
      <w:r w:rsidRPr="00B23EF2">
        <w:t>The synthesis of the literature indicates that human agency should become the central principle guiding the integration of generative AI into education. Students should not become passive consumers of machine-generated knowledge but should remain active participants who make decisions, construct interpretations, evaluate information, and take responsibility for their learning. Human agency is particularly important because generative AI can make educational tasks appear easier while potentially reducing the cognitive effort required to complete them. An effective educational model should therefore distinguish between using AI to extend human capability and using AI to replace human intellectual activity. Students may appropriately delegate routine tasks to AI when doing so allows them to focus on more complex reasoning, but they should retain responsibility for understanding and evaluating the resulting outputs. This principle establishes a human-centered relationship between learners and technology in which AI serves educational purposes rather than determining them.</w:t>
      </w:r>
    </w:p>
    <w:p w14:paraId="6F7A656A" w14:textId="2142679F" w:rsidR="00B23EF2" w:rsidRPr="00B23EF2" w:rsidRDefault="00B23EF2" w:rsidP="00B23EF2">
      <w:pPr>
        <w:pStyle w:val="Heading2"/>
        <w:spacing w:before="0" w:beforeAutospacing="0" w:after="0" w:afterAutospacing="0"/>
        <w:rPr>
          <w:sz w:val="24"/>
          <w:szCs w:val="24"/>
        </w:rPr>
      </w:pPr>
      <w:r w:rsidRPr="00B23EF2">
        <w:rPr>
          <w:sz w:val="24"/>
          <w:szCs w:val="24"/>
        </w:rPr>
        <w:t>Toward Human-Centered Education Beyond ChatGPT</w:t>
      </w:r>
    </w:p>
    <w:p w14:paraId="40AD25D9" w14:textId="77777777" w:rsidR="0080145E" w:rsidRDefault="00B23EF2" w:rsidP="0080145E">
      <w:pPr>
        <w:pStyle w:val="pdq2pgselectionanchorcontainer"/>
        <w:spacing w:before="0" w:beforeAutospacing="0" w:after="0" w:afterAutospacing="0"/>
        <w:ind w:firstLine="720"/>
        <w:jc w:val="both"/>
      </w:pPr>
      <w:r w:rsidRPr="00B23EF2">
        <w:t xml:space="preserve">The overall findings support a broader transformation toward human-centered education in which generative AI is integrated strategically rather than uncritically. Such an approach recognizes the substantial potential of AI while maintaining the centrality of human judgment, creativity, critical thinking, collaboration, ethical reasoning, and metacognition. The objective is not to create education systems that simply teach students how </w:t>
      </w:r>
      <w:r w:rsidRPr="00B23EF2">
        <w:lastRenderedPageBreak/>
        <w:t>to use the latest AI platform, because specific technologies will continue to change. Instead, education should cultivate durable competencies that enable learners to interact intelligently with evolving technologies.</w:t>
      </w:r>
    </w:p>
    <w:p w14:paraId="4591772A" w14:textId="4C930ED7" w:rsidR="00B23EF2" w:rsidRPr="00B23EF2" w:rsidRDefault="00B23EF2" w:rsidP="0080145E">
      <w:pPr>
        <w:pStyle w:val="pdq2pgselectionanchorcontainer"/>
        <w:spacing w:before="0" w:beforeAutospacing="0" w:after="0" w:afterAutospacing="0"/>
        <w:ind w:firstLine="720"/>
        <w:jc w:val="both"/>
      </w:pPr>
      <w:r w:rsidRPr="00B23EF2">
        <w:t>Generative AI should consequently be treated as both a learning resource and an object of critical inquiry. Students should learn with AI, about AI, and, when appropriate, against AI by questioning and evaluating its outputs. This perspective provides a more sustainable educational response because it prepares students not merely for ChatGPT but for a broader future in which human learning and artificial intelligence will increasingly coexist.</w:t>
      </w:r>
    </w:p>
    <w:p w14:paraId="0A7BB69C" w14:textId="7CA2F919" w:rsidR="00167B15" w:rsidRPr="00B23EF2" w:rsidRDefault="00167B15" w:rsidP="00167B15">
      <w:pPr>
        <w:spacing w:after="0" w:line="240" w:lineRule="auto"/>
        <w:jc w:val="both"/>
        <w:rPr>
          <w:rFonts w:ascii="Times New Roman" w:eastAsia="Times New Roman" w:hAnsi="Times New Roman" w:cs="Times New Roman"/>
          <w:sz w:val="24"/>
          <w:szCs w:val="24"/>
          <w:lang w:val="en-US"/>
        </w:rPr>
      </w:pPr>
    </w:p>
    <w:p w14:paraId="4719233D" w14:textId="1B40752E" w:rsidR="00167B15" w:rsidRPr="00C97A28" w:rsidRDefault="00C97A28" w:rsidP="00167B15">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CONCLUSION</w:t>
      </w:r>
    </w:p>
    <w:p w14:paraId="73A006E2" w14:textId="77777777" w:rsidR="00D71CED" w:rsidRPr="00D71CED" w:rsidRDefault="00D71CED" w:rsidP="00D71CED">
      <w:pPr>
        <w:pStyle w:val="pdq2pgselectionanchorcontainer"/>
        <w:spacing w:before="0" w:beforeAutospacing="0" w:after="0" w:afterAutospacing="0"/>
        <w:ind w:firstLine="720"/>
        <w:jc w:val="both"/>
      </w:pPr>
      <w:r w:rsidRPr="00D71CED">
        <w:t xml:space="preserve">Generative artificial intelligence represents a fundamental transformation of the educational environment rather than simply the emergence of another digital learning tool. The ability of generative AI to produce information, explanations, academic texts, feedback, and other forms of educational content challenges traditional assumptions about knowledge transmission, student learning, teacher roles, and assessment. The findings of this library research indicate that generative AI offers substantial opportunities for personalized learning, interactive dialogue, content development, feedback, and instructional support. However, these opportunities are accompanied by significant risks, including cognitive offloading, excessive dependence, misinformation, bias, privacy concerns, academic integrity challenges, and difficulties in determining whether conventional </w:t>
      </w:r>
      <w:r w:rsidRPr="00D71CED">
        <w:t>educational products represent authentic student learning.</w:t>
      </w:r>
    </w:p>
    <w:p w14:paraId="5D350D94" w14:textId="77777777" w:rsidR="00D71CED" w:rsidRPr="00D71CED" w:rsidRDefault="00D71CED" w:rsidP="00D71CED">
      <w:pPr>
        <w:pStyle w:val="pdq2pgselectionanchorcontainer"/>
        <w:spacing w:before="0" w:beforeAutospacing="0" w:after="0" w:afterAutospacing="0"/>
        <w:ind w:firstLine="720"/>
        <w:jc w:val="both"/>
      </w:pPr>
      <w:r w:rsidRPr="00D71CED">
        <w:t>The study argues that the appropriate response to generative AI is not simply to prohibit or unrestrictedly adopt the technology but to reimagine education around human intellectual capabilities that cannot be reduced to content generation. Learning should increasingly emphasize critical thinking, creativity, problem formulation, collaboration, metacognition, communication, ethical reasoning, and the ability to evaluate AI-generated information. Teachers should function increasingly as designers of meaningful learning environments, facilitators of inquiry, mentors, and mediators of responsible AI use. Assessment should move beyond final products toward authentic and process-oriented evidence, including reasoning, reflection, oral defense, application, performance, and critical evaluation of AI-generated outputs. The study proposes a human-centered framework in which generative AI operates as a learning partner and cognitive support while students retain intellectual agency and teachers retain pedagogical authority. Because the study is based on library research, the proposed framework requires empirical validation across different educational levels and cultural contexts. Future research should examine how AI-integrated assessment, AI criticality, and human-centered learning designs influence students' long-term learning, autonomy, creativity, and critical thinking.</w:t>
      </w:r>
    </w:p>
    <w:p w14:paraId="3240AA78" w14:textId="77777777" w:rsidR="00167B15" w:rsidRPr="00E8515F" w:rsidRDefault="00167B15" w:rsidP="00167B15">
      <w:pPr>
        <w:spacing w:after="0" w:line="240" w:lineRule="auto"/>
        <w:jc w:val="both"/>
        <w:rPr>
          <w:b/>
          <w:sz w:val="24"/>
          <w:szCs w:val="24"/>
        </w:rPr>
      </w:pPr>
    </w:p>
    <w:p w14:paraId="75D88DFD" w14:textId="65BD827E" w:rsidR="00167B15" w:rsidRPr="00C97A28" w:rsidRDefault="00C97A28" w:rsidP="00167B15">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REFERENCES</w:t>
      </w:r>
    </w:p>
    <w:p w14:paraId="2574EF79" w14:textId="4F81537C"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sz w:val="24"/>
          <w:szCs w:val="24"/>
        </w:rPr>
        <w:fldChar w:fldCharType="begin" w:fldLock="1"/>
      </w:r>
      <w:r w:rsidRPr="00C074B6">
        <w:rPr>
          <w:rFonts w:asciiTheme="majorBidi" w:hAnsiTheme="majorBidi" w:cstheme="majorBidi"/>
          <w:sz w:val="24"/>
          <w:szCs w:val="24"/>
        </w:rPr>
        <w:instrText xml:space="preserve">ADDIN Mendeley Bibliography CSL_BIBLIOGRAPHY </w:instrText>
      </w:r>
      <w:r w:rsidRPr="00C074B6">
        <w:rPr>
          <w:rFonts w:asciiTheme="majorBidi" w:hAnsiTheme="majorBidi" w:cstheme="majorBidi"/>
          <w:sz w:val="24"/>
          <w:szCs w:val="24"/>
        </w:rPr>
        <w:fldChar w:fldCharType="separate"/>
      </w:r>
      <w:r w:rsidRPr="00C074B6">
        <w:rPr>
          <w:rFonts w:asciiTheme="majorBidi" w:hAnsiTheme="majorBidi" w:cstheme="majorBidi"/>
          <w:noProof/>
          <w:sz w:val="24"/>
          <w:szCs w:val="24"/>
        </w:rPr>
        <w:t xml:space="preserve">Al Ayyubi, I. I., Hayati, A. F., Hartati, R. D., &amp; Rahmawati, S. (2024). Building Religious Moderation Life Through Digital Media. </w:t>
      </w:r>
      <w:r w:rsidRPr="00C074B6">
        <w:rPr>
          <w:rFonts w:asciiTheme="majorBidi" w:hAnsiTheme="majorBidi" w:cstheme="majorBidi"/>
          <w:i/>
          <w:iCs/>
          <w:noProof/>
          <w:sz w:val="24"/>
          <w:szCs w:val="24"/>
        </w:rPr>
        <w:t xml:space="preserve">El-Adabi: </w:t>
      </w:r>
      <w:r w:rsidRPr="00C074B6">
        <w:rPr>
          <w:rFonts w:asciiTheme="majorBidi" w:hAnsiTheme="majorBidi" w:cstheme="majorBidi"/>
          <w:i/>
          <w:iCs/>
          <w:noProof/>
          <w:sz w:val="24"/>
          <w:szCs w:val="24"/>
        </w:rPr>
        <w:lastRenderedPageBreak/>
        <w:t>Jurnal Studi Islam</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3</w:t>
      </w:r>
      <w:r w:rsidRPr="00C074B6">
        <w:rPr>
          <w:rFonts w:asciiTheme="majorBidi" w:hAnsiTheme="majorBidi" w:cstheme="majorBidi"/>
          <w:noProof/>
          <w:sz w:val="24"/>
          <w:szCs w:val="24"/>
        </w:rPr>
        <w:t>(2), 14–28. https://doi.org/https://doi.org/10.59166/el-adabi.v3i2.170</w:t>
      </w:r>
    </w:p>
    <w:p w14:paraId="1213AF08"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Al Ayyubi, I. I., Suryana, I., Andirani, A., Masfuroh, A. S., &amp; Noerzanah, F. (2024). The Existence of Nahdlatul Ulama Da’wah in the Era of Digitalization and Disruption. </w:t>
      </w:r>
      <w:r w:rsidRPr="00C074B6">
        <w:rPr>
          <w:rFonts w:asciiTheme="majorBidi" w:hAnsiTheme="majorBidi" w:cstheme="majorBidi"/>
          <w:i/>
          <w:iCs/>
          <w:noProof/>
          <w:sz w:val="24"/>
          <w:szCs w:val="24"/>
        </w:rPr>
        <w:t>Wasilatuna: Jurnal Komunikasi Dan Penyiaran Islam</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7</w:t>
      </w:r>
      <w:r w:rsidRPr="00C074B6">
        <w:rPr>
          <w:rFonts w:asciiTheme="majorBidi" w:hAnsiTheme="majorBidi" w:cstheme="majorBidi"/>
          <w:noProof/>
          <w:sz w:val="24"/>
          <w:szCs w:val="24"/>
        </w:rPr>
        <w:t>(1), 112–127. https://doi.org/https://doi.org/10.38073/wasilatuna.v7i01.1468</w:t>
      </w:r>
    </w:p>
    <w:p w14:paraId="182E709E"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Chowdury, S. R. H., &amp; Göktaş, V. (2021). A Critical Analysis of Imam Rabbani Ahmad Sirhindi’s Doctrines on Sufism. </w:t>
      </w:r>
      <w:r w:rsidRPr="00C074B6">
        <w:rPr>
          <w:rFonts w:asciiTheme="majorBidi" w:hAnsiTheme="majorBidi" w:cstheme="majorBidi"/>
          <w:i/>
          <w:iCs/>
          <w:noProof/>
          <w:sz w:val="24"/>
          <w:szCs w:val="24"/>
        </w:rPr>
        <w:t>Teosofi: Jurnal Tasawuf Dan Pemikiran Islam</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11</w:t>
      </w:r>
      <w:r w:rsidRPr="00C074B6">
        <w:rPr>
          <w:rFonts w:asciiTheme="majorBidi" w:hAnsiTheme="majorBidi" w:cstheme="majorBidi"/>
          <w:noProof/>
          <w:sz w:val="24"/>
          <w:szCs w:val="24"/>
        </w:rPr>
        <w:t>(1), 93–121. https://doi.org/10.15642/teosofi.2021.11.1.93-121</w:t>
      </w:r>
    </w:p>
    <w:p w14:paraId="48A32568"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Creswell, J. W., &amp; Creswell, J. D. (2017). </w:t>
      </w:r>
      <w:r w:rsidRPr="00C074B6">
        <w:rPr>
          <w:rFonts w:asciiTheme="majorBidi" w:hAnsiTheme="majorBidi" w:cstheme="majorBidi"/>
          <w:i/>
          <w:iCs/>
          <w:noProof/>
          <w:sz w:val="24"/>
          <w:szCs w:val="24"/>
        </w:rPr>
        <w:t>Research design: Qualitative, quantitative, and mixed methods approaches</w:t>
      </w:r>
      <w:r w:rsidRPr="00C074B6">
        <w:rPr>
          <w:rFonts w:asciiTheme="majorBidi" w:hAnsiTheme="majorBidi" w:cstheme="majorBidi"/>
          <w:noProof/>
          <w:sz w:val="24"/>
          <w:szCs w:val="24"/>
        </w:rPr>
        <w:t>. Sage publications.</w:t>
      </w:r>
    </w:p>
    <w:p w14:paraId="35DECF9D"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da Silva, M. L. F., &amp; da Silva Rodrigues, A. J. (2018). A new digital method to recover the state of art: systematic literature review (SLR). </w:t>
      </w:r>
      <w:r w:rsidRPr="00C074B6">
        <w:rPr>
          <w:rFonts w:asciiTheme="majorBidi" w:hAnsiTheme="majorBidi" w:cstheme="majorBidi"/>
          <w:i/>
          <w:iCs/>
          <w:noProof/>
          <w:sz w:val="24"/>
          <w:szCs w:val="24"/>
        </w:rPr>
        <w:t>Revista Inclusiones</w:t>
      </w:r>
      <w:r w:rsidRPr="00C074B6">
        <w:rPr>
          <w:rFonts w:asciiTheme="majorBidi" w:hAnsiTheme="majorBidi" w:cstheme="majorBidi"/>
          <w:noProof/>
          <w:sz w:val="24"/>
          <w:szCs w:val="24"/>
        </w:rPr>
        <w:t>, 12–31.</w:t>
      </w:r>
    </w:p>
    <w:p w14:paraId="3FCF82CA"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Fanani, A., Yasin, I., &amp; Murniati, A. (2020). Politics of Education in Curriculum Development Policy in Indonesia from 1947 to 2013: A Documentary Research. </w:t>
      </w:r>
      <w:r w:rsidRPr="00C074B6">
        <w:rPr>
          <w:rFonts w:asciiTheme="majorBidi" w:hAnsiTheme="majorBidi" w:cstheme="majorBidi"/>
          <w:i/>
          <w:iCs/>
          <w:noProof/>
          <w:sz w:val="24"/>
          <w:szCs w:val="24"/>
        </w:rPr>
        <w:t>Jurnal Pendidikan Islam</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9</w:t>
      </w:r>
      <w:r w:rsidRPr="00C074B6">
        <w:rPr>
          <w:rFonts w:asciiTheme="majorBidi" w:hAnsiTheme="majorBidi" w:cstheme="majorBidi"/>
          <w:noProof/>
          <w:sz w:val="24"/>
          <w:szCs w:val="24"/>
        </w:rPr>
        <w:t>(1), 29–56. https://doi.org/10.14421/jpi.2020.91.29-56</w:t>
      </w:r>
    </w:p>
    <w:p w14:paraId="16D96789"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Farias-Gaytan, S., Aguaded, I., &amp; Ramirez-Montoya, M.-S. (2022). Transformation and digital literacy: Systematic literature mapping. </w:t>
      </w:r>
      <w:r w:rsidRPr="00C074B6">
        <w:rPr>
          <w:rFonts w:asciiTheme="majorBidi" w:hAnsiTheme="majorBidi" w:cstheme="majorBidi"/>
          <w:i/>
          <w:iCs/>
          <w:noProof/>
          <w:sz w:val="24"/>
          <w:szCs w:val="24"/>
        </w:rPr>
        <w:t>Education and Information Technologies</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27</w:t>
      </w:r>
      <w:r w:rsidRPr="00C074B6">
        <w:rPr>
          <w:rFonts w:asciiTheme="majorBidi" w:hAnsiTheme="majorBidi" w:cstheme="majorBidi"/>
          <w:noProof/>
          <w:sz w:val="24"/>
          <w:szCs w:val="24"/>
        </w:rPr>
        <w:t xml:space="preserve">(2), 1417–1437. </w:t>
      </w:r>
      <w:r w:rsidRPr="00C074B6">
        <w:rPr>
          <w:rFonts w:asciiTheme="majorBidi" w:hAnsiTheme="majorBidi" w:cstheme="majorBidi"/>
          <w:noProof/>
          <w:sz w:val="24"/>
          <w:szCs w:val="24"/>
        </w:rPr>
        <w:t>https://doi.org/https://doi.org/10.1007/s10639-021-10624-x</w:t>
      </w:r>
    </w:p>
    <w:p w14:paraId="2D65B8AE"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Fauzi, H. A. H., Hidayat, W., Al Ayyubi, I. I., Nurhikmah, &amp; Al-Ghatnaini, R. A. S. (2025). Work Stress Levels At Madrasah Tsanawiyah Arrukhshatul’ulum: The Challenges of Digitalization in Developing Islamic Educational Institutions. </w:t>
      </w:r>
      <w:r w:rsidRPr="00C074B6">
        <w:rPr>
          <w:rFonts w:asciiTheme="majorBidi" w:hAnsiTheme="majorBidi" w:cstheme="majorBidi"/>
          <w:i/>
          <w:iCs/>
          <w:noProof/>
          <w:sz w:val="24"/>
          <w:szCs w:val="24"/>
        </w:rPr>
        <w:t>Mudir: Jurnal Manajemen Pendidikan</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7</w:t>
      </w:r>
      <w:r w:rsidRPr="00C074B6">
        <w:rPr>
          <w:rFonts w:asciiTheme="majorBidi" w:hAnsiTheme="majorBidi" w:cstheme="majorBidi"/>
          <w:noProof/>
          <w:sz w:val="24"/>
          <w:szCs w:val="24"/>
        </w:rPr>
        <w:t>(1), 19–27. https://doi.org/https://doi.org/10.55352/mudir.v7i1.1469</w:t>
      </w:r>
    </w:p>
    <w:p w14:paraId="326AB0BF"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Hasan, M. F. (2025). Educational authority and regulatory legitimacy: comparing normative systems in pesantren and public schools in Indonesia. </w:t>
      </w:r>
      <w:r w:rsidRPr="00C074B6">
        <w:rPr>
          <w:rFonts w:asciiTheme="majorBidi" w:hAnsiTheme="majorBidi" w:cstheme="majorBidi"/>
          <w:i/>
          <w:iCs/>
          <w:noProof/>
          <w:sz w:val="24"/>
          <w:szCs w:val="24"/>
        </w:rPr>
        <w:t>Legal Pluralism and Critical Social Analysis</w:t>
      </w:r>
      <w:r w:rsidRPr="00C074B6">
        <w:rPr>
          <w:rFonts w:asciiTheme="majorBidi" w:hAnsiTheme="majorBidi" w:cstheme="majorBidi"/>
          <w:noProof/>
          <w:sz w:val="24"/>
          <w:szCs w:val="24"/>
        </w:rPr>
        <w:t>, 1–25. https://doi.org/https://doi.org/10.1080/27706869.2025.2556586</w:t>
      </w:r>
    </w:p>
    <w:p w14:paraId="420B5871"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Nasution, A. R., Zuela, M. S., &amp; Rafli, Z. (2020). Improving Critical Thinking Skill of Elementary School Students Through Brain Based Learning. </w:t>
      </w:r>
      <w:r w:rsidRPr="00C074B6">
        <w:rPr>
          <w:rFonts w:asciiTheme="majorBidi" w:hAnsiTheme="majorBidi" w:cstheme="majorBidi"/>
          <w:i/>
          <w:iCs/>
          <w:noProof/>
          <w:sz w:val="24"/>
          <w:szCs w:val="24"/>
        </w:rPr>
        <w:t>International Joint Conference on Arts and Humanities (IJCAH 2020)</w:t>
      </w:r>
      <w:r w:rsidRPr="00C074B6">
        <w:rPr>
          <w:rFonts w:asciiTheme="majorBidi" w:hAnsiTheme="majorBidi" w:cstheme="majorBidi"/>
          <w:noProof/>
          <w:sz w:val="24"/>
          <w:szCs w:val="24"/>
        </w:rPr>
        <w:t>, 485–492. https://doi.org/10.2991/assehr.k.201201.086</w:t>
      </w:r>
    </w:p>
    <w:p w14:paraId="484CC4B6"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Nurhayati, N., &amp; Hamid, A. (2020). Radicalism Prevention through Islamic Religious Education Learning at Elementary School. </w:t>
      </w:r>
      <w:r w:rsidRPr="00C074B6">
        <w:rPr>
          <w:rFonts w:asciiTheme="majorBidi" w:hAnsiTheme="majorBidi" w:cstheme="majorBidi"/>
          <w:i/>
          <w:iCs/>
          <w:noProof/>
          <w:sz w:val="24"/>
          <w:szCs w:val="24"/>
        </w:rPr>
        <w:t>Jurnal Pendidikan Islam</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6</w:t>
      </w:r>
      <w:r w:rsidRPr="00C074B6">
        <w:rPr>
          <w:rFonts w:asciiTheme="majorBidi" w:hAnsiTheme="majorBidi" w:cstheme="majorBidi"/>
          <w:noProof/>
          <w:sz w:val="24"/>
          <w:szCs w:val="24"/>
        </w:rPr>
        <w:t>(1), 109–126. https://doi.org/10.15575/jpi.v6i1.8352</w:t>
      </w:r>
    </w:p>
    <w:p w14:paraId="442355E8"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Ökmen, B., Şahin, Ş., &amp; Kılıç, A. (2020). A critical view to the primary school teaching. </w:t>
      </w:r>
      <w:r w:rsidRPr="00C074B6">
        <w:rPr>
          <w:rFonts w:asciiTheme="majorBidi" w:hAnsiTheme="majorBidi" w:cstheme="majorBidi"/>
          <w:i/>
          <w:iCs/>
          <w:noProof/>
          <w:sz w:val="24"/>
          <w:szCs w:val="24"/>
        </w:rPr>
        <w:t>International Journal of Contemporary Educational Research</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7</w:t>
      </w:r>
      <w:r w:rsidRPr="00C074B6">
        <w:rPr>
          <w:rFonts w:asciiTheme="majorBidi" w:hAnsiTheme="majorBidi" w:cstheme="majorBidi"/>
          <w:noProof/>
          <w:sz w:val="24"/>
          <w:szCs w:val="24"/>
        </w:rPr>
        <w:t>(1), 54–70. https://doi.org/https://doi.org/10.33</w:t>
      </w:r>
      <w:r w:rsidRPr="00C074B6">
        <w:rPr>
          <w:rFonts w:asciiTheme="majorBidi" w:hAnsiTheme="majorBidi" w:cstheme="majorBidi"/>
          <w:noProof/>
          <w:sz w:val="24"/>
          <w:szCs w:val="24"/>
        </w:rPr>
        <w:lastRenderedPageBreak/>
        <w:t>200/ijcer.633051</w:t>
      </w:r>
    </w:p>
    <w:p w14:paraId="1AA36C51"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Ramadona, S., Qur’ani, I., Dewi, L. Y., Dini, N. R., &amp; Mawaddah, S. (2022). Educating the Rabbani Generation: A Diffusion of Islamic Scholars Through Participatory Action Research. </w:t>
      </w:r>
      <w:r w:rsidRPr="00C074B6">
        <w:rPr>
          <w:rFonts w:asciiTheme="majorBidi" w:hAnsiTheme="majorBidi" w:cstheme="majorBidi"/>
          <w:i/>
          <w:iCs/>
          <w:noProof/>
          <w:sz w:val="24"/>
          <w:szCs w:val="24"/>
        </w:rPr>
        <w:t>Al-Arkhabiil: Jurnal Pengabdian Masyarakat</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2</w:t>
      </w:r>
      <w:r w:rsidRPr="00C074B6">
        <w:rPr>
          <w:rFonts w:asciiTheme="majorBidi" w:hAnsiTheme="majorBidi" w:cstheme="majorBidi"/>
          <w:noProof/>
          <w:sz w:val="24"/>
          <w:szCs w:val="24"/>
        </w:rPr>
        <w:t>(3), 50–63. https://doi.org/10.51590/jpm_assunnah.v2i3.285</w:t>
      </w:r>
    </w:p>
    <w:p w14:paraId="0A7F1A66"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Sukarno, S., &amp; Murayama, K. (2025). Designing Adaptive Human Resource Management in Pesantren: A Critical Study of Traditional Practices. </w:t>
      </w:r>
      <w:r w:rsidRPr="00C074B6">
        <w:rPr>
          <w:rFonts w:asciiTheme="majorBidi" w:hAnsiTheme="majorBidi" w:cstheme="majorBidi"/>
          <w:i/>
          <w:iCs/>
          <w:noProof/>
          <w:sz w:val="24"/>
          <w:szCs w:val="24"/>
        </w:rPr>
        <w:t>Edukasia Islamika</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10</w:t>
      </w:r>
      <w:r w:rsidRPr="00C074B6">
        <w:rPr>
          <w:rFonts w:asciiTheme="majorBidi" w:hAnsiTheme="majorBidi" w:cstheme="majorBidi"/>
          <w:noProof/>
          <w:sz w:val="24"/>
          <w:szCs w:val="24"/>
        </w:rPr>
        <w:t>(1), 1–16. https://doi.org/https://doi.org/10.28918/jei.v10i1.10661</w:t>
      </w:r>
    </w:p>
    <w:p w14:paraId="49246CA8"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Tatto, M. T. (2021). Professionalism in teaching and the role of teacher education. </w:t>
      </w:r>
      <w:r w:rsidRPr="00C074B6">
        <w:rPr>
          <w:rFonts w:asciiTheme="majorBidi" w:hAnsiTheme="majorBidi" w:cstheme="majorBidi"/>
          <w:i/>
          <w:iCs/>
          <w:noProof/>
          <w:sz w:val="24"/>
          <w:szCs w:val="24"/>
        </w:rPr>
        <w:t>European Journal of Teacher Education</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44</w:t>
      </w:r>
      <w:r w:rsidRPr="00C074B6">
        <w:rPr>
          <w:rFonts w:asciiTheme="majorBidi" w:hAnsiTheme="majorBidi" w:cstheme="majorBidi"/>
          <w:noProof/>
          <w:sz w:val="24"/>
          <w:szCs w:val="24"/>
        </w:rPr>
        <w:t>(1), 20–44. https://doi.org/https://doi.org/10.1080/02619768.2020.1849130</w:t>
      </w:r>
    </w:p>
    <w:p w14:paraId="15694C50"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Tinmaz, H., Fanea-Ivanovici, M., &amp; Baber, H. (2023). A snapshot of digital literacy. </w:t>
      </w:r>
      <w:r w:rsidRPr="00C074B6">
        <w:rPr>
          <w:rFonts w:asciiTheme="majorBidi" w:hAnsiTheme="majorBidi" w:cstheme="majorBidi"/>
          <w:i/>
          <w:iCs/>
          <w:noProof/>
          <w:sz w:val="24"/>
          <w:szCs w:val="24"/>
        </w:rPr>
        <w:t>Library Hi Tech News</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40</w:t>
      </w:r>
      <w:r w:rsidRPr="00C074B6">
        <w:rPr>
          <w:rFonts w:asciiTheme="majorBidi" w:hAnsiTheme="majorBidi" w:cstheme="majorBidi"/>
          <w:noProof/>
          <w:sz w:val="24"/>
          <w:szCs w:val="24"/>
        </w:rPr>
        <w:t>(1), 20–23. https://doi.org/https://doi.org/10.1108/LHTN-12-2021-0095</w:t>
      </w:r>
    </w:p>
    <w:p w14:paraId="03A16664"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Windari, M. R., Prihatin, J., &amp; Fikri, K. (2023). The Effectiveness of Digital Textbooks on Brain-based Learning assisted by Animated Videos and Maze Chase-Wordwall on Science Literacy Skills and Student Learning Outcomes. </w:t>
      </w:r>
      <w:r w:rsidRPr="00C074B6">
        <w:rPr>
          <w:rFonts w:asciiTheme="majorBidi" w:hAnsiTheme="majorBidi" w:cstheme="majorBidi"/>
          <w:i/>
          <w:iCs/>
          <w:noProof/>
          <w:sz w:val="24"/>
          <w:szCs w:val="24"/>
        </w:rPr>
        <w:t>Biosfer: Jurnal Tadris Biologi</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14</w:t>
      </w:r>
      <w:r w:rsidRPr="00C074B6">
        <w:rPr>
          <w:rFonts w:asciiTheme="majorBidi" w:hAnsiTheme="majorBidi" w:cstheme="majorBidi"/>
          <w:noProof/>
          <w:sz w:val="24"/>
          <w:szCs w:val="24"/>
        </w:rPr>
        <w:t>(1), 79–88. https://doi.org/http://dx.doi.org/10.24042/biosfer.v14i1.16891</w:t>
      </w:r>
    </w:p>
    <w:p w14:paraId="61E1CF2F" w14:textId="77777777" w:rsidR="00C074B6" w:rsidRPr="00C074B6" w:rsidRDefault="00C074B6" w:rsidP="00C074B6">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C074B6">
        <w:rPr>
          <w:rFonts w:asciiTheme="majorBidi" w:hAnsiTheme="majorBidi" w:cstheme="majorBidi"/>
          <w:noProof/>
          <w:sz w:val="24"/>
          <w:szCs w:val="24"/>
        </w:rPr>
        <w:t xml:space="preserve">Zaakiyyah, H. K. A. (2024). Innovative strategies to enhance the quality of higher education management: </w:t>
      </w:r>
      <w:r w:rsidRPr="00C074B6">
        <w:rPr>
          <w:rFonts w:asciiTheme="majorBidi" w:hAnsiTheme="majorBidi" w:cstheme="majorBidi"/>
          <w:noProof/>
          <w:sz w:val="24"/>
          <w:szCs w:val="24"/>
        </w:rPr>
        <w:t xml:space="preserve">Human resource development and the critical role of communication. </w:t>
      </w:r>
      <w:r w:rsidRPr="00C074B6">
        <w:rPr>
          <w:rFonts w:asciiTheme="majorBidi" w:hAnsiTheme="majorBidi" w:cstheme="majorBidi"/>
          <w:i/>
          <w:iCs/>
          <w:noProof/>
          <w:sz w:val="24"/>
          <w:szCs w:val="24"/>
        </w:rPr>
        <w:t>Journal of Contemporary Administration and Management (ADMAN)</w:t>
      </w:r>
      <w:r w:rsidRPr="00C074B6">
        <w:rPr>
          <w:rFonts w:asciiTheme="majorBidi" w:hAnsiTheme="majorBidi" w:cstheme="majorBidi"/>
          <w:noProof/>
          <w:sz w:val="24"/>
          <w:szCs w:val="24"/>
        </w:rPr>
        <w:t xml:space="preserve">, </w:t>
      </w:r>
      <w:r w:rsidRPr="00C074B6">
        <w:rPr>
          <w:rFonts w:asciiTheme="majorBidi" w:hAnsiTheme="majorBidi" w:cstheme="majorBidi"/>
          <w:i/>
          <w:iCs/>
          <w:noProof/>
          <w:sz w:val="24"/>
          <w:szCs w:val="24"/>
        </w:rPr>
        <w:t>2</w:t>
      </w:r>
      <w:r w:rsidRPr="00C074B6">
        <w:rPr>
          <w:rFonts w:asciiTheme="majorBidi" w:hAnsiTheme="majorBidi" w:cstheme="majorBidi"/>
          <w:noProof/>
          <w:sz w:val="24"/>
          <w:szCs w:val="24"/>
        </w:rPr>
        <w:t>(1), 331–336. https://doi.org/https://doi.org/10.61100/adman.v2i1.128</w:t>
      </w:r>
    </w:p>
    <w:p w14:paraId="10903B18" w14:textId="31D18FAB" w:rsidR="009121CD" w:rsidRPr="00C074B6" w:rsidRDefault="00C074B6" w:rsidP="00C074B6">
      <w:pPr>
        <w:spacing w:after="0" w:line="240" w:lineRule="auto"/>
        <w:jc w:val="both"/>
        <w:rPr>
          <w:rFonts w:asciiTheme="majorBidi" w:hAnsiTheme="majorBidi" w:cstheme="majorBidi"/>
          <w:sz w:val="24"/>
          <w:szCs w:val="24"/>
        </w:rPr>
      </w:pPr>
      <w:r w:rsidRPr="00C074B6">
        <w:rPr>
          <w:rFonts w:asciiTheme="majorBidi" w:hAnsiTheme="majorBidi" w:cstheme="majorBidi"/>
          <w:sz w:val="24"/>
          <w:szCs w:val="24"/>
        </w:rPr>
        <w:fldChar w:fldCharType="end"/>
      </w:r>
    </w:p>
    <w:p w14:paraId="3D3ACBBA" w14:textId="13A66A1A" w:rsidR="008A0B68" w:rsidRPr="00C074B6" w:rsidRDefault="008A0B68" w:rsidP="00C074B6">
      <w:pPr>
        <w:spacing w:after="0" w:line="240" w:lineRule="auto"/>
        <w:jc w:val="both"/>
        <w:rPr>
          <w:rFonts w:asciiTheme="majorBidi" w:hAnsiTheme="majorBidi" w:cstheme="majorBidi"/>
          <w:sz w:val="24"/>
          <w:szCs w:val="24"/>
        </w:rPr>
      </w:pPr>
    </w:p>
    <w:p w14:paraId="72411E84" w14:textId="473C9B33" w:rsidR="008A0B68" w:rsidRPr="00C074B6" w:rsidRDefault="008A0B68" w:rsidP="00C074B6">
      <w:pPr>
        <w:spacing w:after="0" w:line="240" w:lineRule="auto"/>
        <w:jc w:val="both"/>
        <w:rPr>
          <w:rFonts w:asciiTheme="majorBidi" w:hAnsiTheme="majorBidi" w:cstheme="majorBidi"/>
          <w:sz w:val="24"/>
          <w:szCs w:val="24"/>
        </w:rPr>
      </w:pPr>
    </w:p>
    <w:p w14:paraId="0B7F8577" w14:textId="362FDCDB" w:rsidR="008A0B68" w:rsidRDefault="008A0B68" w:rsidP="00EA5C5F">
      <w:pPr>
        <w:spacing w:after="0" w:line="240" w:lineRule="auto"/>
      </w:pPr>
    </w:p>
    <w:p w14:paraId="653880FE" w14:textId="43B97C65" w:rsidR="008A0B68" w:rsidRDefault="008A0B68" w:rsidP="00EA5C5F">
      <w:pPr>
        <w:spacing w:after="0" w:line="240" w:lineRule="auto"/>
      </w:pPr>
    </w:p>
    <w:p w14:paraId="3DE60CA7" w14:textId="3D8033F7" w:rsidR="008A0B68" w:rsidRDefault="008A0B68" w:rsidP="00EA5C5F">
      <w:pPr>
        <w:spacing w:after="0" w:line="240" w:lineRule="auto"/>
      </w:pPr>
    </w:p>
    <w:p w14:paraId="7A5667A3" w14:textId="5FD2E168" w:rsidR="008A0B68" w:rsidRDefault="008A0B68" w:rsidP="00EA5C5F">
      <w:pPr>
        <w:spacing w:after="0" w:line="240" w:lineRule="auto"/>
      </w:pPr>
    </w:p>
    <w:p w14:paraId="381E4319" w14:textId="77777777" w:rsidR="008A0B68" w:rsidRPr="00EA5C5F" w:rsidRDefault="008A0B68" w:rsidP="00EA5C5F">
      <w:pPr>
        <w:spacing w:after="0" w:line="240" w:lineRule="auto"/>
      </w:pPr>
    </w:p>
    <w:sectPr w:rsidR="008A0B68" w:rsidRPr="00EA5C5F" w:rsidSect="00122333">
      <w:headerReference w:type="even" r:id="rId11"/>
      <w:headerReference w:type="default" r:id="rId12"/>
      <w:footerReference w:type="even" r:id="rId13"/>
      <w:type w:val="continuous"/>
      <w:pgSz w:w="11907" w:h="16839"/>
      <w:pgMar w:top="1701" w:right="1701" w:bottom="1701" w:left="1701" w:header="708" w:footer="708" w:gutter="0"/>
      <w:cols w:num="2" w:space="720" w:equalWidth="0">
        <w:col w:w="3898" w:space="708"/>
        <w:col w:w="389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3E60E" w14:textId="77777777" w:rsidR="000F0057" w:rsidRDefault="000F0057">
      <w:pPr>
        <w:spacing w:after="0" w:line="240" w:lineRule="auto"/>
      </w:pPr>
      <w:r>
        <w:separator/>
      </w:r>
    </w:p>
  </w:endnote>
  <w:endnote w:type="continuationSeparator" w:id="0">
    <w:p w14:paraId="4B386707" w14:textId="77777777" w:rsidR="000F0057" w:rsidRDefault="000F0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D95B" w14:textId="77777777"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r>
      <w:rPr>
        <w:b/>
        <w:color w:val="000000"/>
      </w:rPr>
      <w:t xml:space="preserve"> </w:t>
    </w:r>
    <w:r>
      <w:rPr>
        <w:b/>
        <w:color w:val="000000"/>
      </w:rPr>
      <w:t xml:space="preserve">| </w:t>
    </w:r>
    <w:r>
      <w:rPr>
        <w:rFonts w:ascii="Times New Roman" w:eastAsia="Times New Roman" w:hAnsi="Times New Roman" w:cs="Times New Roman"/>
        <w:color w:val="000000"/>
        <w:sz w:val="20"/>
        <w:szCs w:val="20"/>
      </w:rPr>
      <w:t>Aksioma</w:t>
    </w:r>
  </w:p>
  <w:p w14:paraId="5F7E606F" w14:textId="77777777" w:rsidR="00EA5C5F" w:rsidRDefault="00EA5C5F">
    <w:pPr>
      <w:pBdr>
        <w:top w:val="nil"/>
        <w:left w:val="nil"/>
        <w:bottom w:val="nil"/>
        <w:right w:val="nil"/>
        <w:between w:val="nil"/>
      </w:pBdr>
      <w:tabs>
        <w:tab w:val="center" w:pos="4680"/>
        <w:tab w:val="right" w:pos="9360"/>
      </w:tabs>
      <w:spacing w:after="0" w:line="240" w:lineRule="auto"/>
      <w:ind w:left="426" w:hanging="42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Jurnal Pendidikan Matematika FKIP </w:t>
    </w:r>
    <w:proofErr w:type="spellStart"/>
    <w:r>
      <w:rPr>
        <w:rFonts w:ascii="Times New Roman" w:eastAsia="Times New Roman" w:hAnsi="Times New Roman" w:cs="Times New Roman"/>
        <w:color w:val="000000"/>
        <w:sz w:val="18"/>
        <w:szCs w:val="18"/>
      </w:rPr>
      <w:t>Univ</w:t>
    </w:r>
    <w:proofErr w:type="spellEnd"/>
    <w:r>
      <w:rPr>
        <w:rFonts w:ascii="Times New Roman" w:eastAsia="Times New Roman" w:hAnsi="Times New Roman" w:cs="Times New Roman"/>
        <w:color w:val="000000"/>
        <w:sz w:val="18"/>
        <w:szCs w:val="18"/>
      </w:rPr>
      <w:t>. Muhammadiyah Metro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680A" w14:textId="77777777" w:rsidR="00D90AF4" w:rsidRDefault="003D4D3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r>
      <w:rPr>
        <w:b/>
        <w:color w:val="000000"/>
      </w:rPr>
      <w:t xml:space="preserve"> </w:t>
    </w:r>
    <w:r>
      <w:rPr>
        <w:b/>
        <w:color w:val="000000"/>
      </w:rPr>
      <w:t xml:space="preserve">| </w:t>
    </w:r>
    <w:r>
      <w:rPr>
        <w:rFonts w:ascii="Times New Roman" w:eastAsia="Times New Roman" w:hAnsi="Times New Roman" w:cs="Times New Roman"/>
        <w:color w:val="000000"/>
        <w:sz w:val="20"/>
        <w:szCs w:val="20"/>
      </w:rPr>
      <w:t>Aksioma</w:t>
    </w:r>
  </w:p>
  <w:p w14:paraId="26BC4AD6" w14:textId="77777777" w:rsidR="00D90AF4" w:rsidRDefault="003D4D3E">
    <w:pPr>
      <w:pBdr>
        <w:top w:val="nil"/>
        <w:left w:val="nil"/>
        <w:bottom w:val="nil"/>
        <w:right w:val="nil"/>
        <w:between w:val="nil"/>
      </w:pBdr>
      <w:tabs>
        <w:tab w:val="center" w:pos="4680"/>
        <w:tab w:val="right" w:pos="9360"/>
      </w:tabs>
      <w:spacing w:after="0" w:line="240" w:lineRule="auto"/>
      <w:ind w:left="426" w:hanging="42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Jurnal Pendidikan Matematika FKIP </w:t>
    </w:r>
    <w:proofErr w:type="spellStart"/>
    <w:r>
      <w:rPr>
        <w:rFonts w:ascii="Times New Roman" w:eastAsia="Times New Roman" w:hAnsi="Times New Roman" w:cs="Times New Roman"/>
        <w:color w:val="000000"/>
        <w:sz w:val="18"/>
        <w:szCs w:val="18"/>
      </w:rPr>
      <w:t>Univ</w:t>
    </w:r>
    <w:proofErr w:type="spellEnd"/>
    <w:r>
      <w:rPr>
        <w:rFonts w:ascii="Times New Roman" w:eastAsia="Times New Roman" w:hAnsi="Times New Roman" w:cs="Times New Roman"/>
        <w:color w:val="000000"/>
        <w:sz w:val="18"/>
        <w:szCs w:val="18"/>
      </w:rPr>
      <w:t>. Muhammadiyah Metro</w:t>
    </w:r>
  </w:p>
  <w:p w14:paraId="272686D4" w14:textId="77777777" w:rsidR="00A77CD1" w:rsidRDefault="00A77C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D8DF7" w14:textId="77777777" w:rsidR="000F0057" w:rsidRDefault="000F0057">
      <w:pPr>
        <w:spacing w:after="0" w:line="240" w:lineRule="auto"/>
      </w:pPr>
      <w:r>
        <w:separator/>
      </w:r>
    </w:p>
  </w:footnote>
  <w:footnote w:type="continuationSeparator" w:id="0">
    <w:p w14:paraId="5E103E86" w14:textId="77777777" w:rsidR="000F0057" w:rsidRDefault="000F0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5436" w14:textId="77777777" w:rsidR="00EA5C5F" w:rsidRDefault="00EA5C5F">
    <w:pPr>
      <w:pBdr>
        <w:top w:val="nil"/>
        <w:left w:val="nil"/>
        <w:bottom w:val="nil"/>
        <w:right w:val="nil"/>
        <w:between w:val="nil"/>
      </w:pBdr>
      <w:tabs>
        <w:tab w:val="center" w:pos="4680"/>
        <w:tab w:val="right" w:pos="9360"/>
        <w:tab w:val="left" w:pos="5515"/>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ISSN 2089-8703 Vol. 4, No. 1 (2015) 92-94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828F" w14:textId="635C3A23"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noProof/>
      </w:rPr>
      <w:drawing>
        <wp:anchor distT="0" distB="0" distL="114300" distR="114300" simplePos="0" relativeHeight="251658240" behindDoc="0" locked="0" layoutInCell="1" allowOverlap="1" wp14:anchorId="6E4C7890" wp14:editId="06396820">
          <wp:simplePos x="0" y="0"/>
          <wp:positionH relativeFrom="column">
            <wp:posOffset>-3810</wp:posOffset>
          </wp:positionH>
          <wp:positionV relativeFrom="paragraph">
            <wp:posOffset>-174625</wp:posOffset>
          </wp:positionV>
          <wp:extent cx="1162050" cy="581093"/>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5810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Print</w:t>
    </w:r>
    <w:proofErr w:type="spellEnd"/>
    <w:r>
      <w:rPr>
        <w:rFonts w:ascii="Times New Roman" w:eastAsia="Times New Roman" w:hAnsi="Times New Roman" w:cs="Times New Roman"/>
        <w:sz w:val="20"/>
        <w:szCs w:val="20"/>
      </w:rPr>
      <w:t xml:space="preserve">)   </w:t>
    </w:r>
  </w:p>
  <w:p w14:paraId="59057F3D"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(Online)</w:t>
    </w:r>
  </w:p>
  <w:p w14:paraId="1980CA91" w14:textId="42EF3874" w:rsidR="00EA5C5F" w:rsidRPr="002B14A0" w:rsidRDefault="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sz w:val="23"/>
        <w:szCs w:val="23"/>
      </w:rPr>
    </w:pPr>
    <w:r>
      <w:rPr>
        <w:rFonts w:ascii="Times New Roman" w:eastAsia="Times New Roman" w:hAnsi="Times New Roman" w:cs="Times New Roman"/>
        <w:sz w:val="20"/>
        <w:szCs w:val="20"/>
      </w:rPr>
      <w:tab/>
    </w:r>
    <w:r w:rsidR="00EA5C5F">
      <w:rPr>
        <w:rFonts w:ascii="Times New Roman" w:eastAsia="Times New Roman" w:hAnsi="Times New Roman" w:cs="Times New Roman"/>
        <w:sz w:val="20"/>
        <w:szCs w:val="20"/>
      </w:rPr>
      <w:t xml:space="preserve"> </w:t>
    </w:r>
  </w:p>
  <w:p w14:paraId="23227C69" w14:textId="77777777" w:rsidR="002B14A0" w:rsidRPr="002B14A0" w:rsidRDefault="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bCs/>
        <w:sz w:val="20"/>
        <w:szCs w:val="20"/>
      </w:rPr>
    </w:pPr>
    <w:r w:rsidRPr="002B14A0">
      <w:rPr>
        <w:rFonts w:ascii="Times New Roman" w:eastAsia="Times New Roman" w:hAnsi="Times New Roman" w:cs="Times New Roman"/>
        <w:b/>
        <w:bCs/>
        <w:sz w:val="20"/>
        <w:szCs w:val="20"/>
      </w:rPr>
      <w:t>Jurnal Pendidikan, Sains, Teknologi, Sosial, dan Ekonomi Madani (JPSTEM)</w:t>
    </w:r>
  </w:p>
  <w:p w14:paraId="5D5F97DA" w14:textId="77777777" w:rsidR="002B14A0" w:rsidRDefault="00EA5C5F">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0, No. 0, 20xx, 00-00</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3422962" w14:textId="7FF0259C"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DOI:</w:t>
    </w:r>
    <w:r>
      <w:rPr>
        <w:rFonts w:ascii="Times New Roman" w:eastAsia="Times New Roman" w:hAnsi="Times New Roman" w:cs="Times New Roman"/>
        <w:b/>
        <w:color w:val="000000"/>
        <w:sz w:val="20"/>
        <w:szCs w:val="20"/>
      </w:rPr>
      <w:t xml:space="preserve"> </w:t>
    </w:r>
  </w:p>
  <w:p w14:paraId="5C3A6453" w14:textId="77777777"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71FA" w14:textId="77777777" w:rsidR="00D90AF4" w:rsidRDefault="003D4D3E">
    <w:pPr>
      <w:pBdr>
        <w:top w:val="nil"/>
        <w:left w:val="nil"/>
        <w:bottom w:val="nil"/>
        <w:right w:val="nil"/>
        <w:between w:val="nil"/>
      </w:pBdr>
      <w:tabs>
        <w:tab w:val="center" w:pos="4680"/>
        <w:tab w:val="right" w:pos="9360"/>
        <w:tab w:val="left" w:pos="5515"/>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ISSN 2089-8703 Vol. 4, No. 1 (2015) 92-94</w:t>
    </w:r>
  </w:p>
  <w:p w14:paraId="063ED5E8" w14:textId="77777777" w:rsidR="00A77CD1" w:rsidRDefault="00A77CD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487C"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noProof/>
      </w:rPr>
      <w:drawing>
        <wp:anchor distT="0" distB="0" distL="114300" distR="114300" simplePos="0" relativeHeight="251660288" behindDoc="0" locked="0" layoutInCell="1" allowOverlap="1" wp14:anchorId="5BB367DD" wp14:editId="0CA46AFF">
          <wp:simplePos x="0" y="0"/>
          <wp:positionH relativeFrom="column">
            <wp:posOffset>-3810</wp:posOffset>
          </wp:positionH>
          <wp:positionV relativeFrom="paragraph">
            <wp:posOffset>-174625</wp:posOffset>
          </wp:positionV>
          <wp:extent cx="1162050" cy="581093"/>
          <wp:effectExtent l="0" t="0" r="0" b="0"/>
          <wp:wrapNone/>
          <wp:docPr id="148546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5810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Print</w:t>
    </w:r>
    <w:proofErr w:type="spellEnd"/>
    <w:r>
      <w:rPr>
        <w:rFonts w:ascii="Times New Roman" w:eastAsia="Times New Roman" w:hAnsi="Times New Roman" w:cs="Times New Roman"/>
        <w:sz w:val="20"/>
        <w:szCs w:val="20"/>
      </w:rPr>
      <w:t xml:space="preserve">)   </w:t>
    </w:r>
  </w:p>
  <w:p w14:paraId="65359250"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(Online)</w:t>
    </w:r>
  </w:p>
  <w:p w14:paraId="533AFC06" w14:textId="77777777" w:rsidR="002B14A0" w:rsidRP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sz w:val="23"/>
        <w:szCs w:val="23"/>
      </w:rPr>
    </w:pPr>
    <w:r>
      <w:rPr>
        <w:rFonts w:ascii="Times New Roman" w:eastAsia="Times New Roman" w:hAnsi="Times New Roman" w:cs="Times New Roman"/>
        <w:sz w:val="20"/>
        <w:szCs w:val="20"/>
      </w:rPr>
      <w:tab/>
      <w:t xml:space="preserve"> </w:t>
    </w:r>
  </w:p>
  <w:p w14:paraId="18E360C7" w14:textId="77777777" w:rsidR="002B14A0" w:rsidRP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bCs/>
        <w:sz w:val="20"/>
        <w:szCs w:val="20"/>
      </w:rPr>
    </w:pPr>
    <w:r w:rsidRPr="002B14A0">
      <w:rPr>
        <w:rFonts w:ascii="Times New Roman" w:eastAsia="Times New Roman" w:hAnsi="Times New Roman" w:cs="Times New Roman"/>
        <w:b/>
        <w:bCs/>
        <w:sz w:val="20"/>
        <w:szCs w:val="20"/>
      </w:rPr>
      <w:t>Jurnal Pendidikan, Sains, Teknologi, Sosial, dan Ekonomi Madani (JPSTEM)</w:t>
    </w:r>
  </w:p>
  <w:p w14:paraId="660469AA" w14:textId="77777777" w:rsid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0, No. 0, 20xx, 00-00</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5F30FC62" w14:textId="52568183" w:rsidR="00D90AF4" w:rsidRDefault="002B14A0" w:rsidP="002B14A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DOI:</w:t>
    </w:r>
  </w:p>
  <w:p w14:paraId="5DEE7848" w14:textId="77777777" w:rsidR="00A77CD1" w:rsidRDefault="00A77C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01750"/>
    <w:multiLevelType w:val="multilevel"/>
    <w:tmpl w:val="3CA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A30A2"/>
    <w:multiLevelType w:val="multilevel"/>
    <w:tmpl w:val="F35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703D4"/>
    <w:multiLevelType w:val="multilevel"/>
    <w:tmpl w:val="170C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F2D96"/>
    <w:multiLevelType w:val="multilevel"/>
    <w:tmpl w:val="0228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21C1A"/>
    <w:multiLevelType w:val="multilevel"/>
    <w:tmpl w:val="9ED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A72C8"/>
    <w:multiLevelType w:val="multilevel"/>
    <w:tmpl w:val="64EE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DD3F8E"/>
    <w:multiLevelType w:val="multilevel"/>
    <w:tmpl w:val="CCC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746A7"/>
    <w:multiLevelType w:val="multilevel"/>
    <w:tmpl w:val="93F8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446BB0"/>
    <w:multiLevelType w:val="multilevel"/>
    <w:tmpl w:val="0D2E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0C73E2"/>
    <w:multiLevelType w:val="multilevel"/>
    <w:tmpl w:val="FC4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977965">
    <w:abstractNumId w:val="7"/>
  </w:num>
  <w:num w:numId="2" w16cid:durableId="8802224">
    <w:abstractNumId w:val="3"/>
  </w:num>
  <w:num w:numId="3" w16cid:durableId="1488547435">
    <w:abstractNumId w:val="4"/>
  </w:num>
  <w:num w:numId="4" w16cid:durableId="1012609764">
    <w:abstractNumId w:val="8"/>
  </w:num>
  <w:num w:numId="5" w16cid:durableId="1856572498">
    <w:abstractNumId w:val="0"/>
  </w:num>
  <w:num w:numId="6" w16cid:durableId="1121917533">
    <w:abstractNumId w:val="9"/>
  </w:num>
  <w:num w:numId="7" w16cid:durableId="1352148400">
    <w:abstractNumId w:val="5"/>
  </w:num>
  <w:num w:numId="8" w16cid:durableId="302005783">
    <w:abstractNumId w:val="6"/>
  </w:num>
  <w:num w:numId="9" w16cid:durableId="300811375">
    <w:abstractNumId w:val="2"/>
  </w:num>
  <w:num w:numId="10" w16cid:durableId="967206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45"/>
    <w:rsid w:val="00044C6F"/>
    <w:rsid w:val="00082A63"/>
    <w:rsid w:val="000F0057"/>
    <w:rsid w:val="00112D31"/>
    <w:rsid w:val="00122333"/>
    <w:rsid w:val="00167B15"/>
    <w:rsid w:val="00177367"/>
    <w:rsid w:val="001A7959"/>
    <w:rsid w:val="001E0867"/>
    <w:rsid w:val="002B14A0"/>
    <w:rsid w:val="00375D45"/>
    <w:rsid w:val="003D4D3E"/>
    <w:rsid w:val="00422EC8"/>
    <w:rsid w:val="004A4D70"/>
    <w:rsid w:val="005511B9"/>
    <w:rsid w:val="005616E7"/>
    <w:rsid w:val="00563095"/>
    <w:rsid w:val="00573F45"/>
    <w:rsid w:val="005F2234"/>
    <w:rsid w:val="0062466E"/>
    <w:rsid w:val="006869C1"/>
    <w:rsid w:val="006D0913"/>
    <w:rsid w:val="006D57D0"/>
    <w:rsid w:val="006E0D96"/>
    <w:rsid w:val="00707543"/>
    <w:rsid w:val="00714440"/>
    <w:rsid w:val="007234DB"/>
    <w:rsid w:val="0080145E"/>
    <w:rsid w:val="00861638"/>
    <w:rsid w:val="008A0B68"/>
    <w:rsid w:val="0090453F"/>
    <w:rsid w:val="009121CD"/>
    <w:rsid w:val="009A0D5E"/>
    <w:rsid w:val="009B2838"/>
    <w:rsid w:val="009E2DA1"/>
    <w:rsid w:val="00A136E2"/>
    <w:rsid w:val="00A5277C"/>
    <w:rsid w:val="00A77CD1"/>
    <w:rsid w:val="00A96B70"/>
    <w:rsid w:val="00B23EF2"/>
    <w:rsid w:val="00B30636"/>
    <w:rsid w:val="00B33E9C"/>
    <w:rsid w:val="00B34036"/>
    <w:rsid w:val="00C074B6"/>
    <w:rsid w:val="00C52DCA"/>
    <w:rsid w:val="00C5415A"/>
    <w:rsid w:val="00C545C1"/>
    <w:rsid w:val="00C97A28"/>
    <w:rsid w:val="00CA20D3"/>
    <w:rsid w:val="00CC7776"/>
    <w:rsid w:val="00D16E4C"/>
    <w:rsid w:val="00D71CED"/>
    <w:rsid w:val="00D90AF4"/>
    <w:rsid w:val="00E219FF"/>
    <w:rsid w:val="00E42CBA"/>
    <w:rsid w:val="00E9253B"/>
    <w:rsid w:val="00EA5C5F"/>
    <w:rsid w:val="00F27551"/>
    <w:rsid w:val="00F76453"/>
    <w:rsid w:val="00FF3E0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8AF2"/>
  <w15:chartTrackingRefBased/>
  <w15:docId w15:val="{597CB0BF-F252-4D3D-BC00-20C77195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333"/>
    <w:pPr>
      <w:spacing w:after="200" w:line="276" w:lineRule="auto"/>
    </w:pPr>
    <w:rPr>
      <w:rFonts w:ascii="Calibri" w:eastAsia="Calibri" w:hAnsi="Calibri" w:cs="Calibri"/>
      <w:kern w:val="0"/>
      <w:lang w:eastAsia="id-ID"/>
    </w:rPr>
  </w:style>
  <w:style w:type="paragraph" w:styleId="Heading2">
    <w:name w:val="heading 2"/>
    <w:basedOn w:val="Normal"/>
    <w:link w:val="Heading2Char"/>
    <w:uiPriority w:val="9"/>
    <w:qFormat/>
    <w:rsid w:val="00714440"/>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277C"/>
    <w:rPr>
      <w:color w:val="0563C1" w:themeColor="hyperlink"/>
      <w:u w:val="single"/>
    </w:rPr>
  </w:style>
  <w:style w:type="character" w:styleId="UnresolvedMention">
    <w:name w:val="Unresolved Mention"/>
    <w:basedOn w:val="DefaultParagraphFont"/>
    <w:uiPriority w:val="99"/>
    <w:semiHidden/>
    <w:unhideWhenUsed/>
    <w:rsid w:val="00A5277C"/>
    <w:rPr>
      <w:color w:val="605E5C"/>
      <w:shd w:val="clear" w:color="auto" w:fill="E1DFDD"/>
    </w:rPr>
  </w:style>
  <w:style w:type="paragraph" w:styleId="Footer">
    <w:name w:val="footer"/>
    <w:basedOn w:val="Normal"/>
    <w:link w:val="FooterChar"/>
    <w:uiPriority w:val="99"/>
    <w:unhideWhenUsed/>
    <w:rsid w:val="00B33E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E9C"/>
    <w:rPr>
      <w:rFonts w:ascii="Calibri" w:eastAsia="Calibri" w:hAnsi="Calibri" w:cs="Calibri"/>
      <w:kern w:val="0"/>
      <w:lang w:eastAsia="id-ID"/>
    </w:rPr>
  </w:style>
  <w:style w:type="paragraph" w:styleId="Header">
    <w:name w:val="header"/>
    <w:basedOn w:val="Normal"/>
    <w:link w:val="HeaderChar"/>
    <w:uiPriority w:val="99"/>
    <w:unhideWhenUsed/>
    <w:rsid w:val="00B33E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E9C"/>
    <w:rPr>
      <w:rFonts w:ascii="Calibri" w:eastAsia="Calibri" w:hAnsi="Calibri" w:cs="Calibri"/>
      <w:kern w:val="0"/>
      <w:lang w:eastAsia="id-ID"/>
    </w:rPr>
  </w:style>
  <w:style w:type="paragraph" w:customStyle="1" w:styleId="pdq2pgselectionanchorcontainer">
    <w:name w:val="pdq2pg_selectionanchorcontainer"/>
    <w:basedOn w:val="Normal"/>
    <w:rsid w:val="006E0D96"/>
    <w:pPr>
      <w:spacing w:before="100" w:beforeAutospacing="1" w:after="100" w:afterAutospacing="1" w:line="240" w:lineRule="auto"/>
    </w:pPr>
    <w:rPr>
      <w:rFonts w:ascii="Times New Roman" w:eastAsia="Times New Roman" w:hAnsi="Times New Roman" w:cs="Times New Roman"/>
      <w:sz w:val="24"/>
      <w:szCs w:val="24"/>
      <w:lang w:val="en-US" w:eastAsia="en-US"/>
      <w14:ligatures w14:val="none"/>
    </w:rPr>
  </w:style>
  <w:style w:type="paragraph" w:styleId="NormalWeb">
    <w:name w:val="Normal (Web)"/>
    <w:basedOn w:val="Normal"/>
    <w:uiPriority w:val="99"/>
    <w:semiHidden/>
    <w:unhideWhenUsed/>
    <w:rsid w:val="006E0D96"/>
    <w:pPr>
      <w:spacing w:before="100" w:beforeAutospacing="1" w:after="100" w:afterAutospacing="1" w:line="240" w:lineRule="auto"/>
    </w:pPr>
    <w:rPr>
      <w:rFonts w:ascii="Times New Roman" w:eastAsia="Times New Roman" w:hAnsi="Times New Roman" w:cs="Times New Roman"/>
      <w:sz w:val="24"/>
      <w:szCs w:val="24"/>
      <w:lang w:val="en-US" w:eastAsia="en-US"/>
      <w14:ligatures w14:val="none"/>
    </w:rPr>
  </w:style>
  <w:style w:type="character" w:styleId="Strong">
    <w:name w:val="Strong"/>
    <w:basedOn w:val="DefaultParagraphFont"/>
    <w:uiPriority w:val="22"/>
    <w:qFormat/>
    <w:rsid w:val="006E0D96"/>
    <w:rPr>
      <w:b/>
      <w:bCs/>
    </w:rPr>
  </w:style>
  <w:style w:type="character" w:customStyle="1" w:styleId="Heading2Char">
    <w:name w:val="Heading 2 Char"/>
    <w:basedOn w:val="DefaultParagraphFont"/>
    <w:link w:val="Heading2"/>
    <w:uiPriority w:val="9"/>
    <w:rsid w:val="00714440"/>
    <w:rPr>
      <w:rFonts w:ascii="Times New Roman" w:eastAsia="Times New Roman" w:hAnsi="Times New Roman" w:cs="Times New Roman"/>
      <w:b/>
      <w:bCs/>
      <w:kern w:val="0"/>
      <w:sz w:val="36"/>
      <w:szCs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899077">
      <w:bodyDiv w:val="1"/>
      <w:marLeft w:val="0"/>
      <w:marRight w:val="0"/>
      <w:marTop w:val="0"/>
      <w:marBottom w:val="0"/>
      <w:divBdr>
        <w:top w:val="none" w:sz="0" w:space="0" w:color="auto"/>
        <w:left w:val="none" w:sz="0" w:space="0" w:color="auto"/>
        <w:bottom w:val="none" w:sz="0" w:space="0" w:color="auto"/>
        <w:right w:val="none" w:sz="0" w:space="0" w:color="auto"/>
      </w:divBdr>
    </w:div>
    <w:div w:id="428548447">
      <w:bodyDiv w:val="1"/>
      <w:marLeft w:val="0"/>
      <w:marRight w:val="0"/>
      <w:marTop w:val="0"/>
      <w:marBottom w:val="0"/>
      <w:divBdr>
        <w:top w:val="none" w:sz="0" w:space="0" w:color="auto"/>
        <w:left w:val="none" w:sz="0" w:space="0" w:color="auto"/>
        <w:bottom w:val="none" w:sz="0" w:space="0" w:color="auto"/>
        <w:right w:val="none" w:sz="0" w:space="0" w:color="auto"/>
      </w:divBdr>
    </w:div>
    <w:div w:id="441844690">
      <w:bodyDiv w:val="1"/>
      <w:marLeft w:val="0"/>
      <w:marRight w:val="0"/>
      <w:marTop w:val="0"/>
      <w:marBottom w:val="0"/>
      <w:divBdr>
        <w:top w:val="none" w:sz="0" w:space="0" w:color="auto"/>
        <w:left w:val="none" w:sz="0" w:space="0" w:color="auto"/>
        <w:bottom w:val="none" w:sz="0" w:space="0" w:color="auto"/>
        <w:right w:val="none" w:sz="0" w:space="0" w:color="auto"/>
      </w:divBdr>
    </w:div>
    <w:div w:id="568853662">
      <w:bodyDiv w:val="1"/>
      <w:marLeft w:val="0"/>
      <w:marRight w:val="0"/>
      <w:marTop w:val="0"/>
      <w:marBottom w:val="0"/>
      <w:divBdr>
        <w:top w:val="none" w:sz="0" w:space="0" w:color="auto"/>
        <w:left w:val="none" w:sz="0" w:space="0" w:color="auto"/>
        <w:bottom w:val="none" w:sz="0" w:space="0" w:color="auto"/>
        <w:right w:val="none" w:sz="0" w:space="0" w:color="auto"/>
      </w:divBdr>
    </w:div>
    <w:div w:id="741636260">
      <w:bodyDiv w:val="1"/>
      <w:marLeft w:val="0"/>
      <w:marRight w:val="0"/>
      <w:marTop w:val="0"/>
      <w:marBottom w:val="0"/>
      <w:divBdr>
        <w:top w:val="none" w:sz="0" w:space="0" w:color="auto"/>
        <w:left w:val="none" w:sz="0" w:space="0" w:color="auto"/>
        <w:bottom w:val="none" w:sz="0" w:space="0" w:color="auto"/>
        <w:right w:val="none" w:sz="0" w:space="0" w:color="auto"/>
      </w:divBdr>
    </w:div>
    <w:div w:id="2066641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wawan.kurniawan@steialamar.ac.id" TargetMode="Externa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8725</Words>
  <Characters>49738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Ibnu imam Al Ayyubi</cp:lastModifiedBy>
  <cp:revision>16</cp:revision>
  <dcterms:created xsi:type="dcterms:W3CDTF">2026-07-21T00:18:00Z</dcterms:created>
  <dcterms:modified xsi:type="dcterms:W3CDTF">2026-08-29T15:55:00Z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49d80101-07b8-3995-8ce4-1be8b4b9a862</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http://csl.mendeley.com/styles/654921641/apa-25</vt:lpwstr>
  </property>
  <property fmtid="{D5CDD505-2E9C-101B-9397-08002B2CF9AE}" pid="10" name="Mendeley Recent Style Name 2_1">
    <vt:lpwstr>American Psychological Association 7th edition - Tatang Muh Nasir 25</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http://www.zotero.org/styles/chicago-fullnote-bibliography-with-ibid</vt:lpwstr>
  </property>
  <property fmtid="{D5CDD505-2E9C-101B-9397-08002B2CF9AE}" pid="16" name="Mendeley Recent Style Name 5_1">
    <vt:lpwstr>Chicago Manual of Style 17th edition (full note, with Ibid.)</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12th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