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6A6FF" w14:textId="4328EB06" w:rsidR="00167B15" w:rsidRPr="00CE034A" w:rsidRDefault="00CE034A" w:rsidP="00167B15">
      <w:pPr>
        <w:spacing w:after="0" w:line="240" w:lineRule="auto"/>
        <w:jc w:val="center"/>
        <w:rPr>
          <w:rFonts w:ascii="Times New Roman" w:eastAsia="Times New Roman" w:hAnsi="Times New Roman" w:cs="Times New Roman"/>
          <w:b/>
          <w:sz w:val="24"/>
          <w:szCs w:val="24"/>
          <w:lang w:val="en-US"/>
        </w:rPr>
      </w:pPr>
      <w:r w:rsidRPr="00CE034A">
        <w:rPr>
          <w:rFonts w:ascii="Times New Roman" w:eastAsia="Times New Roman" w:hAnsi="Times New Roman" w:cs="Times New Roman"/>
          <w:b/>
          <w:sz w:val="24"/>
          <w:szCs w:val="24"/>
        </w:rPr>
        <w:t>FROM KNOWLEDGE TO SUSTAINABILITY: REIMAGINING SCIENCE EDUCATION FOR A CHANGING WORLD</w:t>
      </w:r>
    </w:p>
    <w:p w14:paraId="69517FF7" w14:textId="77777777" w:rsidR="00167B15" w:rsidRDefault="00167B15" w:rsidP="00167B15">
      <w:pPr>
        <w:spacing w:after="0" w:line="240" w:lineRule="auto"/>
        <w:jc w:val="center"/>
        <w:rPr>
          <w:rFonts w:ascii="Times New Roman" w:eastAsia="Times New Roman" w:hAnsi="Times New Roman" w:cs="Times New Roman"/>
          <w:b/>
        </w:rPr>
      </w:pPr>
    </w:p>
    <w:p w14:paraId="76A72655" w14:textId="676AE9D0" w:rsidR="00167B15" w:rsidRDefault="00CD16BD" w:rsidP="00167B15">
      <w:pPr>
        <w:tabs>
          <w:tab w:val="left" w:pos="3119"/>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Ilham Ginanjar</w:t>
      </w:r>
      <w:r w:rsidR="00167B15">
        <w:rPr>
          <w:rFonts w:ascii="Times New Roman" w:eastAsia="Times New Roman" w:hAnsi="Times New Roman" w:cs="Times New Roman"/>
          <w:b/>
          <w:color w:val="000000"/>
          <w:sz w:val="24"/>
          <w:szCs w:val="24"/>
          <w:vertAlign w:val="superscript"/>
        </w:rPr>
        <w:t>1*</w:t>
      </w:r>
    </w:p>
    <w:p w14:paraId="05767189" w14:textId="77777777" w:rsidR="00167B15" w:rsidRDefault="00167B15" w:rsidP="00167B15">
      <w:pPr>
        <w:tabs>
          <w:tab w:val="left" w:pos="3119"/>
        </w:tabs>
        <w:spacing w:after="0" w:line="240" w:lineRule="auto"/>
        <w:jc w:val="center"/>
        <w:rPr>
          <w:rFonts w:ascii="Times New Roman" w:eastAsia="Times New Roman" w:hAnsi="Times New Roman" w:cs="Times New Roman"/>
          <w:b/>
          <w:color w:val="000000"/>
          <w:sz w:val="24"/>
          <w:szCs w:val="24"/>
          <w:vertAlign w:val="superscript"/>
        </w:rPr>
      </w:pPr>
    </w:p>
    <w:p w14:paraId="2BEE428D" w14:textId="715C1397" w:rsidR="00167B15" w:rsidRDefault="00167B15" w:rsidP="00167B15">
      <w:pPr>
        <w:tabs>
          <w:tab w:val="left" w:pos="3119"/>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 xml:space="preserve">1 </w:t>
      </w:r>
      <w:r w:rsidR="00CD16BD">
        <w:rPr>
          <w:rFonts w:ascii="Times New Roman" w:eastAsia="Times New Roman" w:hAnsi="Times New Roman" w:cs="Times New Roman"/>
          <w:color w:val="000000"/>
          <w:sz w:val="24"/>
          <w:szCs w:val="24"/>
        </w:rPr>
        <w:t>Institut Keguruan dan Ilmu Pendidikan Siliwangi, Indonesia</w:t>
      </w:r>
    </w:p>
    <w:p w14:paraId="6E7BF463" w14:textId="6BF9EFC6" w:rsidR="00167B15" w:rsidRPr="00A5277C" w:rsidRDefault="00167B15" w:rsidP="00167B15">
      <w:pPr>
        <w:tabs>
          <w:tab w:val="left" w:pos="3119"/>
        </w:tabs>
        <w:spacing w:after="0" w:line="240" w:lineRule="auto"/>
        <w:jc w:val="center"/>
        <w:rPr>
          <w:rFonts w:ascii="Times New Roman" w:eastAsia="Times New Roman" w:hAnsi="Times New Roman" w:cs="Times New Roman"/>
          <w:color w:val="000000"/>
          <w:sz w:val="20"/>
          <w:szCs w:val="20"/>
        </w:rPr>
      </w:pPr>
      <w:r w:rsidRPr="00A5277C">
        <w:rPr>
          <w:sz w:val="20"/>
          <w:szCs w:val="20"/>
        </w:rPr>
        <w:t xml:space="preserve"> *</w:t>
      </w:r>
      <w:proofErr w:type="spellStart"/>
      <w:r w:rsidRPr="00A5277C">
        <w:rPr>
          <w:rFonts w:ascii="Times New Roman" w:eastAsia="Times New Roman" w:hAnsi="Times New Roman" w:cs="Times New Roman"/>
          <w:i/>
          <w:sz w:val="20"/>
          <w:szCs w:val="20"/>
        </w:rPr>
        <w:t>Corresponding</w:t>
      </w:r>
      <w:proofErr w:type="spellEnd"/>
      <w:r w:rsidRPr="00A5277C">
        <w:rPr>
          <w:rFonts w:ascii="Times New Roman" w:eastAsia="Times New Roman" w:hAnsi="Times New Roman" w:cs="Times New Roman"/>
          <w:i/>
          <w:sz w:val="20"/>
          <w:szCs w:val="20"/>
        </w:rPr>
        <w:t xml:space="preserve"> </w:t>
      </w:r>
      <w:proofErr w:type="spellStart"/>
      <w:r w:rsidRPr="00A5277C">
        <w:rPr>
          <w:rFonts w:ascii="Times New Roman" w:eastAsia="Times New Roman" w:hAnsi="Times New Roman" w:cs="Times New Roman"/>
          <w:i/>
          <w:sz w:val="20"/>
          <w:szCs w:val="20"/>
        </w:rPr>
        <w:t>author</w:t>
      </w:r>
      <w:proofErr w:type="spellEnd"/>
      <w:r w:rsidRPr="00A5277C">
        <w:rPr>
          <w:rFonts w:ascii="Times New Roman" w:eastAsia="Times New Roman" w:hAnsi="Times New Roman" w:cs="Times New Roman"/>
          <w:i/>
          <w:sz w:val="20"/>
          <w:szCs w:val="20"/>
        </w:rPr>
        <w:t xml:space="preserve">: </w:t>
      </w:r>
      <w:hyperlink r:id="rId7" w:history="1">
        <w:r w:rsidR="00CD16BD">
          <w:rPr>
            <w:rStyle w:val="Hyperlink"/>
            <w:rFonts w:ascii="Times New Roman" w:eastAsia="Times New Roman" w:hAnsi="Times New Roman" w:cs="Times New Roman"/>
            <w:i/>
            <w:sz w:val="20"/>
            <w:szCs w:val="20"/>
          </w:rPr>
          <w:t>ilhamginanjar@gmail.com</w:t>
        </w:r>
      </w:hyperlink>
    </w:p>
    <w:p w14:paraId="245B59A6" w14:textId="77777777" w:rsidR="00167B15" w:rsidRDefault="00167B15" w:rsidP="00167B15">
      <w:pPr>
        <w:tabs>
          <w:tab w:val="left" w:pos="3119"/>
        </w:tabs>
        <w:spacing w:after="0" w:line="240" w:lineRule="auto"/>
        <w:jc w:val="center"/>
        <w:rPr>
          <w:rFonts w:ascii="Times New Roman" w:eastAsia="Times New Roman" w:hAnsi="Times New Roman" w:cs="Times New Roman"/>
          <w:color w:val="000000"/>
          <w:sz w:val="24"/>
          <w:szCs w:val="24"/>
        </w:rPr>
      </w:pPr>
    </w:p>
    <w:p w14:paraId="5F8B0D7E" w14:textId="77777777" w:rsidR="00167B15" w:rsidRDefault="00167B15" w:rsidP="00167B15">
      <w:pPr>
        <w:tabs>
          <w:tab w:val="left" w:pos="3119"/>
        </w:tabs>
        <w:spacing w:after="0" w:line="240" w:lineRule="auto"/>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i/>
          <w:sz w:val="18"/>
          <w:szCs w:val="18"/>
        </w:rPr>
        <w:t>Received</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dd</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Month</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yyyy</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Revised</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dd</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Month</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yyyy</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Accepted</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dd</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Month</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yyyy</w:t>
      </w:r>
      <w:proofErr w:type="spellEnd"/>
      <w:r>
        <w:rPr>
          <w:rFonts w:ascii="Times New Roman" w:eastAsia="Times New Roman" w:hAnsi="Times New Roman" w:cs="Times New Roman"/>
          <w:i/>
          <w:sz w:val="18"/>
          <w:szCs w:val="18"/>
        </w:rPr>
        <w:t xml:space="preserve">  (9pt)</w:t>
      </w:r>
    </w:p>
    <w:p w14:paraId="46725FBD" w14:textId="3A1FD169" w:rsidR="00167B15" w:rsidRDefault="00167B15" w:rsidP="00167B15">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1B182E8" w14:textId="77777777" w:rsidR="008D5FE2" w:rsidRDefault="008D5FE2" w:rsidP="00167B15">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CCFB160" w14:textId="77777777" w:rsidR="00167B15" w:rsidRPr="00A5277C" w:rsidRDefault="00167B15" w:rsidP="00167B15">
      <w:pPr>
        <w:spacing w:after="0" w:line="240" w:lineRule="auto"/>
        <w:jc w:val="center"/>
        <w:rPr>
          <w:rFonts w:ascii="Times New Roman" w:eastAsia="Times New Roman" w:hAnsi="Times New Roman" w:cs="Times New Roman"/>
          <w:i/>
          <w:sz w:val="20"/>
          <w:szCs w:val="20"/>
        </w:rPr>
      </w:pPr>
      <w:proofErr w:type="spellStart"/>
      <w:r w:rsidRPr="00A5277C">
        <w:rPr>
          <w:rFonts w:ascii="Times New Roman" w:eastAsia="Times New Roman" w:hAnsi="Times New Roman" w:cs="Times New Roman"/>
          <w:b/>
          <w:i/>
          <w:sz w:val="20"/>
          <w:szCs w:val="20"/>
        </w:rPr>
        <w:t>Abstract</w:t>
      </w:r>
      <w:proofErr w:type="spellEnd"/>
    </w:p>
    <w:p w14:paraId="36D46FF1" w14:textId="1EFA8351" w:rsidR="00167B15" w:rsidRDefault="001F6B86" w:rsidP="00167B15">
      <w:pPr>
        <w:spacing w:after="0" w:line="240" w:lineRule="auto"/>
        <w:jc w:val="both"/>
        <w:rPr>
          <w:rFonts w:ascii="Times New Roman" w:eastAsia="Times New Roman" w:hAnsi="Times New Roman" w:cs="Times New Roman"/>
          <w:i/>
          <w:sz w:val="20"/>
          <w:szCs w:val="20"/>
        </w:rPr>
      </w:pPr>
      <w:proofErr w:type="spellStart"/>
      <w:r w:rsidRPr="001F6B86">
        <w:rPr>
          <w:rFonts w:ascii="Times New Roman" w:eastAsia="Times New Roman" w:hAnsi="Times New Roman" w:cs="Times New Roman"/>
          <w:i/>
          <w:sz w:val="20"/>
          <w:szCs w:val="20"/>
        </w:rPr>
        <w:t>Science</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education</w:t>
      </w:r>
      <w:proofErr w:type="spellEnd"/>
      <w:r w:rsidRPr="001F6B86">
        <w:rPr>
          <w:rFonts w:ascii="Times New Roman" w:eastAsia="Times New Roman" w:hAnsi="Times New Roman" w:cs="Times New Roman"/>
          <w:i/>
          <w:sz w:val="20"/>
          <w:szCs w:val="20"/>
        </w:rPr>
        <w:t xml:space="preserve"> has </w:t>
      </w:r>
      <w:proofErr w:type="spellStart"/>
      <w:r w:rsidRPr="001F6B86">
        <w:rPr>
          <w:rFonts w:ascii="Times New Roman" w:eastAsia="Times New Roman" w:hAnsi="Times New Roman" w:cs="Times New Roman"/>
          <w:i/>
          <w:sz w:val="20"/>
          <w:szCs w:val="20"/>
        </w:rPr>
        <w:t>traditionally</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emphasized</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the</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acquisition</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of</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scientific</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knowledge</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concepts</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principles</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and</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procedural</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skills</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However</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the</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accelerating</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challenges</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of</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climate</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change</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biodiversity</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loss</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environmental</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degradation</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resource</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scarcity</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technological</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transformation</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and</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social</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inequality</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require</w:t>
      </w:r>
      <w:proofErr w:type="spellEnd"/>
      <w:r w:rsidRPr="001F6B86">
        <w:rPr>
          <w:rFonts w:ascii="Times New Roman" w:eastAsia="Times New Roman" w:hAnsi="Times New Roman" w:cs="Times New Roman"/>
          <w:i/>
          <w:sz w:val="20"/>
          <w:szCs w:val="20"/>
        </w:rPr>
        <w:t xml:space="preserve"> a </w:t>
      </w:r>
      <w:proofErr w:type="spellStart"/>
      <w:r w:rsidRPr="001F6B86">
        <w:rPr>
          <w:rFonts w:ascii="Times New Roman" w:eastAsia="Times New Roman" w:hAnsi="Times New Roman" w:cs="Times New Roman"/>
          <w:i/>
          <w:sz w:val="20"/>
          <w:szCs w:val="20"/>
        </w:rPr>
        <w:t>broader</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conception</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of</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what</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science</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education</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should</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accomplish</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This</w:t>
      </w:r>
      <w:proofErr w:type="spellEnd"/>
      <w:r w:rsidRPr="001F6B86">
        <w:rPr>
          <w:rFonts w:ascii="Times New Roman" w:eastAsia="Times New Roman" w:hAnsi="Times New Roman" w:cs="Times New Roman"/>
          <w:i/>
          <w:sz w:val="20"/>
          <w:szCs w:val="20"/>
        </w:rPr>
        <w:t xml:space="preserve"> study </w:t>
      </w:r>
      <w:proofErr w:type="spellStart"/>
      <w:r w:rsidRPr="001F6B86">
        <w:rPr>
          <w:rFonts w:ascii="Times New Roman" w:eastAsia="Times New Roman" w:hAnsi="Times New Roman" w:cs="Times New Roman"/>
          <w:i/>
          <w:sz w:val="20"/>
          <w:szCs w:val="20"/>
        </w:rPr>
        <w:t>aims</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to</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critically</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examine</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the</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transformation</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of</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science</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education</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from</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knowledge-centered</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learning</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toward</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sustainability-oriented</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education</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that</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develops</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scientific</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understanding</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systems</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thinking</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critical</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thinking</w:t>
      </w:r>
      <w:proofErr w:type="spellEnd"/>
      <w:r w:rsidRPr="001F6B86">
        <w:rPr>
          <w:rFonts w:ascii="Times New Roman" w:eastAsia="Times New Roman" w:hAnsi="Times New Roman" w:cs="Times New Roman"/>
          <w:i/>
          <w:sz w:val="20"/>
          <w:szCs w:val="20"/>
        </w:rPr>
        <w:t xml:space="preserve">, problem </w:t>
      </w:r>
      <w:proofErr w:type="spellStart"/>
      <w:r w:rsidRPr="001F6B86">
        <w:rPr>
          <w:rFonts w:ascii="Times New Roman" w:eastAsia="Times New Roman" w:hAnsi="Times New Roman" w:cs="Times New Roman"/>
          <w:i/>
          <w:sz w:val="20"/>
          <w:szCs w:val="20"/>
        </w:rPr>
        <w:t>solving</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environmental</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responsibility</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and</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students</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capacity</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to</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participate</w:t>
      </w:r>
      <w:proofErr w:type="spellEnd"/>
      <w:r w:rsidRPr="001F6B86">
        <w:rPr>
          <w:rFonts w:ascii="Times New Roman" w:eastAsia="Times New Roman" w:hAnsi="Times New Roman" w:cs="Times New Roman"/>
          <w:i/>
          <w:sz w:val="20"/>
          <w:szCs w:val="20"/>
        </w:rPr>
        <w:t xml:space="preserve"> in </w:t>
      </w:r>
      <w:proofErr w:type="spellStart"/>
      <w:r w:rsidRPr="001F6B86">
        <w:rPr>
          <w:rFonts w:ascii="Times New Roman" w:eastAsia="Times New Roman" w:hAnsi="Times New Roman" w:cs="Times New Roman"/>
          <w:i/>
          <w:sz w:val="20"/>
          <w:szCs w:val="20"/>
        </w:rPr>
        <w:t>addressing</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complex</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societal</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challenges</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This</w:t>
      </w:r>
      <w:proofErr w:type="spellEnd"/>
      <w:r w:rsidRPr="001F6B86">
        <w:rPr>
          <w:rFonts w:ascii="Times New Roman" w:eastAsia="Times New Roman" w:hAnsi="Times New Roman" w:cs="Times New Roman"/>
          <w:i/>
          <w:sz w:val="20"/>
          <w:szCs w:val="20"/>
        </w:rPr>
        <w:t xml:space="preserve"> study </w:t>
      </w:r>
      <w:proofErr w:type="spellStart"/>
      <w:r w:rsidRPr="001F6B86">
        <w:rPr>
          <w:rFonts w:ascii="Times New Roman" w:eastAsia="Times New Roman" w:hAnsi="Times New Roman" w:cs="Times New Roman"/>
          <w:i/>
          <w:sz w:val="20"/>
          <w:szCs w:val="20"/>
        </w:rPr>
        <w:t>employs</w:t>
      </w:r>
      <w:proofErr w:type="spellEnd"/>
      <w:r w:rsidRPr="001F6B86">
        <w:rPr>
          <w:rFonts w:ascii="Times New Roman" w:eastAsia="Times New Roman" w:hAnsi="Times New Roman" w:cs="Times New Roman"/>
          <w:i/>
          <w:sz w:val="20"/>
          <w:szCs w:val="20"/>
        </w:rPr>
        <w:t xml:space="preserve"> a </w:t>
      </w:r>
      <w:proofErr w:type="spellStart"/>
      <w:r w:rsidRPr="001F6B86">
        <w:rPr>
          <w:rFonts w:ascii="Times New Roman" w:eastAsia="Times New Roman" w:hAnsi="Times New Roman" w:cs="Times New Roman"/>
          <w:i/>
          <w:sz w:val="20"/>
          <w:szCs w:val="20"/>
        </w:rPr>
        <w:t>qualitative</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library</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research</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approach</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through</w:t>
      </w:r>
      <w:proofErr w:type="spellEnd"/>
      <w:r w:rsidRPr="001F6B86">
        <w:rPr>
          <w:rFonts w:ascii="Times New Roman" w:eastAsia="Times New Roman" w:hAnsi="Times New Roman" w:cs="Times New Roman"/>
          <w:i/>
          <w:sz w:val="20"/>
          <w:szCs w:val="20"/>
        </w:rPr>
        <w:t xml:space="preserve"> a </w:t>
      </w:r>
      <w:proofErr w:type="spellStart"/>
      <w:r w:rsidRPr="001F6B86">
        <w:rPr>
          <w:rFonts w:ascii="Times New Roman" w:eastAsia="Times New Roman" w:hAnsi="Times New Roman" w:cs="Times New Roman"/>
          <w:i/>
          <w:sz w:val="20"/>
          <w:szCs w:val="20"/>
        </w:rPr>
        <w:t>critical</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analysis</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of</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scholarly</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literature</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concerning</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science</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education</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sustainability</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education</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environmental</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education</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scientific</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literacy</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systems</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thinking</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climate</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change</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education</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and</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education</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for</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sustainable</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development</w:t>
      </w:r>
      <w:proofErr w:type="spellEnd"/>
      <w:r w:rsidRPr="001F6B86">
        <w:rPr>
          <w:rFonts w:ascii="Times New Roman" w:eastAsia="Times New Roman" w:hAnsi="Times New Roman" w:cs="Times New Roman"/>
          <w:i/>
          <w:sz w:val="20"/>
          <w:szCs w:val="20"/>
        </w:rPr>
        <w:t xml:space="preserve">. The </w:t>
      </w:r>
      <w:proofErr w:type="spellStart"/>
      <w:r w:rsidRPr="001F6B86">
        <w:rPr>
          <w:rFonts w:ascii="Times New Roman" w:eastAsia="Times New Roman" w:hAnsi="Times New Roman" w:cs="Times New Roman"/>
          <w:i/>
          <w:sz w:val="20"/>
          <w:szCs w:val="20"/>
        </w:rPr>
        <w:t>findings</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indicate</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that</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scientific</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knowledge</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remains</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essential</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but</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is</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insufficient</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when</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separated</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from</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contextual</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understanding</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ethical</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reasoning</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interdisciplinary</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perspectives</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and</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action-oriented</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learning</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Sustainability-oriented</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science</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education</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provides</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opportunities</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to</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connect</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scientific</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concepts</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with</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authentic</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environmental</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and</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social</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problems</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encourage</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inquiry</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and</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systems</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thinking</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strengthen</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students</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scientific</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literacy</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and</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develop</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responsible</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decision</w:t>
      </w:r>
      <w:proofErr w:type="spellEnd"/>
      <w:r w:rsidRPr="001F6B86">
        <w:rPr>
          <w:rFonts w:ascii="Times New Roman" w:eastAsia="Times New Roman" w:hAnsi="Times New Roman" w:cs="Times New Roman"/>
          <w:i/>
          <w:sz w:val="20"/>
          <w:szCs w:val="20"/>
        </w:rPr>
        <w:t xml:space="preserve">-making. </w:t>
      </w:r>
      <w:proofErr w:type="spellStart"/>
      <w:r w:rsidRPr="001F6B86">
        <w:rPr>
          <w:rFonts w:ascii="Times New Roman" w:eastAsia="Times New Roman" w:hAnsi="Times New Roman" w:cs="Times New Roman"/>
          <w:i/>
          <w:sz w:val="20"/>
          <w:szCs w:val="20"/>
        </w:rPr>
        <w:t>Nevertheless</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the</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literature</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also</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reveals</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challenges</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related</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to</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fragmented</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curricula</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limited</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teacher</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preparedness</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insufficient</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interdisciplinary</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integration</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and</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the</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tendency</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to</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treat</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sustainability</w:t>
      </w:r>
      <w:proofErr w:type="spellEnd"/>
      <w:r w:rsidRPr="001F6B86">
        <w:rPr>
          <w:rFonts w:ascii="Times New Roman" w:eastAsia="Times New Roman" w:hAnsi="Times New Roman" w:cs="Times New Roman"/>
          <w:i/>
          <w:sz w:val="20"/>
          <w:szCs w:val="20"/>
        </w:rPr>
        <w:t xml:space="preserve"> as </w:t>
      </w:r>
      <w:proofErr w:type="spellStart"/>
      <w:r w:rsidRPr="001F6B86">
        <w:rPr>
          <w:rFonts w:ascii="Times New Roman" w:eastAsia="Times New Roman" w:hAnsi="Times New Roman" w:cs="Times New Roman"/>
          <w:i/>
          <w:sz w:val="20"/>
          <w:szCs w:val="20"/>
        </w:rPr>
        <w:t>an</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additional</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topic</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rather</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than</w:t>
      </w:r>
      <w:proofErr w:type="spellEnd"/>
      <w:r w:rsidRPr="001F6B86">
        <w:rPr>
          <w:rFonts w:ascii="Times New Roman" w:eastAsia="Times New Roman" w:hAnsi="Times New Roman" w:cs="Times New Roman"/>
          <w:i/>
          <w:sz w:val="20"/>
          <w:szCs w:val="20"/>
        </w:rPr>
        <w:t xml:space="preserve"> a </w:t>
      </w:r>
      <w:proofErr w:type="spellStart"/>
      <w:r w:rsidRPr="001F6B86">
        <w:rPr>
          <w:rFonts w:ascii="Times New Roman" w:eastAsia="Times New Roman" w:hAnsi="Times New Roman" w:cs="Times New Roman"/>
          <w:i/>
          <w:sz w:val="20"/>
          <w:szCs w:val="20"/>
        </w:rPr>
        <w:t>transformative</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educational</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orientation</w:t>
      </w:r>
      <w:proofErr w:type="spellEnd"/>
      <w:r w:rsidRPr="001F6B86">
        <w:rPr>
          <w:rFonts w:ascii="Times New Roman" w:eastAsia="Times New Roman" w:hAnsi="Times New Roman" w:cs="Times New Roman"/>
          <w:i/>
          <w:sz w:val="20"/>
          <w:szCs w:val="20"/>
        </w:rPr>
        <w:t xml:space="preserve">. The study </w:t>
      </w:r>
      <w:proofErr w:type="spellStart"/>
      <w:r w:rsidRPr="001F6B86">
        <w:rPr>
          <w:rFonts w:ascii="Times New Roman" w:eastAsia="Times New Roman" w:hAnsi="Times New Roman" w:cs="Times New Roman"/>
          <w:i/>
          <w:sz w:val="20"/>
          <w:szCs w:val="20"/>
        </w:rPr>
        <w:t>argues</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that</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science</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education</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should</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move</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from</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knowledge</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transmission</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toward</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transformative</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learning</w:t>
      </w:r>
      <w:proofErr w:type="spellEnd"/>
      <w:r w:rsidRPr="001F6B86">
        <w:rPr>
          <w:rFonts w:ascii="Times New Roman" w:eastAsia="Times New Roman" w:hAnsi="Times New Roman" w:cs="Times New Roman"/>
          <w:i/>
          <w:sz w:val="20"/>
          <w:szCs w:val="20"/>
        </w:rPr>
        <w:t xml:space="preserve"> in </w:t>
      </w:r>
      <w:proofErr w:type="spellStart"/>
      <w:r w:rsidRPr="001F6B86">
        <w:rPr>
          <w:rFonts w:ascii="Times New Roman" w:eastAsia="Times New Roman" w:hAnsi="Times New Roman" w:cs="Times New Roman"/>
          <w:i/>
          <w:sz w:val="20"/>
          <w:szCs w:val="20"/>
        </w:rPr>
        <w:t>which</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students</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use</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scientific</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knowledge</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to</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interpret</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complex</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systems</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evaluate</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evidence</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consider</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multiple</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perspectives</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and</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formulate</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responsible</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responses</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to</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sustainability</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challenges</w:t>
      </w:r>
      <w:proofErr w:type="spellEnd"/>
      <w:r w:rsidRPr="001F6B86">
        <w:rPr>
          <w:rFonts w:ascii="Times New Roman" w:eastAsia="Times New Roman" w:hAnsi="Times New Roman" w:cs="Times New Roman"/>
          <w:i/>
          <w:sz w:val="20"/>
          <w:szCs w:val="20"/>
        </w:rPr>
        <w:t xml:space="preserve">. The study </w:t>
      </w:r>
      <w:proofErr w:type="spellStart"/>
      <w:r w:rsidRPr="001F6B86">
        <w:rPr>
          <w:rFonts w:ascii="Times New Roman" w:eastAsia="Times New Roman" w:hAnsi="Times New Roman" w:cs="Times New Roman"/>
          <w:i/>
          <w:sz w:val="20"/>
          <w:szCs w:val="20"/>
        </w:rPr>
        <w:t>proposes</w:t>
      </w:r>
      <w:proofErr w:type="spellEnd"/>
      <w:r w:rsidRPr="001F6B86">
        <w:rPr>
          <w:rFonts w:ascii="Times New Roman" w:eastAsia="Times New Roman" w:hAnsi="Times New Roman" w:cs="Times New Roman"/>
          <w:i/>
          <w:sz w:val="20"/>
          <w:szCs w:val="20"/>
        </w:rPr>
        <w:t xml:space="preserve"> a human-</w:t>
      </w:r>
      <w:proofErr w:type="spellStart"/>
      <w:r w:rsidRPr="001F6B86">
        <w:rPr>
          <w:rFonts w:ascii="Times New Roman" w:eastAsia="Times New Roman" w:hAnsi="Times New Roman" w:cs="Times New Roman"/>
          <w:i/>
          <w:sz w:val="20"/>
          <w:szCs w:val="20"/>
        </w:rPr>
        <w:t>centered</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and</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sustainability-oriented</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framework</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that</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integrates</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scientific</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knowledge</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systems</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thinking</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critical</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inquiry</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ethical</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responsibility</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and</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action</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competence</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Such</w:t>
      </w:r>
      <w:proofErr w:type="spellEnd"/>
      <w:r w:rsidRPr="001F6B86">
        <w:rPr>
          <w:rFonts w:ascii="Times New Roman" w:eastAsia="Times New Roman" w:hAnsi="Times New Roman" w:cs="Times New Roman"/>
          <w:i/>
          <w:sz w:val="20"/>
          <w:szCs w:val="20"/>
        </w:rPr>
        <w:t xml:space="preserve"> a </w:t>
      </w:r>
      <w:proofErr w:type="spellStart"/>
      <w:r w:rsidRPr="001F6B86">
        <w:rPr>
          <w:rFonts w:ascii="Times New Roman" w:eastAsia="Times New Roman" w:hAnsi="Times New Roman" w:cs="Times New Roman"/>
          <w:i/>
          <w:sz w:val="20"/>
          <w:szCs w:val="20"/>
        </w:rPr>
        <w:t>transformation</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can</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position</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science</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education</w:t>
      </w:r>
      <w:proofErr w:type="spellEnd"/>
      <w:r w:rsidRPr="001F6B86">
        <w:rPr>
          <w:rFonts w:ascii="Times New Roman" w:eastAsia="Times New Roman" w:hAnsi="Times New Roman" w:cs="Times New Roman"/>
          <w:i/>
          <w:sz w:val="20"/>
          <w:szCs w:val="20"/>
        </w:rPr>
        <w:t xml:space="preserve"> as </w:t>
      </w:r>
      <w:proofErr w:type="spellStart"/>
      <w:r w:rsidRPr="001F6B86">
        <w:rPr>
          <w:rFonts w:ascii="Times New Roman" w:eastAsia="Times New Roman" w:hAnsi="Times New Roman" w:cs="Times New Roman"/>
          <w:i/>
          <w:sz w:val="20"/>
          <w:szCs w:val="20"/>
        </w:rPr>
        <w:t>an</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important</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foundation</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for</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preparing</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learners</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to</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participate</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meaningfully</w:t>
      </w:r>
      <w:proofErr w:type="spellEnd"/>
      <w:r w:rsidRPr="001F6B86">
        <w:rPr>
          <w:rFonts w:ascii="Times New Roman" w:eastAsia="Times New Roman" w:hAnsi="Times New Roman" w:cs="Times New Roman"/>
          <w:i/>
          <w:sz w:val="20"/>
          <w:szCs w:val="20"/>
        </w:rPr>
        <w:t xml:space="preserve"> in </w:t>
      </w:r>
      <w:proofErr w:type="spellStart"/>
      <w:r w:rsidRPr="001F6B86">
        <w:rPr>
          <w:rFonts w:ascii="Times New Roman" w:eastAsia="Times New Roman" w:hAnsi="Times New Roman" w:cs="Times New Roman"/>
          <w:i/>
          <w:sz w:val="20"/>
          <w:szCs w:val="20"/>
        </w:rPr>
        <w:t>creating</w:t>
      </w:r>
      <w:proofErr w:type="spellEnd"/>
      <w:r w:rsidRPr="001F6B86">
        <w:rPr>
          <w:rFonts w:ascii="Times New Roman" w:eastAsia="Times New Roman" w:hAnsi="Times New Roman" w:cs="Times New Roman"/>
          <w:i/>
          <w:sz w:val="20"/>
          <w:szCs w:val="20"/>
        </w:rPr>
        <w:t xml:space="preserve"> a </w:t>
      </w:r>
      <w:proofErr w:type="spellStart"/>
      <w:r w:rsidRPr="001F6B86">
        <w:rPr>
          <w:rFonts w:ascii="Times New Roman" w:eastAsia="Times New Roman" w:hAnsi="Times New Roman" w:cs="Times New Roman"/>
          <w:i/>
          <w:sz w:val="20"/>
          <w:szCs w:val="20"/>
        </w:rPr>
        <w:t>more</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sustainable</w:t>
      </w:r>
      <w:proofErr w:type="spellEnd"/>
      <w:r w:rsidRPr="001F6B86">
        <w:rPr>
          <w:rFonts w:ascii="Times New Roman" w:eastAsia="Times New Roman" w:hAnsi="Times New Roman" w:cs="Times New Roman"/>
          <w:i/>
          <w:sz w:val="20"/>
          <w:szCs w:val="20"/>
        </w:rPr>
        <w:t xml:space="preserve"> </w:t>
      </w:r>
      <w:proofErr w:type="spellStart"/>
      <w:r w:rsidRPr="001F6B86">
        <w:rPr>
          <w:rFonts w:ascii="Times New Roman" w:eastAsia="Times New Roman" w:hAnsi="Times New Roman" w:cs="Times New Roman"/>
          <w:i/>
          <w:sz w:val="20"/>
          <w:szCs w:val="20"/>
        </w:rPr>
        <w:t>future</w:t>
      </w:r>
      <w:proofErr w:type="spellEnd"/>
      <w:r w:rsidRPr="001F6B86">
        <w:rPr>
          <w:rFonts w:ascii="Times New Roman" w:eastAsia="Times New Roman" w:hAnsi="Times New Roman" w:cs="Times New Roman"/>
          <w:i/>
          <w:sz w:val="20"/>
          <w:szCs w:val="20"/>
        </w:rPr>
        <w:t>.</w:t>
      </w:r>
    </w:p>
    <w:p w14:paraId="0ED72FA5" w14:textId="77777777" w:rsidR="00167B15" w:rsidRDefault="00167B15" w:rsidP="00167B15">
      <w:pPr>
        <w:spacing w:after="0" w:line="240" w:lineRule="auto"/>
        <w:jc w:val="both"/>
        <w:rPr>
          <w:rFonts w:ascii="Times New Roman" w:eastAsia="Times New Roman" w:hAnsi="Times New Roman" w:cs="Times New Roman"/>
          <w:i/>
          <w:sz w:val="20"/>
          <w:szCs w:val="20"/>
        </w:rPr>
      </w:pPr>
    </w:p>
    <w:p w14:paraId="704B7E2B" w14:textId="56E671C0" w:rsidR="00167B15" w:rsidRDefault="00167B15" w:rsidP="00167B15">
      <w:pPr>
        <w:spacing w:after="0" w:line="240" w:lineRule="auto"/>
        <w:rPr>
          <w:rFonts w:ascii="Times New Roman" w:eastAsia="Times New Roman" w:hAnsi="Times New Roman" w:cs="Times New Roman"/>
          <w:i/>
          <w:sz w:val="20"/>
          <w:szCs w:val="20"/>
        </w:rPr>
      </w:pPr>
      <w:proofErr w:type="spellStart"/>
      <w:r>
        <w:rPr>
          <w:rFonts w:ascii="Times New Roman" w:eastAsia="Times New Roman" w:hAnsi="Times New Roman" w:cs="Times New Roman"/>
          <w:b/>
          <w:i/>
          <w:sz w:val="20"/>
          <w:szCs w:val="20"/>
        </w:rPr>
        <w:t>Keywords</w:t>
      </w:r>
      <w:proofErr w:type="spellEnd"/>
      <w:r>
        <w:rPr>
          <w:rFonts w:ascii="Times New Roman" w:eastAsia="Times New Roman" w:hAnsi="Times New Roman" w:cs="Times New Roman"/>
          <w:i/>
          <w:sz w:val="20"/>
          <w:szCs w:val="20"/>
        </w:rPr>
        <w:t xml:space="preserve">: </w:t>
      </w:r>
      <w:proofErr w:type="spellStart"/>
      <w:r w:rsidR="004B2D48" w:rsidRPr="004B2D48">
        <w:rPr>
          <w:rFonts w:ascii="Times New Roman" w:eastAsia="Times New Roman" w:hAnsi="Times New Roman" w:cs="Times New Roman"/>
          <w:i/>
          <w:sz w:val="20"/>
          <w:szCs w:val="20"/>
        </w:rPr>
        <w:t>Science</w:t>
      </w:r>
      <w:proofErr w:type="spellEnd"/>
      <w:r w:rsidR="004B2D48" w:rsidRPr="004B2D48">
        <w:rPr>
          <w:rFonts w:ascii="Times New Roman" w:eastAsia="Times New Roman" w:hAnsi="Times New Roman" w:cs="Times New Roman"/>
          <w:i/>
          <w:sz w:val="20"/>
          <w:szCs w:val="20"/>
        </w:rPr>
        <w:t xml:space="preserve"> </w:t>
      </w:r>
      <w:proofErr w:type="spellStart"/>
      <w:r w:rsidR="004B2D48" w:rsidRPr="004B2D48">
        <w:rPr>
          <w:rFonts w:ascii="Times New Roman" w:eastAsia="Times New Roman" w:hAnsi="Times New Roman" w:cs="Times New Roman"/>
          <w:i/>
          <w:sz w:val="20"/>
          <w:szCs w:val="20"/>
        </w:rPr>
        <w:t>Education</w:t>
      </w:r>
      <w:proofErr w:type="spellEnd"/>
      <w:r w:rsidR="004B2D48" w:rsidRPr="004B2D48">
        <w:rPr>
          <w:rFonts w:ascii="Times New Roman" w:eastAsia="Times New Roman" w:hAnsi="Times New Roman" w:cs="Times New Roman"/>
          <w:i/>
          <w:sz w:val="20"/>
          <w:szCs w:val="20"/>
        </w:rPr>
        <w:t xml:space="preserve">; </w:t>
      </w:r>
      <w:proofErr w:type="spellStart"/>
      <w:r w:rsidR="004B2D48" w:rsidRPr="004B2D48">
        <w:rPr>
          <w:rFonts w:ascii="Times New Roman" w:eastAsia="Times New Roman" w:hAnsi="Times New Roman" w:cs="Times New Roman"/>
          <w:i/>
          <w:sz w:val="20"/>
          <w:szCs w:val="20"/>
        </w:rPr>
        <w:t>Sustainability</w:t>
      </w:r>
      <w:proofErr w:type="spellEnd"/>
      <w:r w:rsidR="004B2D48" w:rsidRPr="004B2D48">
        <w:rPr>
          <w:rFonts w:ascii="Times New Roman" w:eastAsia="Times New Roman" w:hAnsi="Times New Roman" w:cs="Times New Roman"/>
          <w:i/>
          <w:sz w:val="20"/>
          <w:szCs w:val="20"/>
        </w:rPr>
        <w:t xml:space="preserve"> </w:t>
      </w:r>
      <w:proofErr w:type="spellStart"/>
      <w:r w:rsidR="004B2D48" w:rsidRPr="004B2D48">
        <w:rPr>
          <w:rFonts w:ascii="Times New Roman" w:eastAsia="Times New Roman" w:hAnsi="Times New Roman" w:cs="Times New Roman"/>
          <w:i/>
          <w:sz w:val="20"/>
          <w:szCs w:val="20"/>
        </w:rPr>
        <w:t>Education</w:t>
      </w:r>
      <w:proofErr w:type="spellEnd"/>
      <w:r w:rsidR="004B2D48" w:rsidRPr="004B2D48">
        <w:rPr>
          <w:rFonts w:ascii="Times New Roman" w:eastAsia="Times New Roman" w:hAnsi="Times New Roman" w:cs="Times New Roman"/>
          <w:i/>
          <w:sz w:val="20"/>
          <w:szCs w:val="20"/>
        </w:rPr>
        <w:t xml:space="preserve">; </w:t>
      </w:r>
      <w:proofErr w:type="spellStart"/>
      <w:r w:rsidR="004B2D48" w:rsidRPr="004B2D48">
        <w:rPr>
          <w:rFonts w:ascii="Times New Roman" w:eastAsia="Times New Roman" w:hAnsi="Times New Roman" w:cs="Times New Roman"/>
          <w:i/>
          <w:sz w:val="20"/>
          <w:szCs w:val="20"/>
        </w:rPr>
        <w:t>Scientific</w:t>
      </w:r>
      <w:proofErr w:type="spellEnd"/>
      <w:r w:rsidR="004B2D48" w:rsidRPr="004B2D48">
        <w:rPr>
          <w:rFonts w:ascii="Times New Roman" w:eastAsia="Times New Roman" w:hAnsi="Times New Roman" w:cs="Times New Roman"/>
          <w:i/>
          <w:sz w:val="20"/>
          <w:szCs w:val="20"/>
        </w:rPr>
        <w:t xml:space="preserve"> </w:t>
      </w:r>
      <w:proofErr w:type="spellStart"/>
      <w:r w:rsidR="004B2D48" w:rsidRPr="004B2D48">
        <w:rPr>
          <w:rFonts w:ascii="Times New Roman" w:eastAsia="Times New Roman" w:hAnsi="Times New Roman" w:cs="Times New Roman"/>
          <w:i/>
          <w:sz w:val="20"/>
          <w:szCs w:val="20"/>
        </w:rPr>
        <w:t>Literacy</w:t>
      </w:r>
      <w:proofErr w:type="spellEnd"/>
    </w:p>
    <w:p w14:paraId="1360559E" w14:textId="77777777" w:rsidR="00EA5C5F" w:rsidRDefault="00EA5C5F" w:rsidP="00EA5C5F">
      <w:pPr>
        <w:spacing w:after="0" w:line="240" w:lineRule="auto"/>
        <w:rPr>
          <w:rFonts w:ascii="Times New Roman" w:eastAsia="Times New Roman" w:hAnsi="Times New Roman" w:cs="Times New Roman"/>
          <w:b/>
          <w:sz w:val="24"/>
          <w:szCs w:val="24"/>
        </w:rPr>
      </w:pPr>
    </w:p>
    <w:p w14:paraId="36832249" w14:textId="77777777" w:rsidR="00EA5C5F" w:rsidRDefault="00EA5C5F" w:rsidP="00EA5C5F">
      <w:pPr>
        <w:spacing w:after="0" w:line="240" w:lineRule="auto"/>
        <w:rPr>
          <w:rFonts w:ascii="Times New Roman" w:eastAsia="Times New Roman" w:hAnsi="Times New Roman" w:cs="Times New Roman"/>
          <w:sz w:val="24"/>
          <w:szCs w:val="24"/>
        </w:rPr>
      </w:pPr>
    </w:p>
    <w:p w14:paraId="5FC71CCA" w14:textId="77777777" w:rsidR="00EA5C5F" w:rsidRDefault="00EA5C5F" w:rsidP="00EA5C5F">
      <w:pPr>
        <w:spacing w:after="0" w:line="240" w:lineRule="auto"/>
        <w:rPr>
          <w:rFonts w:ascii="Times New Roman" w:eastAsia="Times New Roman" w:hAnsi="Times New Roman" w:cs="Times New Roman"/>
          <w:sz w:val="24"/>
          <w:szCs w:val="24"/>
        </w:rPr>
        <w:sectPr w:rsidR="00EA5C5F" w:rsidSect="00EA5C5F">
          <w:headerReference w:type="even" r:id="rId8"/>
          <w:headerReference w:type="default" r:id="rId9"/>
          <w:footerReference w:type="even" r:id="rId10"/>
          <w:type w:val="continuous"/>
          <w:pgSz w:w="11907" w:h="16839"/>
          <w:pgMar w:top="1701" w:right="1701" w:bottom="1701" w:left="1701" w:header="709" w:footer="709" w:gutter="0"/>
          <w:pgNumType w:start="92"/>
          <w:cols w:space="720"/>
        </w:sectPr>
      </w:pPr>
    </w:p>
    <w:p w14:paraId="1324D763" w14:textId="3134F4FB" w:rsidR="00167B15" w:rsidRPr="0025109F" w:rsidRDefault="000E0D44" w:rsidP="0025109F">
      <w:pPr>
        <w:spacing w:after="0" w:line="240" w:lineRule="auto"/>
        <w:jc w:val="both"/>
        <w:rPr>
          <w:rFonts w:ascii="Times New Roman" w:eastAsia="Times New Roman" w:hAnsi="Times New Roman" w:cs="Times New Roman"/>
          <w:b/>
          <w:sz w:val="24"/>
          <w:szCs w:val="24"/>
          <w:lang w:val="en-US"/>
        </w:rPr>
      </w:pPr>
      <w:r w:rsidRPr="0025109F">
        <w:rPr>
          <w:rFonts w:ascii="Times New Roman" w:eastAsia="Times New Roman" w:hAnsi="Times New Roman" w:cs="Times New Roman"/>
          <w:b/>
          <w:sz w:val="24"/>
          <w:szCs w:val="24"/>
          <w:lang w:val="en-US"/>
        </w:rPr>
        <w:t>INTRODUCTION</w:t>
      </w:r>
    </w:p>
    <w:p w14:paraId="5BFEE477" w14:textId="0F7A030D" w:rsidR="0025109F" w:rsidRPr="0025109F" w:rsidRDefault="0025109F" w:rsidP="0025109F">
      <w:pPr>
        <w:pStyle w:val="pdq2pgselectionanchorcontainer"/>
        <w:spacing w:before="0" w:beforeAutospacing="0" w:after="0" w:afterAutospacing="0"/>
        <w:ind w:firstLine="720"/>
        <w:jc w:val="both"/>
        <w:rPr>
          <w:bCs/>
        </w:rPr>
      </w:pPr>
      <w:r w:rsidRPr="0025109F">
        <w:rPr>
          <w:bCs/>
        </w:rPr>
        <w:t>Science education occupies a fundamental position in contemporary educational systems because scientific knowledge provides individuals with conceptual and methodological resources for understanding the natural world</w:t>
      </w:r>
      <w:r w:rsidR="008E1630">
        <w:rPr>
          <w:bCs/>
        </w:rPr>
        <w:t xml:space="preserve"> </w:t>
      </w:r>
      <w:r w:rsidR="008E1630">
        <w:rPr>
          <w:bCs/>
        </w:rPr>
        <w:fldChar w:fldCharType="begin" w:fldLock="1"/>
      </w:r>
      <w:r w:rsidR="008E1630">
        <w:rPr>
          <w:bCs/>
        </w:rPr>
        <w:instrText>ADDIN CSL_CITATION {"citationItems":[{"id":"ITEM-1","itemData":{"DOI":"https://doi.org/10.1080/09500693.2021.1957515","ISSN":"0950-0693","author":[{"dropping-particle":"","family":"Vo","given":"De","non-dropping-particle":"Van","parse-names":false,"suffix":""},{"dropping-particle":"","family":"Csapó","given":"Benő","non-dropping-particle":"","parse-names":false,"suffix":""}],"container-title":"International Journal of Science Education","id":"ITEM-1","issue":"13","issued":{"date-parts":[["2021"]]},"page":"2185-2205","publisher":"Taylor &amp; Francis","title":"Development of scientific reasoning test measuring control of variables strategy in physics for high school students: Evidence of validity and latent predictors of item difficulty","type":"article-journal","volume":"43"},"uris":["http://www.mendeley.com/documents/?uuid=556d60c0-16ad-47ad-a7e8-0ff978f34f04"]}],"mendeley":{"formattedCitation":"(Van Vo &amp; Csapó, 2021)","plainTextFormattedCitation":"(Van Vo &amp; Csapó, 2021)","previouslyFormattedCitation":"(Van Vo &amp; Csapó, 2021)"},"properties":{"noteIndex":0},"schema":"https://github.com/citation-style-language/schema/raw/master/csl-citation.json"}</w:instrText>
      </w:r>
      <w:r w:rsidR="008E1630">
        <w:rPr>
          <w:bCs/>
        </w:rPr>
        <w:fldChar w:fldCharType="separate"/>
      </w:r>
      <w:r w:rsidR="008E1630" w:rsidRPr="008E1630">
        <w:rPr>
          <w:bCs/>
          <w:noProof/>
        </w:rPr>
        <w:t>(Van Vo &amp; Csapó, 2021)</w:t>
      </w:r>
      <w:r w:rsidR="008E1630">
        <w:rPr>
          <w:bCs/>
        </w:rPr>
        <w:fldChar w:fldCharType="end"/>
      </w:r>
      <w:r w:rsidRPr="0025109F">
        <w:rPr>
          <w:bCs/>
        </w:rPr>
        <w:t xml:space="preserve">. Through science education, students are expected to develop knowledge concerning physical, biological, chemical, and </w:t>
      </w:r>
      <w:r w:rsidRPr="0025109F">
        <w:rPr>
          <w:bCs/>
        </w:rPr>
        <w:t xml:space="preserve">environmental phenomena while also acquiring skills for observing, questioning, investigating, analyzing evidence, and drawing conclusions. For many years, the primary orientation of science education has been associated with the acquisition of scientific concepts and the development of scientific reasoning. Students are introduced to established knowledge and expected to demonstrate their </w:t>
      </w:r>
      <w:r w:rsidRPr="0025109F">
        <w:rPr>
          <w:bCs/>
        </w:rPr>
        <w:lastRenderedPageBreak/>
        <w:t>understanding through examinations, laboratory activities, assignments, and other forms of assessment. Although this orientation remains important, the rapidly changing conditions of the contemporary world require science education to pursue broader educational purposes</w:t>
      </w:r>
      <w:r w:rsidR="008E1630">
        <w:rPr>
          <w:bCs/>
        </w:rPr>
        <w:t xml:space="preserve"> </w:t>
      </w:r>
      <w:r w:rsidR="008E1630">
        <w:rPr>
          <w:bCs/>
        </w:rPr>
        <w:fldChar w:fldCharType="begin" w:fldLock="1"/>
      </w:r>
      <w:r w:rsidR="008E1630">
        <w:rPr>
          <w:bCs/>
        </w:rPr>
        <w:instrText>ADDIN CSL_CITATION {"citationItems":[{"id":"ITEM-1","itemData":{"DOI":"https://doi.org/10.29313/tjpi.v11i1.9045","ISSN":"2528-5092","author":[{"dropping-particle":"","family":"Nasution","given":"Hasan Bakti","non-dropping-particle":"","parse-names":false,"suffix":""},{"dropping-particle":"","family":"Siregar","given":"M Fajri Syahroni","non-dropping-particle":"","parse-names":false,"suffix":""},{"dropping-particle":"","family":"Saputra","given":"Imron Bima","non-dropping-particle":"","parse-names":false,"suffix":""}],"container-title":"Ta dib Jurnal Pendidikan Islam","id":"ITEM-1","issue":"1","issued":{"date-parts":[["2022"]]},"page":"53-64","title":"The distribution of science according to Muslim philosophers","type":"article-journal","volume":"11"},"uris":["http://www.mendeley.com/documents/?uuid=3acf3bde-e6ca-493a-a55c-ef06888d6141"]}],"mendeley":{"formattedCitation":"(Nasution et al., 2022)","plainTextFormattedCitation":"(Nasution et al., 2022)","previouslyFormattedCitation":"(Nasution et al., 2022)"},"properties":{"noteIndex":0},"schema":"https://github.com/citation-style-language/schema/raw/master/csl-citation.json"}</w:instrText>
      </w:r>
      <w:r w:rsidR="008E1630">
        <w:rPr>
          <w:bCs/>
        </w:rPr>
        <w:fldChar w:fldCharType="separate"/>
      </w:r>
      <w:r w:rsidR="008E1630" w:rsidRPr="008E1630">
        <w:rPr>
          <w:bCs/>
          <w:noProof/>
        </w:rPr>
        <w:t>(Nasution et al., 2022)</w:t>
      </w:r>
      <w:r w:rsidR="008E1630">
        <w:rPr>
          <w:bCs/>
        </w:rPr>
        <w:fldChar w:fldCharType="end"/>
      </w:r>
      <w:r w:rsidRPr="0025109F">
        <w:rPr>
          <w:bCs/>
        </w:rPr>
        <w:t>.</w:t>
      </w:r>
    </w:p>
    <w:p w14:paraId="5C8F8338" w14:textId="5D7A953D" w:rsidR="0025109F" w:rsidRPr="0025109F" w:rsidRDefault="0025109F" w:rsidP="0025109F">
      <w:pPr>
        <w:pStyle w:val="pdq2pgselectionanchorcontainer"/>
        <w:spacing w:before="0" w:beforeAutospacing="0" w:after="0" w:afterAutospacing="0"/>
        <w:ind w:firstLine="720"/>
        <w:jc w:val="both"/>
        <w:rPr>
          <w:bCs/>
        </w:rPr>
      </w:pPr>
      <w:r w:rsidRPr="0025109F">
        <w:rPr>
          <w:bCs/>
        </w:rPr>
        <w:t>Human societies are currently confronted with interconnected challenges involving climate change, environmental degradation, biodiversity loss, pollution, resource depletion, food insecurity, energy transitions, public health, and technological transformation</w:t>
      </w:r>
      <w:r w:rsidR="008E1630">
        <w:rPr>
          <w:bCs/>
        </w:rPr>
        <w:t xml:space="preserve"> </w:t>
      </w:r>
      <w:r w:rsidR="008E1630">
        <w:rPr>
          <w:bCs/>
        </w:rPr>
        <w:fldChar w:fldCharType="begin" w:fldLock="1"/>
      </w:r>
      <w:r w:rsidR="008E1630">
        <w:rPr>
          <w:bCs/>
        </w:rPr>
        <w:instrText>ADDIN CSL_CITATION {"citationItems":[{"id":"ITEM-1","itemData":{"DOI":"https://doi.org/10.34125/jkps.v9i1.426","ISSN":"2502-6445","author":[{"dropping-particle":"","family":"Hosaini","given":"Hosaini","non-dropping-particle":"","parse-names":false,"suffix":""},{"dropping-particle":"","family":"Akhyak","given":"Akhyak","non-dropping-particle":"","parse-names":false,"suffix":""}],"container-title":"Jurnal Kepemimpinan dan Pengurusan Sekolah","id":"ITEM-1","issue":"1","issued":{"date-parts":[["2024"]]},"page":"24-42","title":"Integration of Islam and Science in Interdisciplinary Islamic Studies","type":"article-journal","volume":"9"},"uris":["http://www.mendeley.com/documents/?uuid=7ad83de3-29d9-43be-ad1e-9e66c1fb5d83"]}],"mendeley":{"formattedCitation":"(Hosaini &amp; Akhyak, 2024)","plainTextFormattedCitation":"(Hosaini &amp; Akhyak, 2024)","previouslyFormattedCitation":"(Hosaini &amp; Akhyak, 2024)"},"properties":{"noteIndex":0},"schema":"https://github.com/citation-style-language/schema/raw/master/csl-citation.json"}</w:instrText>
      </w:r>
      <w:r w:rsidR="008E1630">
        <w:rPr>
          <w:bCs/>
        </w:rPr>
        <w:fldChar w:fldCharType="separate"/>
      </w:r>
      <w:r w:rsidR="008E1630" w:rsidRPr="008E1630">
        <w:rPr>
          <w:bCs/>
          <w:noProof/>
        </w:rPr>
        <w:t>(Hosaini &amp; Akhyak, 2024)</w:t>
      </w:r>
      <w:r w:rsidR="008E1630">
        <w:rPr>
          <w:bCs/>
        </w:rPr>
        <w:fldChar w:fldCharType="end"/>
      </w:r>
      <w:r w:rsidRPr="0025109F">
        <w:rPr>
          <w:bCs/>
        </w:rPr>
        <w:t>. These challenges are not isolated scientific problems. They involve complex interactions among ecological, technological, economic, political, and social systems. Addressing them requires individuals who possess scientific knowledge but are also capable of understanding complex relationships, evaluating competing claims, making evidence-informed decisions, and considering the long-term consequences of human actions. Science education therefore needs to reconsider whether providing students with scientific knowledge alone is sufficient preparation for living and participating in a rapidly changing world</w:t>
      </w:r>
      <w:r w:rsidR="008E1630">
        <w:rPr>
          <w:bCs/>
        </w:rPr>
        <w:t xml:space="preserve"> </w:t>
      </w:r>
      <w:r w:rsidR="008E1630">
        <w:rPr>
          <w:bCs/>
        </w:rPr>
        <w:fldChar w:fldCharType="begin" w:fldLock="1"/>
      </w:r>
      <w:r w:rsidR="008E1630">
        <w:rPr>
          <w:bCs/>
        </w:rPr>
        <w:instrText>ADDIN CSL_CITATION {"citationItems":[{"id":"ITEM-1","itemData":{"DOI":"http://dx.doi.org/10.24042/biosfer.v14i1.16891","ISSN":"2580-4960","author":[{"dropping-particle":"","family":"Windari","given":"Meylinda Retno","non-dropping-particle":"","parse-names":false,"suffix":""},{"dropping-particle":"","family":"Prihatin","given":"Jekti","non-dropping-particle":"","parse-names":false,"suffix":""},{"dropping-particle":"","family":"Fikri","given":"Kamalia","non-dropping-particle":"","parse-names":false,"suffix":""}],"container-title":"Biosfer: Jurnal Tadris Biologi","id":"ITEM-1","issue":"1","issued":{"date-parts":[["2023"]]},"page":"79-88","title":"The Effectiveness of Digital Textbooks on Brain-based Learning assisted by Animated Videos and Maze Chase-Wordwall on Science Literacy Skills and Student Learning Outcomes","type":"article-journal","volume":"14"},"uris":["http://www.mendeley.com/documents/?uuid=f5356f2d-34e5-4c72-bf49-bd50c5841783"]}],"mendeley":{"formattedCitation":"(Windari et al., 2023)","plainTextFormattedCitation":"(Windari et al., 2023)","previouslyFormattedCitation":"(Windari et al., 2023)"},"properties":{"noteIndex":0},"schema":"https://github.com/citation-style-language/schema/raw/master/csl-citation.json"}</w:instrText>
      </w:r>
      <w:r w:rsidR="008E1630">
        <w:rPr>
          <w:bCs/>
        </w:rPr>
        <w:fldChar w:fldCharType="separate"/>
      </w:r>
      <w:r w:rsidR="008E1630" w:rsidRPr="008E1630">
        <w:rPr>
          <w:bCs/>
          <w:noProof/>
        </w:rPr>
        <w:t>(Windari et al., 2023)</w:t>
      </w:r>
      <w:r w:rsidR="008E1630">
        <w:rPr>
          <w:bCs/>
        </w:rPr>
        <w:fldChar w:fldCharType="end"/>
      </w:r>
      <w:r w:rsidRPr="0025109F">
        <w:rPr>
          <w:bCs/>
        </w:rPr>
        <w:t>.</w:t>
      </w:r>
    </w:p>
    <w:p w14:paraId="08A9DAF5" w14:textId="4FECEF45" w:rsidR="0025109F" w:rsidRPr="0025109F" w:rsidRDefault="0025109F" w:rsidP="0025109F">
      <w:pPr>
        <w:pStyle w:val="pdq2pgselectionanchorcontainer"/>
        <w:spacing w:before="0" w:beforeAutospacing="0" w:after="0" w:afterAutospacing="0"/>
        <w:ind w:firstLine="720"/>
        <w:jc w:val="both"/>
        <w:rPr>
          <w:bCs/>
        </w:rPr>
      </w:pPr>
      <w:r w:rsidRPr="0025109F">
        <w:rPr>
          <w:bCs/>
        </w:rPr>
        <w:t>The concept of sustainability provides an important framework for addressing this challenge. Sustainability involves the ability to meet present needs while maintaining the ecological, social, and economic conditions necessary for future generations</w:t>
      </w:r>
      <w:r w:rsidR="008E1630">
        <w:rPr>
          <w:bCs/>
        </w:rPr>
        <w:t xml:space="preserve"> </w:t>
      </w:r>
      <w:r w:rsidR="008E1630">
        <w:rPr>
          <w:bCs/>
        </w:rPr>
        <w:fldChar w:fldCharType="begin" w:fldLock="1"/>
      </w:r>
      <w:r w:rsidR="008E1630">
        <w:rPr>
          <w:bCs/>
        </w:rPr>
        <w:instrText>ADDIN CSL_CITATION {"citationItems":[{"id":"ITEM-1","itemData":{"ISSN":"1648-3898","author":[{"dropping-particle":"","family":"Ha","given":"Minsu","non-dropping-particle":"","parse-names":false,"suffix":""},{"dropping-particle":"","family":"Sya'bandari","given":"Yustika","non-dropping-particle":"","parse-names":false,"suffix":""},{"dropping-particle":"","family":"Rusmana","given":"Ai Nurlaelasari","non-dropping-particle":"","parse-names":false,"suffix":""},{"dropping-particle":"","family":"Aini","given":"Rahmi Qurota","non-dropping-particle":"","parse-names":false,"suffix":""},{"dropping-particle":"","family":"Fadillah","given":"Sarah Meilani","non-dropping-particle":"","parse-names":false,"suffix":""}],"container-title":"Journal of Baltic Science Education","id":"ITEM-1","issue":"6","issued":{"date-parts":[["2021"]]},"page":"906-926","publisher":"ERIC","title":"Comprehensive Analysis of the FORT Instrument: Using Distractor Analysis to Explore Students' Scientific Reasoning Based on Academic Level and Gender Difference.","type":"article-journal","volume":"20"},"uris":["http://www.mendeley.com/documents/?uuid=dbebdd88-844d-4d3b-b6ef-c5366697f4cd"]}],"mendeley":{"formattedCitation":"(Ha et al., 2021)","plainTextFormattedCitation":"(Ha et al., 2021)","previouslyFormattedCitation":"(Ha et al., 2021)"},"properties":{"noteIndex":0},"schema":"https://github.com/citation-style-language/schema/raw/master/csl-citation.json"}</w:instrText>
      </w:r>
      <w:r w:rsidR="008E1630">
        <w:rPr>
          <w:bCs/>
        </w:rPr>
        <w:fldChar w:fldCharType="separate"/>
      </w:r>
      <w:r w:rsidR="008E1630" w:rsidRPr="008E1630">
        <w:rPr>
          <w:bCs/>
          <w:noProof/>
        </w:rPr>
        <w:t>(Ha et al., 2021)</w:t>
      </w:r>
      <w:r w:rsidR="008E1630">
        <w:rPr>
          <w:bCs/>
        </w:rPr>
        <w:fldChar w:fldCharType="end"/>
      </w:r>
      <w:r w:rsidRPr="0025109F">
        <w:rPr>
          <w:bCs/>
        </w:rPr>
        <w:t xml:space="preserve">. Within education, sustainability requires learners to understand the interconnectedness between human activities and natural systems. Science </w:t>
      </w:r>
      <w:r w:rsidRPr="0025109F">
        <w:rPr>
          <w:bCs/>
        </w:rPr>
        <w:t>education is particularly relevant because many sustainability challenges have scientific dimensions. Understanding climate systems, ecosystem dynamics, energy resources, pollution, biodiversity, and technological innovation requires scientific knowledge. However, scientific knowledge becomes more meaningful when students are able to apply it to real-world situations and understand its implications for society and the environment</w:t>
      </w:r>
      <w:r w:rsidR="008E1630">
        <w:rPr>
          <w:bCs/>
        </w:rPr>
        <w:t xml:space="preserve"> </w:t>
      </w:r>
      <w:r w:rsidR="008E1630">
        <w:rPr>
          <w:bCs/>
        </w:rPr>
        <w:fldChar w:fldCharType="begin" w:fldLock="1"/>
      </w:r>
      <w:r w:rsidR="008E1630">
        <w:rPr>
          <w:bCs/>
        </w:rPr>
        <w:instrText>ADDIN CSL_CITATION {"citationItems":[{"id":"ITEM-1","itemData":{"DOI":"https://doi.org/10.30831/akukeg.1001361","ISSN":"1308-1659","author":[{"dropping-particle":"","family":"Şaşmazören","given":"Fatma","non-dropping-particle":"","parse-names":false,"suffix":""},{"dropping-particle":"","family":"Karapınar","given":"Ayşegül","non-dropping-particle":"","parse-names":false,"suffix":""},{"dropping-particle":"","family":"Sarı","given":"Kübranur","non-dropping-particle":"","parse-names":false,"suffix":""},{"dropping-particle":"","family":"Demirer","given":"Tuğba","non-dropping-particle":"","parse-names":false,"suffix":""}],"container-title":"Journal of Theoretical Educational Science","id":"ITEM-1","issue":"2","issued":{"date-parts":[["2022"]]},"page":"420-452","publisher":"Afyon Kocatepe University","title":"The effect of using scientific scenarios in teaching socioscientific issues in science course on students' logical thinking skills","type":"article-journal","volume":"15"},"uris":["http://www.mendeley.com/documents/?uuid=f490d503-bf46-42db-b80c-78ecbc27f826"]}],"mendeley":{"formattedCitation":"(Şaşmazören et al., 2022)","plainTextFormattedCitation":"(Şaşmazören et al., 2022)","previouslyFormattedCitation":"(Şaşmazören et al., 2022)"},"properties":{"noteIndex":0},"schema":"https://github.com/citation-style-language/schema/raw/master/csl-citation.json"}</w:instrText>
      </w:r>
      <w:r w:rsidR="008E1630">
        <w:rPr>
          <w:bCs/>
        </w:rPr>
        <w:fldChar w:fldCharType="separate"/>
      </w:r>
      <w:r w:rsidR="008E1630" w:rsidRPr="008E1630">
        <w:rPr>
          <w:bCs/>
          <w:noProof/>
        </w:rPr>
        <w:t>(Şaşmazören et al., 2022)</w:t>
      </w:r>
      <w:r w:rsidR="008E1630">
        <w:rPr>
          <w:bCs/>
        </w:rPr>
        <w:fldChar w:fldCharType="end"/>
      </w:r>
      <w:r w:rsidRPr="0025109F">
        <w:rPr>
          <w:bCs/>
        </w:rPr>
        <w:t>.</w:t>
      </w:r>
    </w:p>
    <w:p w14:paraId="774193C9" w14:textId="236220E0" w:rsidR="0025109F" w:rsidRPr="0025109F" w:rsidRDefault="0025109F" w:rsidP="0025109F">
      <w:pPr>
        <w:pStyle w:val="pdq2pgselectionanchorcontainer"/>
        <w:spacing w:before="0" w:beforeAutospacing="0" w:after="0" w:afterAutospacing="0"/>
        <w:ind w:firstLine="720"/>
        <w:jc w:val="both"/>
        <w:rPr>
          <w:bCs/>
        </w:rPr>
      </w:pPr>
      <w:r w:rsidRPr="0025109F">
        <w:rPr>
          <w:bCs/>
        </w:rPr>
        <w:t>The relationship between science and sustainability consequently requires a shift from viewing science primarily as a body of knowledge toward understanding science as a way of interpreting and responding to complex problems. Students need to recognize that scientific knowledge is constructed through inquiry, evidence, argumentation, and continuous revision</w:t>
      </w:r>
      <w:r w:rsidR="008E1630">
        <w:rPr>
          <w:bCs/>
        </w:rPr>
        <w:t xml:space="preserve"> </w:t>
      </w:r>
      <w:r w:rsidR="008E1630">
        <w:rPr>
          <w:bCs/>
        </w:rPr>
        <w:fldChar w:fldCharType="begin" w:fldLock="1"/>
      </w:r>
      <w:r w:rsidR="008E1630">
        <w:rPr>
          <w:bCs/>
        </w:rPr>
        <w:instrText>ADDIN CSL_CITATION {"citationItems":[{"id":"ITEM-1","itemData":{"DOI":"https://doi.org/10.61455/sicopus.v1i01.5","ISSN":"2988-3512","author":[{"dropping-particle":"","family":"Lingga","given":"Salman Al Farisi","non-dropping-particle":"","parse-names":false,"suffix":""},{"dropping-particle":"","family":"Salminawati","given":"Salminawati","non-dropping-particle":"","parse-names":false,"suffix":""},{"dropping-particle":"","family":"Mustaqim","given":"Ahmad","non-dropping-particle":"","parse-names":false,"suffix":""},{"dropping-particle":"","family":"Kurniawan","given":"Pandi","non-dropping-particle":"","parse-names":false,"suffix":""}],"container-title":"Solo International Collaboration and Publication of Social Sciences and Humanities","id":"ITEM-1","issue":"1","issued":{"date-parts":[["2023"]]},"page":"1-11","title":"History of the Development of Philosophy and Science in the Islamic Age","type":"article-journal","volume":"1"},"uris":["http://www.mendeley.com/documents/?uuid=5ffc511d-72a2-4b8d-a237-bc9131342a0f"]}],"mendeley":{"formattedCitation":"(Lingga et al., 2023)","plainTextFormattedCitation":"(Lingga et al., 2023)","previouslyFormattedCitation":"(Lingga et al., 2023)"},"properties":{"noteIndex":0},"schema":"https://github.com/citation-style-language/schema/raw/master/csl-citation.json"}</w:instrText>
      </w:r>
      <w:r w:rsidR="008E1630">
        <w:rPr>
          <w:bCs/>
        </w:rPr>
        <w:fldChar w:fldCharType="separate"/>
      </w:r>
      <w:r w:rsidR="008E1630" w:rsidRPr="008E1630">
        <w:rPr>
          <w:bCs/>
          <w:noProof/>
        </w:rPr>
        <w:t>(Lingga et al., 2023)</w:t>
      </w:r>
      <w:r w:rsidR="008E1630">
        <w:rPr>
          <w:bCs/>
        </w:rPr>
        <w:fldChar w:fldCharType="end"/>
      </w:r>
      <w:r w:rsidRPr="0025109F">
        <w:rPr>
          <w:bCs/>
        </w:rPr>
        <w:t>. They also need to understand that scientific knowledge interacts with social values, technological decisions, economic interests, and ethical considerations when addressing real-world challenges. This perspective can help students move beyond memorizing scientific facts toward developing the capacity to use scientific knowledge responsibly.</w:t>
      </w:r>
    </w:p>
    <w:p w14:paraId="29CF7B5C" w14:textId="72BFC8E3" w:rsidR="0025109F" w:rsidRPr="0025109F" w:rsidRDefault="0025109F" w:rsidP="0025109F">
      <w:pPr>
        <w:pStyle w:val="pdq2pgselectionanchorcontainer"/>
        <w:spacing w:before="0" w:beforeAutospacing="0" w:after="0" w:afterAutospacing="0"/>
        <w:ind w:firstLine="720"/>
        <w:jc w:val="both"/>
        <w:rPr>
          <w:bCs/>
        </w:rPr>
      </w:pPr>
      <w:r w:rsidRPr="0025109F">
        <w:rPr>
          <w:bCs/>
        </w:rPr>
        <w:t xml:space="preserve">Scientific literacy is therefore becoming increasingly important. Scientific literacy in a changing world should involve more than understanding scientific concepts. It should include the ability to interpret scientific information, evaluate evidence, distinguish scientific claims from misinformation, understand uncertainty, and apply scientific reasoning to personal and societal decisions. Sustainability challenges </w:t>
      </w:r>
      <w:r w:rsidRPr="0025109F">
        <w:rPr>
          <w:bCs/>
        </w:rPr>
        <w:lastRenderedPageBreak/>
        <w:t>often involve contested claims and competing interests, making critical evaluation of scientific information essential. Students need to be able to assess evidence concerning environmental issues and make informed judgments even when scientific knowledge is complex or uncertain</w:t>
      </w:r>
      <w:r w:rsidR="008E1630">
        <w:rPr>
          <w:bCs/>
        </w:rPr>
        <w:t xml:space="preserve"> </w:t>
      </w:r>
      <w:r w:rsidR="008E1630">
        <w:rPr>
          <w:bCs/>
        </w:rPr>
        <w:fldChar w:fldCharType="begin" w:fldLock="1"/>
      </w:r>
      <w:r w:rsidR="008E1630">
        <w:rPr>
          <w:bCs/>
        </w:rPr>
        <w:instrText>ADDIN CSL_CITATION {"citationItems":[{"id":"ITEM-1","itemData":{"DOI":"https://doi.org/10.26555/almisbah.v10i2.6484","ISSN":"2656-0984","author":[{"dropping-particle":"","family":"Puspitasari","given":"Eka","non-dropping-particle":"","parse-names":false,"suffix":""},{"dropping-particle":"","family":"Yuliana","given":"Anaas Tri Ridlo Dina","non-dropping-particle":"","parse-names":false,"suffix":""}],"container-title":"Al-Misbah (Jurnal Islamic Studies)","id":"ITEM-1","issue":"2","issued":{"date-parts":[["2022"]]},"page":"91-108","title":"Syed Muhammad Naquib al-Attas' Concept of Islamizing Science and its Relevance to Islamic Education","type":"article-journal","volume":"10"},"uris":["http://www.mendeley.com/documents/?uuid=25d2a790-71da-4199-8526-e4e79bb1b761"]}],"mendeley":{"formattedCitation":"(Puspitasari &amp; Yuliana, 2022)","plainTextFormattedCitation":"(Puspitasari &amp; Yuliana, 2022)","previouslyFormattedCitation":"(Puspitasari &amp; Yuliana, 2022)"},"properties":{"noteIndex":0},"schema":"https://github.com/citation-style-language/schema/raw/master/csl-citation.json"}</w:instrText>
      </w:r>
      <w:r w:rsidR="008E1630">
        <w:rPr>
          <w:bCs/>
        </w:rPr>
        <w:fldChar w:fldCharType="separate"/>
      </w:r>
      <w:r w:rsidR="008E1630" w:rsidRPr="008E1630">
        <w:rPr>
          <w:bCs/>
          <w:noProof/>
        </w:rPr>
        <w:t>(Puspitasari &amp; Yuliana, 2022)</w:t>
      </w:r>
      <w:r w:rsidR="008E1630">
        <w:rPr>
          <w:bCs/>
        </w:rPr>
        <w:fldChar w:fldCharType="end"/>
      </w:r>
      <w:r w:rsidRPr="0025109F">
        <w:rPr>
          <w:bCs/>
        </w:rPr>
        <w:t>.</w:t>
      </w:r>
    </w:p>
    <w:p w14:paraId="17BC3D49" w14:textId="65B2F863" w:rsidR="0025109F" w:rsidRPr="0025109F" w:rsidRDefault="0025109F" w:rsidP="0025109F">
      <w:pPr>
        <w:pStyle w:val="pdq2pgselectionanchorcontainer"/>
        <w:spacing w:before="0" w:beforeAutospacing="0" w:after="0" w:afterAutospacing="0"/>
        <w:ind w:firstLine="720"/>
        <w:jc w:val="both"/>
        <w:rPr>
          <w:bCs/>
        </w:rPr>
      </w:pPr>
      <w:r w:rsidRPr="0025109F">
        <w:rPr>
          <w:bCs/>
        </w:rPr>
        <w:t>Another important dimension is systems thinking. Sustainability problems rarely have simple causes or single solutions. Climate change, for example, involves interactions among atmospheric processes, energy systems, industrial production, transportation, consumption patterns, political decisions, and social behavior. Students who approach such problems through isolated scientific concepts may struggle to understand their complexity</w:t>
      </w:r>
      <w:r w:rsidR="008E1630">
        <w:rPr>
          <w:bCs/>
        </w:rPr>
        <w:t xml:space="preserve"> </w:t>
      </w:r>
      <w:r w:rsidR="008E1630">
        <w:rPr>
          <w:bCs/>
        </w:rPr>
        <w:fldChar w:fldCharType="begin" w:fldLock="1"/>
      </w:r>
      <w:r w:rsidR="008E1630">
        <w:rPr>
          <w:bCs/>
        </w:rPr>
        <w:instrText>ADDIN CSL_CITATION {"citationItems":[{"id":"ITEM-1","itemData":{"DOI":"10.2478/jdis-2021-0001","author":[{"dropping-particle":"","family":"Park","given":"Hyejin","non-dropping-particle":"","parse-names":false,"suffix":""},{"dropping-particle":"","family":"Kim","given":"Han Sung","non-dropping-particle":"","parse-names":false,"suffix":""},{"dropping-particle":"","family":"Park","given":"Han Woo","non-dropping-particle":"","parse-names":false,"suffix":""}],"container-title":"Journal of Data and Information Science","id":"ITEM-1","issue":"2","issued":{"date-parts":[["2021"]]},"page":"116-138","title":"A scientometric study of digital literacy, ICT literacy, information literacy, and media literacy","type":"article-journal","volume":"6"},"uris":["http://www.mendeley.com/documents/?uuid=323d1261-722f-4b97-8553-ee61354141b6"]}],"mendeley":{"formattedCitation":"(Park et al., 2021)","plainTextFormattedCitation":"(Park et al., 2021)","previouslyFormattedCitation":"(Park et al., 2021)"},"properties":{"noteIndex":0},"schema":"https://github.com/citation-style-language/schema/raw/master/csl-citation.json"}</w:instrText>
      </w:r>
      <w:r w:rsidR="008E1630">
        <w:rPr>
          <w:bCs/>
        </w:rPr>
        <w:fldChar w:fldCharType="separate"/>
      </w:r>
      <w:r w:rsidR="008E1630" w:rsidRPr="008E1630">
        <w:rPr>
          <w:bCs/>
          <w:noProof/>
        </w:rPr>
        <w:t>(Park et al., 2021)</w:t>
      </w:r>
      <w:r w:rsidR="008E1630">
        <w:rPr>
          <w:bCs/>
        </w:rPr>
        <w:fldChar w:fldCharType="end"/>
      </w:r>
      <w:r w:rsidRPr="0025109F">
        <w:rPr>
          <w:bCs/>
        </w:rPr>
        <w:t>. Systems thinking can enable learners to identify relationships, feedback mechanisms, interdependencies, and unintended consequences. Integrating systems thinking into science education can therefore help students understand sustainability challenges as interconnected systems rather than isolated topics.</w:t>
      </w:r>
    </w:p>
    <w:p w14:paraId="2B87CA39" w14:textId="798F52E7" w:rsidR="0025109F" w:rsidRPr="0025109F" w:rsidRDefault="0025109F" w:rsidP="0025109F">
      <w:pPr>
        <w:pStyle w:val="pdq2pgselectionanchorcontainer"/>
        <w:spacing w:before="0" w:beforeAutospacing="0" w:after="0" w:afterAutospacing="0"/>
        <w:ind w:firstLine="720"/>
        <w:jc w:val="both"/>
        <w:rPr>
          <w:bCs/>
        </w:rPr>
      </w:pPr>
      <w:r w:rsidRPr="0025109F">
        <w:rPr>
          <w:bCs/>
        </w:rPr>
        <w:t>Science education can also provide opportunities for action-oriented learning. Students can investigate local environmental conditions, analyze energy consumption, examine water quality, study waste management, explore biodiversity, or investigate climate-related changes in their communities</w:t>
      </w:r>
      <w:r w:rsidR="008E1630">
        <w:rPr>
          <w:bCs/>
        </w:rPr>
        <w:t xml:space="preserve"> </w:t>
      </w:r>
      <w:r w:rsidR="008E1630">
        <w:rPr>
          <w:bCs/>
        </w:rPr>
        <w:fldChar w:fldCharType="begin" w:fldLock="1"/>
      </w:r>
      <w:r w:rsidR="008E1630">
        <w:rPr>
          <w:bCs/>
        </w:rPr>
        <w:instrText>ADDIN CSL_CITATION {"citationItems":[{"id":"ITEM-1","itemData":{"DOI":"https://doi.org/10.35723/ajie.v7i2.349","ISSN":"2599-3046","author":[{"dropping-particle":"","family":"Efendy","given":"Rustan","non-dropping-particle":"","parse-names":false,"suffix":""},{"dropping-particle":"","family":"Rahman","given":"Ali","non-dropping-particle":"","parse-names":false,"suffix":""},{"dropping-particle":"","family":"Karim","given":"Abdul Rahim","non-dropping-particle":"","parse-names":false,"suffix":""}],"container-title":"Al-Hayat: Journal of Islamic Education","id":"ITEM-1","issue":"2","issued":{"date-parts":[["2023"]]},"page":"355-369","title":"Scientific Transformation of Islamic Boarding Schools through Role of Alums the Islamic Education Study Program","type":"article-journal","volume":"7"},"uris":["http://www.mendeley.com/documents/?uuid=4e8567fb-9fdf-4616-997f-9e95edf8d21e"]}],"mendeley":{"formattedCitation":"(Efendy et al., 2023)","plainTextFormattedCitation":"(Efendy et al., 2023)","previouslyFormattedCitation":"(Efendy et al., 2023)"},"properties":{"noteIndex":0},"schema":"https://github.com/citation-style-language/schema/raw/master/csl-citation.json"}</w:instrText>
      </w:r>
      <w:r w:rsidR="008E1630">
        <w:rPr>
          <w:bCs/>
        </w:rPr>
        <w:fldChar w:fldCharType="separate"/>
      </w:r>
      <w:r w:rsidR="008E1630" w:rsidRPr="008E1630">
        <w:rPr>
          <w:bCs/>
          <w:noProof/>
        </w:rPr>
        <w:t>(Efendy et al., 2023)</w:t>
      </w:r>
      <w:r w:rsidR="008E1630">
        <w:rPr>
          <w:bCs/>
        </w:rPr>
        <w:fldChar w:fldCharType="end"/>
      </w:r>
      <w:r w:rsidRPr="0025109F">
        <w:rPr>
          <w:bCs/>
        </w:rPr>
        <w:t xml:space="preserve">. Such activities connect scientific concepts with </w:t>
      </w:r>
      <w:proofErr w:type="gramStart"/>
      <w:r w:rsidRPr="0025109F">
        <w:rPr>
          <w:bCs/>
        </w:rPr>
        <w:t>students'</w:t>
      </w:r>
      <w:proofErr w:type="gramEnd"/>
      <w:r w:rsidRPr="0025109F">
        <w:rPr>
          <w:bCs/>
        </w:rPr>
        <w:t xml:space="preserve"> lived experiences and allow them to see science as relevant to real-world decision-making. However, action-oriented science education should </w:t>
      </w:r>
      <w:r w:rsidRPr="0025109F">
        <w:rPr>
          <w:bCs/>
        </w:rPr>
        <w:t>not be reduced to environmental campaigns or practical activities without conceptual foundations. Meaningful action requires students to understand the scientific dimensions of the problems they investigate</w:t>
      </w:r>
      <w:r w:rsidR="008E1630">
        <w:rPr>
          <w:bCs/>
        </w:rPr>
        <w:t xml:space="preserve"> </w:t>
      </w:r>
      <w:r w:rsidR="008E1630">
        <w:rPr>
          <w:bCs/>
        </w:rPr>
        <w:fldChar w:fldCharType="begin" w:fldLock="1"/>
      </w:r>
      <w:r w:rsidR="008E1630">
        <w:rPr>
          <w:bCs/>
        </w:rPr>
        <w:instrText>ADDIN CSL_CITATION {"citationItems":[{"id":"ITEM-1","itemData":{"DOI":"10.1080/15487733.2020.1814033","ISSN":"1548-7733","author":[{"dropping-particle":"","family":"Gough","given":"Ian","non-dropping-particle":"","parse-names":false,"suffix":""}],"container-title":"Sustainability: Science, Practice and Policy","id":"ITEM-1","issue":"1","issued":{"date-parts":[["2020"]]},"page":"208-219","publisher":"Taylor &amp; Francis","title":"Defining floors and ceilings: the contribution of human needs theory","type":"article-journal","volume":"16"},"uris":["http://www.mendeley.com/documents/?uuid=64dad6f7-76ac-431d-92f0-436038943239"]}],"mendeley":{"formattedCitation":"(Gough, 2020)","plainTextFormattedCitation":"(Gough, 2020)","previouslyFormattedCitation":"(Gough, 2020)"},"properties":{"noteIndex":0},"schema":"https://github.com/citation-style-language/schema/raw/master/csl-citation.json"}</w:instrText>
      </w:r>
      <w:r w:rsidR="008E1630">
        <w:rPr>
          <w:bCs/>
        </w:rPr>
        <w:fldChar w:fldCharType="separate"/>
      </w:r>
      <w:r w:rsidR="008E1630" w:rsidRPr="008E1630">
        <w:rPr>
          <w:bCs/>
          <w:noProof/>
        </w:rPr>
        <w:t>(Gough, 2020)</w:t>
      </w:r>
      <w:r w:rsidR="008E1630">
        <w:rPr>
          <w:bCs/>
        </w:rPr>
        <w:fldChar w:fldCharType="end"/>
      </w:r>
      <w:r w:rsidRPr="0025109F">
        <w:rPr>
          <w:bCs/>
        </w:rPr>
        <w:t>.</w:t>
      </w:r>
    </w:p>
    <w:p w14:paraId="1365C919" w14:textId="451326B4" w:rsidR="0025109F" w:rsidRPr="0025109F" w:rsidRDefault="0025109F" w:rsidP="0025109F">
      <w:pPr>
        <w:pStyle w:val="pdq2pgselectionanchorcontainer"/>
        <w:spacing w:before="0" w:beforeAutospacing="0" w:after="0" w:afterAutospacing="0"/>
        <w:ind w:firstLine="720"/>
        <w:jc w:val="both"/>
        <w:rPr>
          <w:bCs/>
        </w:rPr>
      </w:pPr>
      <w:r w:rsidRPr="0025109F">
        <w:rPr>
          <w:bCs/>
        </w:rPr>
        <w:t>Teachers occupy a central position in this transformation</w:t>
      </w:r>
      <w:r w:rsidR="008E1630">
        <w:rPr>
          <w:bCs/>
        </w:rPr>
        <w:t xml:space="preserve"> </w:t>
      </w:r>
      <w:r w:rsidR="008E1630">
        <w:rPr>
          <w:bCs/>
        </w:rPr>
        <w:fldChar w:fldCharType="begin" w:fldLock="1"/>
      </w:r>
      <w:r w:rsidR="008E1630">
        <w:rPr>
          <w:bCs/>
        </w:rPr>
        <w:instrText>ADDIN CSL_CITATION {"citationItems":[{"id":"ITEM-1","itemData":{"DOI":"https://doi.org/10.7160/eriesj.2024.170105","ISSN":"1803-1617","author":[{"dropping-particle":"","family":"Hejnová","given":"Eva","non-dropping-particle":"","parse-names":false,"suffix":""},{"dropping-particle":"","family":"Eisenmann","given":"Petr","non-dropping-particle":"","parse-names":false,"suffix":""},{"dropping-particle":"","family":"Loukotová","given":"Lucie","non-dropping-particle":"","parse-names":false,"suffix":""},{"dropping-particle":"","family":"Přibyl","given":"Jiří","non-dropping-particle":"","parse-names":false,"suffix":""}],"container-title":"Journal on Efficiency and Responsibility in Education and Science","id":"ITEM-1","issue":"1","issued":{"date-parts":[["2024"]]},"page":"55-66","title":"Pupils’ School Performance and Their Cognitive Abilities to Solve Problems","type":"article-journal","volume":"17"},"uris":["http://www.mendeley.com/documents/?uuid=5818aa1d-1465-4184-a1e4-3e2404966920"]}],"mendeley":{"formattedCitation":"(Hejnová et al., 2024)","plainTextFormattedCitation":"(Hejnová et al., 2024)","previouslyFormattedCitation":"(Hejnová et al., 2024)"},"properties":{"noteIndex":0},"schema":"https://github.com/citation-style-language/schema/raw/master/csl-citation.json"}</w:instrText>
      </w:r>
      <w:r w:rsidR="008E1630">
        <w:rPr>
          <w:bCs/>
        </w:rPr>
        <w:fldChar w:fldCharType="separate"/>
      </w:r>
      <w:r w:rsidR="008E1630" w:rsidRPr="008E1630">
        <w:rPr>
          <w:bCs/>
          <w:noProof/>
        </w:rPr>
        <w:t>(Hejnová et al., 2024)</w:t>
      </w:r>
      <w:r w:rsidR="008E1630">
        <w:rPr>
          <w:bCs/>
        </w:rPr>
        <w:fldChar w:fldCharType="end"/>
      </w:r>
      <w:r w:rsidRPr="0025109F">
        <w:rPr>
          <w:bCs/>
        </w:rPr>
        <w:t>. Moving toward sustainability-oriented science education requires teachers to integrate scientific content with interdisciplinary perspectives, authentic problems, inquiry-based learning, systems thinking, and ethical reflection. Teachers also need to facilitate discussions involving uncertainty and competing perspectives. Such pedagogical demands can be challenging when teachers have limited preparation in sustainability education or when curricula remain organized around disciplinary knowledge and standardized examinations.</w:t>
      </w:r>
    </w:p>
    <w:p w14:paraId="42E07622" w14:textId="77777777" w:rsidR="0025109F" w:rsidRPr="0025109F" w:rsidRDefault="0025109F" w:rsidP="0025109F">
      <w:pPr>
        <w:pStyle w:val="pdq2pgselectionanchorcontainer"/>
        <w:spacing w:before="0" w:beforeAutospacing="0" w:after="0" w:afterAutospacing="0"/>
        <w:ind w:firstLine="720"/>
        <w:jc w:val="both"/>
        <w:rPr>
          <w:bCs/>
        </w:rPr>
      </w:pPr>
      <w:r w:rsidRPr="0025109F">
        <w:rPr>
          <w:bCs/>
        </w:rPr>
        <w:t>Curriculum structure represents another challenge. Sustainability is often introduced as an additional topic within existing science curricula rather than as an organizing principle that connects different scientific concepts. Students may learn about ecosystems in biology, energy in physics, chemical pollution in chemistry, and environmental issues in geography without understanding the relationships among these domains. Such fragmentation can limit students' ability to develop holistic understandings of sustainability challenges. A more integrated approach is needed in which scientific disciplines contribute complementary perspectives to shared real-world problems.</w:t>
      </w:r>
    </w:p>
    <w:p w14:paraId="3820DD14" w14:textId="77777777" w:rsidR="0025109F" w:rsidRPr="0025109F" w:rsidRDefault="0025109F" w:rsidP="0025109F">
      <w:pPr>
        <w:pStyle w:val="pdq2pgselectionanchorcontainer"/>
        <w:spacing w:before="0" w:beforeAutospacing="0" w:after="0" w:afterAutospacing="0"/>
        <w:ind w:firstLine="720"/>
        <w:jc w:val="both"/>
        <w:rPr>
          <w:bCs/>
        </w:rPr>
      </w:pPr>
      <w:r w:rsidRPr="0025109F">
        <w:rPr>
          <w:bCs/>
        </w:rPr>
        <w:t xml:space="preserve">Assessment also requires reconsideration. Conventional science assessments frequently emphasize </w:t>
      </w:r>
      <w:r w:rsidRPr="0025109F">
        <w:rPr>
          <w:bCs/>
        </w:rPr>
        <w:lastRenderedPageBreak/>
        <w:t>factual knowledge, conceptual understanding, and procedural skills. Although these dimensions remain essential, they provide limited evidence concerning students' ability to apply scientific knowledge to complex sustainability problems. Assessment should increasingly examine students' ability to interpret evidence, construct explanations, analyze systems, evaluate alternatives, make evidence-informed decisions, and propose responsible responses. This requires assessment designs that allow students to demonstrate scientific reasoning in authentic contexts.</w:t>
      </w:r>
    </w:p>
    <w:p w14:paraId="5FCE233A" w14:textId="77777777" w:rsidR="0025109F" w:rsidRPr="0025109F" w:rsidRDefault="0025109F" w:rsidP="0025109F">
      <w:pPr>
        <w:pStyle w:val="pdq2pgselectionanchorcontainer"/>
        <w:spacing w:before="0" w:beforeAutospacing="0" w:after="0" w:afterAutospacing="0"/>
        <w:ind w:firstLine="720"/>
        <w:jc w:val="both"/>
        <w:rPr>
          <w:bCs/>
        </w:rPr>
      </w:pPr>
      <w:r w:rsidRPr="0025109F">
        <w:rPr>
          <w:bCs/>
        </w:rPr>
        <w:t>Existing research has extensively examined science education, environmental education, sustainability education, scientific literacy, and education for sustainable development. Numerous studies have demonstrated the importance of inquiry-based learning, environmental awareness, systems thinking, and action competence. However, these fields are often discussed separately, resulting in fragmented understandings of how science education can be transformed into a coherent sustainability-oriented learning experience. Moreover, some approaches continue to treat sustainability as an additional content area rather than as a fundamental reorientation of the purposes and practices of science education.</w:t>
      </w:r>
    </w:p>
    <w:p w14:paraId="0767B41B" w14:textId="3127C3E9" w:rsidR="00167B15" w:rsidRPr="0025109F" w:rsidRDefault="0025109F" w:rsidP="0025109F">
      <w:pPr>
        <w:pStyle w:val="pdq2pgselectionanchorcontainer"/>
        <w:spacing w:before="0" w:beforeAutospacing="0" w:after="0" w:afterAutospacing="0"/>
        <w:ind w:firstLine="720"/>
        <w:jc w:val="both"/>
        <w:rPr>
          <w:bCs/>
        </w:rPr>
      </w:pPr>
      <w:r w:rsidRPr="0025109F">
        <w:rPr>
          <w:bCs/>
        </w:rPr>
        <w:t xml:space="preserve">This study addresses this gap by examining how science education can move </w:t>
      </w:r>
      <w:r w:rsidRPr="00DE0D81">
        <w:rPr>
          <w:bCs/>
        </w:rPr>
        <w:t>from knowledge to sustainability,</w:t>
      </w:r>
      <w:r w:rsidRPr="0025109F">
        <w:rPr>
          <w:bCs/>
        </w:rPr>
        <w:t xml:space="preserve"> positioning scientific knowledge as a foundation for critical inquiry, systems thinking, responsible decision-making, and action. Rather than treating sustainability as an additional topic within science curricula, this study </w:t>
      </w:r>
      <w:r w:rsidRPr="0025109F">
        <w:rPr>
          <w:bCs/>
        </w:rPr>
        <w:t>conceptualizes sustainability as a transformative orientation that can reshape what students learn, how they learn, and how their learning is assessed. The study aims to critically examine the relationship between scientific knowledge and sustainability education and to propose a conceptual framework for reimagining science education in response to the complex challenges of a changing world.</w:t>
      </w:r>
    </w:p>
    <w:p w14:paraId="307519B2" w14:textId="77777777" w:rsidR="00167B15" w:rsidRPr="002B14A0" w:rsidRDefault="00167B15" w:rsidP="00167B15">
      <w:pPr>
        <w:spacing w:after="0" w:line="240" w:lineRule="auto"/>
        <w:jc w:val="both"/>
        <w:rPr>
          <w:rFonts w:ascii="Times New Roman" w:eastAsia="Times New Roman" w:hAnsi="Times New Roman" w:cs="Times New Roman"/>
          <w:sz w:val="24"/>
          <w:szCs w:val="24"/>
        </w:rPr>
      </w:pPr>
    </w:p>
    <w:p w14:paraId="176789BF" w14:textId="006A12AC" w:rsidR="00167B15" w:rsidRPr="000E0D44" w:rsidRDefault="00167B15" w:rsidP="00167B15">
      <w:pPr>
        <w:spacing w:after="0" w:line="240" w:lineRule="auto"/>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rPr>
        <w:t>ME</w:t>
      </w:r>
      <w:r w:rsidR="000E0D44">
        <w:rPr>
          <w:rFonts w:ascii="Times New Roman" w:eastAsia="Times New Roman" w:hAnsi="Times New Roman" w:cs="Times New Roman"/>
          <w:b/>
          <w:sz w:val="24"/>
          <w:szCs w:val="24"/>
          <w:lang w:val="en-US"/>
        </w:rPr>
        <w:t>THOD</w:t>
      </w:r>
    </w:p>
    <w:p w14:paraId="74CE9CF1" w14:textId="420E2D37" w:rsidR="00DE0D81" w:rsidRPr="00DE0D81" w:rsidRDefault="00DE0D81" w:rsidP="00DE0D81">
      <w:pPr>
        <w:pStyle w:val="pdq2pgselectionanchorcontainer"/>
        <w:spacing w:before="0" w:beforeAutospacing="0" w:after="0" w:afterAutospacing="0"/>
        <w:ind w:firstLine="720"/>
        <w:jc w:val="both"/>
        <w:rPr>
          <w:bCs/>
        </w:rPr>
      </w:pPr>
      <w:r w:rsidRPr="00DE0D81">
        <w:rPr>
          <w:bCs/>
        </w:rPr>
        <w:t>This study employs a qualitative library research approach to critically examine the transformation of science education toward sustainability-oriented learning</w:t>
      </w:r>
      <w:r w:rsidR="008E1630">
        <w:rPr>
          <w:bCs/>
        </w:rPr>
        <w:t xml:space="preserve"> </w:t>
      </w:r>
      <w:r w:rsidR="008E1630">
        <w:rPr>
          <w:bCs/>
        </w:rPr>
        <w:fldChar w:fldCharType="begin" w:fldLock="1"/>
      </w:r>
      <w:r w:rsidR="001C38D7">
        <w:rPr>
          <w:bCs/>
        </w:rPr>
        <w:instrText>ADDIN CSL_CITATION {"citationItems":[{"id":"ITEM-1","itemData":{"ISBN":"1506386695","author":[{"dropping-particle":"","family":"Creswell","given":"John W","non-dropping-particle":"","parse-names":false,"suffix":""},{"dropping-particle":"","family":"Creswell","given":"J David","non-dropping-particle":"","parse-names":false,"suffix":""}],"id":"ITEM-1","issued":{"date-parts":[["2017"]]},"publisher":"Sage publications","title":"Research design: Qualitative, quantitative, and mixed methods approaches","type":"book"},"uris":["http://www.mendeley.com/documents/?uuid=3e897cc2-8a96-4489-b4e4-a9fb25e244d9"]}],"mendeley":{"formattedCitation":"(Creswell &amp; Creswell, 2017)","plainTextFormattedCitation":"(Creswell &amp; Creswell, 2017)","previouslyFormattedCitation":"(Creswell &amp; Creswell, 2017)"},"properties":{"noteIndex":0},"schema":"https://github.com/citation-style-language/schema/raw/master/csl-citation.json"}</w:instrText>
      </w:r>
      <w:r w:rsidR="008E1630">
        <w:rPr>
          <w:bCs/>
        </w:rPr>
        <w:fldChar w:fldCharType="separate"/>
      </w:r>
      <w:r w:rsidR="008E1630" w:rsidRPr="008E1630">
        <w:rPr>
          <w:bCs/>
          <w:noProof/>
        </w:rPr>
        <w:t>(Creswell &amp; Creswell, 2017)</w:t>
      </w:r>
      <w:r w:rsidR="008E1630">
        <w:rPr>
          <w:bCs/>
        </w:rPr>
        <w:fldChar w:fldCharType="end"/>
      </w:r>
      <w:r w:rsidRPr="00DE0D81">
        <w:rPr>
          <w:bCs/>
        </w:rPr>
        <w:t>. The library research approach is appropriate because the study focuses on synthesizing existing theoretical and empirical scholarship concerning science education, sustainability, scientific literacy, environmental education, systems thinking, and transformative learning. Rather than collecting primary data from students or teachers, the study analyzes established academic literature to identify conceptual developments, pedagogical opportunities, persistent challenges, and possible directions for the future of science education.</w:t>
      </w:r>
    </w:p>
    <w:p w14:paraId="3567B453" w14:textId="77777777" w:rsidR="00DE0D81" w:rsidRPr="00DE0D81" w:rsidRDefault="00DE0D81" w:rsidP="00DE0D81">
      <w:pPr>
        <w:pStyle w:val="pdq2pgselectionanchorcontainer"/>
        <w:spacing w:before="0" w:beforeAutospacing="0" w:after="0" w:afterAutospacing="0"/>
        <w:ind w:firstLine="720"/>
        <w:jc w:val="both"/>
        <w:rPr>
          <w:bCs/>
        </w:rPr>
      </w:pPr>
      <w:r w:rsidRPr="00DE0D81">
        <w:rPr>
          <w:bCs/>
        </w:rPr>
        <w:t xml:space="preserve">The sources analyzed consist of peer-reviewed national and international journal articles, academic books, research reports, and scholarly publications addressing science education, sustainability education, environmental education, education for sustainable development, scientific literacy, systems thinking, inquiry-based learning, climate change education, and action competence. Particular attention is given to literature discussing the </w:t>
      </w:r>
      <w:r w:rsidRPr="00DE0D81">
        <w:rPr>
          <w:bCs/>
        </w:rPr>
        <w:lastRenderedPageBreak/>
        <w:t>relationship between scientific knowledge and real-world sustainability challenges, as well as research examining how science learning can contribute to students' capacity to make evidence-informed and responsible decisions.</w:t>
      </w:r>
    </w:p>
    <w:p w14:paraId="667DA7D8" w14:textId="77777777" w:rsidR="00DE0D81" w:rsidRPr="00DE0D81" w:rsidRDefault="00DE0D81" w:rsidP="00DE0D81">
      <w:pPr>
        <w:pStyle w:val="pdq2pgselectionanchorcontainer"/>
        <w:spacing w:before="0" w:beforeAutospacing="0" w:after="0" w:afterAutospacing="0"/>
        <w:ind w:firstLine="720"/>
        <w:jc w:val="both"/>
        <w:rPr>
          <w:bCs/>
        </w:rPr>
      </w:pPr>
      <w:r w:rsidRPr="00DE0D81">
        <w:rPr>
          <w:bCs/>
        </w:rPr>
        <w:t>The literature was organized into several interconnected analytical themes. The first theme concerned the changing purposes of science education and the limitations of knowledge-centered approaches. The second examined scientific literacy as a foundation for understanding sustainability challenges. The third focused on systems thinking and interdisciplinary learning as approaches for understanding complex environmental and societal problems. The fourth analyzed inquiry-based and action-oriented pedagogies. The fifth examined teacher roles, curriculum transformation, and assessment in sustainability-oriented science education.</w:t>
      </w:r>
    </w:p>
    <w:p w14:paraId="7D9D058C" w14:textId="77777777" w:rsidR="00DE0D81" w:rsidRPr="00DE0D81" w:rsidRDefault="00DE0D81" w:rsidP="00DE0D81">
      <w:pPr>
        <w:pStyle w:val="pdq2pgselectionanchorcontainer"/>
        <w:spacing w:before="0" w:beforeAutospacing="0" w:after="0" w:afterAutospacing="0"/>
        <w:ind w:firstLine="720"/>
        <w:jc w:val="both"/>
        <w:rPr>
          <w:bCs/>
        </w:rPr>
      </w:pPr>
      <w:r w:rsidRPr="00DE0D81">
        <w:rPr>
          <w:bCs/>
        </w:rPr>
        <w:t>The selected literature was analyzed thematically by comparing major arguments, identifying areas of convergence and disagreement, and synthesizing findings across different strands of scholarship. The analysis focused not only on the potential benefits of sustainability-oriented science education but also on barriers that may prevent its implementation, including curriculum fragmentation, teacher preparedness, limited resources, and assessment practices that prioritize factual knowledge over application and action.</w:t>
      </w:r>
    </w:p>
    <w:p w14:paraId="7A1C342F" w14:textId="75913B85" w:rsidR="00167B15" w:rsidRPr="00DE0D81" w:rsidRDefault="00DE0D81" w:rsidP="00DE0D81">
      <w:pPr>
        <w:pStyle w:val="pdq2pgselectionanchorcontainer"/>
        <w:spacing w:before="0" w:beforeAutospacing="0" w:after="0" w:afterAutospacing="0"/>
        <w:ind w:firstLine="720"/>
        <w:jc w:val="both"/>
        <w:rPr>
          <w:bCs/>
        </w:rPr>
      </w:pPr>
      <w:r w:rsidRPr="00DE0D81">
        <w:rPr>
          <w:bCs/>
        </w:rPr>
        <w:t xml:space="preserve">The final analytical stage involved developing a conceptual framework that connects scientific knowledge with sustainability </w:t>
      </w:r>
      <w:r w:rsidRPr="00DE0D81">
        <w:rPr>
          <w:bCs/>
        </w:rPr>
        <w:t>competencies. The framework emphasizes the progression from scientific knowledge toward scientific literacy, systems thinking, critical inquiry, ethical reasoning, decision-making, and responsible action. Through this framework, science education is positioned not simply as a means of transmitting scientific information but as an educational process through which learners develop the capacity to understand and respond to complex sustainability challenges.</w:t>
      </w:r>
    </w:p>
    <w:p w14:paraId="270ADA13" w14:textId="77777777" w:rsidR="00167B15" w:rsidRDefault="00167B15" w:rsidP="00167B15">
      <w:pPr>
        <w:spacing w:after="0" w:line="240" w:lineRule="auto"/>
        <w:rPr>
          <w:rFonts w:ascii="Times New Roman" w:eastAsia="Times New Roman" w:hAnsi="Times New Roman" w:cs="Times New Roman"/>
          <w:b/>
          <w:sz w:val="24"/>
          <w:szCs w:val="24"/>
        </w:rPr>
      </w:pPr>
    </w:p>
    <w:p w14:paraId="665CCD10" w14:textId="624CF3BD" w:rsidR="00167B15" w:rsidRPr="00272EDA" w:rsidRDefault="000E0D44" w:rsidP="00272EDA">
      <w:pPr>
        <w:spacing w:after="0" w:line="240" w:lineRule="auto"/>
        <w:rPr>
          <w:rFonts w:ascii="Times New Roman" w:eastAsia="Times New Roman" w:hAnsi="Times New Roman" w:cs="Times New Roman"/>
          <w:b/>
          <w:sz w:val="24"/>
          <w:szCs w:val="24"/>
          <w:lang w:val="en-US"/>
        </w:rPr>
      </w:pPr>
      <w:r w:rsidRPr="00272EDA">
        <w:rPr>
          <w:rFonts w:ascii="Times New Roman" w:eastAsia="Times New Roman" w:hAnsi="Times New Roman" w:cs="Times New Roman"/>
          <w:b/>
          <w:sz w:val="24"/>
          <w:szCs w:val="24"/>
          <w:lang w:val="en-US"/>
        </w:rPr>
        <w:t>RESULTS AND DISCUSSION</w:t>
      </w:r>
    </w:p>
    <w:p w14:paraId="3D2F8B40" w14:textId="35E24788" w:rsidR="00DE0D81" w:rsidRPr="00272EDA" w:rsidRDefault="00DE0D81" w:rsidP="00272EDA">
      <w:pPr>
        <w:spacing w:after="0" w:line="240" w:lineRule="auto"/>
        <w:rPr>
          <w:rFonts w:ascii="Times New Roman" w:eastAsia="Times New Roman" w:hAnsi="Times New Roman" w:cs="Times New Roman"/>
          <w:b/>
          <w:sz w:val="24"/>
          <w:szCs w:val="24"/>
          <w:lang w:val="en-US"/>
        </w:rPr>
      </w:pPr>
      <w:r w:rsidRPr="00272EDA">
        <w:rPr>
          <w:rFonts w:ascii="Times New Roman" w:eastAsia="Times New Roman" w:hAnsi="Times New Roman" w:cs="Times New Roman"/>
          <w:b/>
          <w:sz w:val="24"/>
          <w:szCs w:val="24"/>
          <w:lang w:val="en-US"/>
        </w:rPr>
        <w:t>RESULT</w:t>
      </w:r>
    </w:p>
    <w:p w14:paraId="1F869222" w14:textId="00571880" w:rsidR="00272EDA" w:rsidRPr="00272EDA" w:rsidRDefault="00272EDA" w:rsidP="00272EDA">
      <w:pPr>
        <w:spacing w:after="0" w:line="240" w:lineRule="auto"/>
        <w:outlineLvl w:val="1"/>
        <w:rPr>
          <w:rFonts w:ascii="Times New Roman" w:eastAsia="Times New Roman" w:hAnsi="Times New Roman" w:cs="Times New Roman"/>
          <w:b/>
          <w:bCs/>
          <w:sz w:val="24"/>
          <w:szCs w:val="24"/>
          <w:lang w:val="en-US" w:eastAsia="en-US"/>
          <w14:ligatures w14:val="none"/>
        </w:rPr>
      </w:pPr>
      <w:r w:rsidRPr="00272EDA">
        <w:rPr>
          <w:rFonts w:ascii="Times New Roman" w:eastAsia="Times New Roman" w:hAnsi="Times New Roman" w:cs="Times New Roman"/>
          <w:b/>
          <w:bCs/>
          <w:sz w:val="24"/>
          <w:szCs w:val="24"/>
          <w:lang w:val="en-US" w:eastAsia="en-US"/>
          <w14:ligatures w14:val="none"/>
        </w:rPr>
        <w:t>From Scientific Knowledge to Sustainability Understanding</w:t>
      </w:r>
    </w:p>
    <w:p w14:paraId="08A0E81D" w14:textId="77777777" w:rsidR="00272EDA" w:rsidRPr="00272EDA" w:rsidRDefault="00272EDA" w:rsidP="00272EDA">
      <w:pPr>
        <w:pStyle w:val="pdq2pgselectionanchorcontainer"/>
        <w:spacing w:before="0" w:beforeAutospacing="0" w:after="0" w:afterAutospacing="0"/>
        <w:ind w:firstLine="720"/>
        <w:jc w:val="both"/>
        <w:rPr>
          <w:bCs/>
        </w:rPr>
      </w:pPr>
      <w:r w:rsidRPr="00272EDA">
        <w:rPr>
          <w:bCs/>
        </w:rPr>
        <w:t>The analysis indicates that scientific knowledge remains the essential foundation of science education but is insufficient when presented independently from real-world contexts. Students need to understand scientific concepts because sustainability challenges require scientifically informed interpretation. However, knowledge becomes educationally meaningful when students can connect concepts with environmental and societal conditions. The literature suggests that students should not only understand scientific principles but also recognize how these principles operate within complex systems and influence decisions concerning resources, technology, health, and the environment. This finding supports a shift from knowledge acquisition toward the meaningful application of scientific knowledge.</w:t>
      </w:r>
    </w:p>
    <w:p w14:paraId="1FF55822" w14:textId="27458E89" w:rsidR="00272EDA" w:rsidRPr="00272EDA" w:rsidRDefault="00272EDA" w:rsidP="00272EDA">
      <w:pPr>
        <w:spacing w:after="0" w:line="240" w:lineRule="auto"/>
        <w:outlineLvl w:val="1"/>
        <w:rPr>
          <w:rFonts w:ascii="Times New Roman" w:eastAsia="Times New Roman" w:hAnsi="Times New Roman" w:cs="Times New Roman"/>
          <w:b/>
          <w:bCs/>
          <w:sz w:val="24"/>
          <w:szCs w:val="24"/>
          <w:lang w:val="en-US" w:eastAsia="en-US"/>
          <w14:ligatures w14:val="none"/>
        </w:rPr>
      </w:pPr>
      <w:r w:rsidRPr="00272EDA">
        <w:rPr>
          <w:rFonts w:ascii="Times New Roman" w:eastAsia="Times New Roman" w:hAnsi="Times New Roman" w:cs="Times New Roman"/>
          <w:b/>
          <w:bCs/>
          <w:sz w:val="24"/>
          <w:szCs w:val="24"/>
          <w:lang w:val="en-US" w:eastAsia="en-US"/>
          <w14:ligatures w14:val="none"/>
        </w:rPr>
        <w:t>Scientific Literacy as a Foundation for Sustainable Decision-Making</w:t>
      </w:r>
    </w:p>
    <w:p w14:paraId="2242E1A7" w14:textId="77777777" w:rsidR="00272EDA" w:rsidRPr="00272EDA" w:rsidRDefault="00272EDA" w:rsidP="00272EDA">
      <w:pPr>
        <w:pStyle w:val="pdq2pgselectionanchorcontainer"/>
        <w:spacing w:before="0" w:beforeAutospacing="0" w:after="0" w:afterAutospacing="0"/>
        <w:ind w:firstLine="720"/>
        <w:jc w:val="both"/>
        <w:rPr>
          <w:bCs/>
        </w:rPr>
      </w:pPr>
      <w:r w:rsidRPr="00272EDA">
        <w:rPr>
          <w:bCs/>
        </w:rPr>
        <w:t xml:space="preserve">The findings indicate that scientific literacy plays a central role in </w:t>
      </w:r>
      <w:r w:rsidRPr="00272EDA">
        <w:rPr>
          <w:bCs/>
        </w:rPr>
        <w:lastRenderedPageBreak/>
        <w:t>sustainability-oriented science education. Students need to interpret evidence, evaluate scientific claims, understand uncertainty, and distinguish evidence-based arguments from misinformation. Sustainability issues frequently involve competing interpretations and complex scientific evidence, making scientific literacy essential for responsible decision-making. The literature indicates that students who possess stronger scientific reasoning abilities are better positioned to understand the implications of environmental and technological decisions. Consequently, scientific literacy should be understood not merely as mastery of scientific concepts but as the capacity to use scientific knowledge critically in personal and societal contexts.</w:t>
      </w:r>
    </w:p>
    <w:p w14:paraId="7AD77A36" w14:textId="49E8A403" w:rsidR="00272EDA" w:rsidRPr="00272EDA" w:rsidRDefault="00272EDA" w:rsidP="00272EDA">
      <w:pPr>
        <w:spacing w:after="0" w:line="240" w:lineRule="auto"/>
        <w:outlineLvl w:val="1"/>
        <w:rPr>
          <w:rFonts w:ascii="Times New Roman" w:eastAsia="Times New Roman" w:hAnsi="Times New Roman" w:cs="Times New Roman"/>
          <w:b/>
          <w:bCs/>
          <w:sz w:val="24"/>
          <w:szCs w:val="24"/>
          <w:lang w:val="en-US" w:eastAsia="en-US"/>
          <w14:ligatures w14:val="none"/>
        </w:rPr>
      </w:pPr>
      <w:r w:rsidRPr="00272EDA">
        <w:rPr>
          <w:rFonts w:ascii="Times New Roman" w:eastAsia="Times New Roman" w:hAnsi="Times New Roman" w:cs="Times New Roman"/>
          <w:b/>
          <w:bCs/>
          <w:sz w:val="24"/>
          <w:szCs w:val="24"/>
          <w:lang w:val="en-US" w:eastAsia="en-US"/>
          <w14:ligatures w14:val="none"/>
        </w:rPr>
        <w:t>Systems Thinking and Interdisciplinary Understanding</w:t>
      </w:r>
    </w:p>
    <w:p w14:paraId="377872D0" w14:textId="77777777" w:rsidR="00272EDA" w:rsidRPr="00272EDA" w:rsidRDefault="00272EDA" w:rsidP="00272EDA">
      <w:pPr>
        <w:pStyle w:val="pdq2pgselectionanchorcontainer"/>
        <w:spacing w:before="0" w:beforeAutospacing="0" w:after="0" w:afterAutospacing="0"/>
        <w:ind w:firstLine="720"/>
        <w:jc w:val="both"/>
        <w:rPr>
          <w:bCs/>
        </w:rPr>
      </w:pPr>
      <w:r w:rsidRPr="00272EDA">
        <w:rPr>
          <w:bCs/>
        </w:rPr>
        <w:t>The analysis reveals that systems thinking is an important component of sustainability-oriented science education. Sustainability challenges involve interconnected ecological, technological, economic, and social systems that cannot be adequately understood through isolated disciplinary knowledge. Systems thinking enables students to recognize relationships, feedback loops, interdependencies, and potential consequences of interventions. The literature suggests that science learning can become more meaningful when students investigate authentic problems that require knowledge from multiple scientific domains. Interdisciplinary approaches therefore provide opportunities for students to develop more comprehensive understandings of complex sustainability issues.</w:t>
      </w:r>
    </w:p>
    <w:p w14:paraId="22D95F85" w14:textId="05A2D048" w:rsidR="00272EDA" w:rsidRPr="00272EDA" w:rsidRDefault="00272EDA" w:rsidP="00272EDA">
      <w:pPr>
        <w:spacing w:after="0" w:line="240" w:lineRule="auto"/>
        <w:outlineLvl w:val="1"/>
        <w:rPr>
          <w:rFonts w:ascii="Times New Roman" w:eastAsia="Times New Roman" w:hAnsi="Times New Roman" w:cs="Times New Roman"/>
          <w:b/>
          <w:bCs/>
          <w:sz w:val="24"/>
          <w:szCs w:val="24"/>
          <w:lang w:val="en-US" w:eastAsia="en-US"/>
          <w14:ligatures w14:val="none"/>
        </w:rPr>
      </w:pPr>
      <w:r w:rsidRPr="00272EDA">
        <w:rPr>
          <w:rFonts w:ascii="Times New Roman" w:eastAsia="Times New Roman" w:hAnsi="Times New Roman" w:cs="Times New Roman"/>
          <w:b/>
          <w:bCs/>
          <w:sz w:val="24"/>
          <w:szCs w:val="24"/>
          <w:lang w:val="en-US" w:eastAsia="en-US"/>
          <w14:ligatures w14:val="none"/>
        </w:rPr>
        <w:t>Inquiry and Action-Oriented Science Learning</w:t>
      </w:r>
    </w:p>
    <w:p w14:paraId="08322F83" w14:textId="77777777" w:rsidR="00272EDA" w:rsidRPr="00272EDA" w:rsidRDefault="00272EDA" w:rsidP="00272EDA">
      <w:pPr>
        <w:pStyle w:val="pdq2pgselectionanchorcontainer"/>
        <w:spacing w:before="0" w:beforeAutospacing="0" w:after="0" w:afterAutospacing="0"/>
        <w:ind w:firstLine="720"/>
        <w:jc w:val="both"/>
        <w:rPr>
          <w:bCs/>
        </w:rPr>
      </w:pPr>
      <w:r w:rsidRPr="00272EDA">
        <w:rPr>
          <w:bCs/>
        </w:rPr>
        <w:t>The findings indicate that inquiry-based learning can strengthen the connection between scientific knowledge and sustainability. When students investigate authentic problems, collect evidence, analyze data, and construct explanations, they experience science as a process rather than simply a body of established facts. Action-oriented learning extends this process by allowing students to consider possible responses to problems identified through inquiry. However, effective action requires a combination of scientific understanding, critical thinking, and contextual awareness. The literature therefore supports learning approaches in which students move from identifying a problem to investigating its causes, evaluating evidence, considering alternatives, and developing evidence-informed responses.</w:t>
      </w:r>
    </w:p>
    <w:p w14:paraId="08555EEE" w14:textId="41336349" w:rsidR="00272EDA" w:rsidRPr="00272EDA" w:rsidRDefault="00272EDA" w:rsidP="00272EDA">
      <w:pPr>
        <w:spacing w:after="0" w:line="240" w:lineRule="auto"/>
        <w:outlineLvl w:val="1"/>
        <w:rPr>
          <w:rFonts w:ascii="Times New Roman" w:eastAsia="Times New Roman" w:hAnsi="Times New Roman" w:cs="Times New Roman"/>
          <w:b/>
          <w:bCs/>
          <w:sz w:val="24"/>
          <w:szCs w:val="24"/>
          <w:lang w:val="en-US" w:eastAsia="en-US"/>
          <w14:ligatures w14:val="none"/>
        </w:rPr>
      </w:pPr>
      <w:r w:rsidRPr="00272EDA">
        <w:rPr>
          <w:rFonts w:ascii="Times New Roman" w:eastAsia="Times New Roman" w:hAnsi="Times New Roman" w:cs="Times New Roman"/>
          <w:b/>
          <w:bCs/>
          <w:sz w:val="24"/>
          <w:szCs w:val="24"/>
          <w:lang w:val="en-US" w:eastAsia="en-US"/>
          <w14:ligatures w14:val="none"/>
        </w:rPr>
        <w:t>Teacher Capacity and Curriculum Transformation</w:t>
      </w:r>
    </w:p>
    <w:p w14:paraId="4E2775A0" w14:textId="77777777" w:rsidR="00272EDA" w:rsidRPr="00272EDA" w:rsidRDefault="00272EDA" w:rsidP="00272EDA">
      <w:pPr>
        <w:pStyle w:val="pdq2pgselectionanchorcontainer"/>
        <w:spacing w:before="0" w:beforeAutospacing="0" w:after="0" w:afterAutospacing="0"/>
        <w:ind w:firstLine="720"/>
        <w:jc w:val="both"/>
        <w:rPr>
          <w:bCs/>
        </w:rPr>
      </w:pPr>
      <w:r w:rsidRPr="00272EDA">
        <w:rPr>
          <w:bCs/>
        </w:rPr>
        <w:t xml:space="preserve">The literature indicates that teachers are central to implementing sustainability-oriented science education. Teachers need the capacity to integrate scientific content with environmental and societal contexts, facilitate interdisciplinary inquiry, manage discussions involving uncertainty, and support students in developing evidence-informed arguments. However, teacher preparedness remains a significant challenge. Curriculum structures may also limit transformation when sustainability is treated as an additional topic rather than integrated throughout science learning. The findings therefore suggest that sustainability-oriented science education requires changes not </w:t>
      </w:r>
      <w:r w:rsidRPr="00272EDA">
        <w:rPr>
          <w:bCs/>
        </w:rPr>
        <w:lastRenderedPageBreak/>
        <w:t>only in classroom activities but also in curriculum organization, teacher professional development, learning resources, and institutional support.</w:t>
      </w:r>
    </w:p>
    <w:p w14:paraId="5AD8588F" w14:textId="7FA8976B" w:rsidR="00272EDA" w:rsidRPr="00272EDA" w:rsidRDefault="00272EDA" w:rsidP="00272EDA">
      <w:pPr>
        <w:spacing w:after="0" w:line="240" w:lineRule="auto"/>
        <w:outlineLvl w:val="1"/>
        <w:rPr>
          <w:rFonts w:ascii="Times New Roman" w:eastAsia="Times New Roman" w:hAnsi="Times New Roman" w:cs="Times New Roman"/>
          <w:b/>
          <w:bCs/>
          <w:sz w:val="24"/>
          <w:szCs w:val="24"/>
          <w:lang w:val="en-US" w:eastAsia="en-US"/>
          <w14:ligatures w14:val="none"/>
        </w:rPr>
      </w:pPr>
      <w:r w:rsidRPr="00272EDA">
        <w:rPr>
          <w:rFonts w:ascii="Times New Roman" w:eastAsia="Times New Roman" w:hAnsi="Times New Roman" w:cs="Times New Roman"/>
          <w:b/>
          <w:bCs/>
          <w:sz w:val="24"/>
          <w:szCs w:val="24"/>
          <w:lang w:val="en-US" w:eastAsia="en-US"/>
          <w14:ligatures w14:val="none"/>
        </w:rPr>
        <w:t>Assessment for Sustainability-Oriented Science Learning</w:t>
      </w:r>
    </w:p>
    <w:p w14:paraId="38CA5332" w14:textId="77777777" w:rsidR="00272EDA" w:rsidRPr="00272EDA" w:rsidRDefault="00272EDA" w:rsidP="00272EDA">
      <w:pPr>
        <w:pStyle w:val="pdq2pgselectionanchorcontainer"/>
        <w:spacing w:before="0" w:beforeAutospacing="0" w:after="0" w:afterAutospacing="0"/>
        <w:ind w:firstLine="720"/>
        <w:jc w:val="both"/>
        <w:rPr>
          <w:bCs/>
        </w:rPr>
      </w:pPr>
      <w:r w:rsidRPr="00272EDA">
        <w:rPr>
          <w:bCs/>
        </w:rPr>
        <w:t>The analysis indicates that conventional science assessment does not fully capture the competencies required for sustainability. Tests that primarily measure factual recall and procedural knowledge provide limited evidence concerning students' ability to analyze complex systems, evaluate evidence, make decisions, and propose solutions. The literature supports broader assessment approaches that examine scientific reasoning, application, problem solving, argumentation, collaboration, reflection, and action competence. Authentic projects, investigations, portfolios, presentations, and problem-based assessments can provide richer evidence of students' ability to apply science to sustainability challenges.</w:t>
      </w:r>
    </w:p>
    <w:p w14:paraId="5C8AE1FD" w14:textId="570C92CE" w:rsidR="00DE0D81" w:rsidRDefault="00DE0D81" w:rsidP="00167B15">
      <w:pPr>
        <w:spacing w:after="0" w:line="240" w:lineRule="auto"/>
        <w:rPr>
          <w:rFonts w:ascii="Times New Roman" w:eastAsia="Times New Roman" w:hAnsi="Times New Roman" w:cs="Times New Roman"/>
          <w:b/>
          <w:sz w:val="24"/>
          <w:szCs w:val="24"/>
          <w:lang w:val="en-US"/>
        </w:rPr>
      </w:pPr>
    </w:p>
    <w:p w14:paraId="1868D842" w14:textId="7F8938E1" w:rsidR="00DE0D81" w:rsidRPr="00445F5F" w:rsidRDefault="00DE0D81" w:rsidP="00445F5F">
      <w:pPr>
        <w:spacing w:after="0" w:line="240" w:lineRule="auto"/>
        <w:jc w:val="both"/>
        <w:rPr>
          <w:rFonts w:ascii="Times New Roman" w:eastAsia="Times New Roman" w:hAnsi="Times New Roman" w:cs="Times New Roman"/>
          <w:b/>
          <w:sz w:val="24"/>
          <w:szCs w:val="24"/>
          <w:lang w:val="en-US"/>
        </w:rPr>
      </w:pPr>
      <w:r w:rsidRPr="00445F5F">
        <w:rPr>
          <w:rFonts w:ascii="Times New Roman" w:eastAsia="Times New Roman" w:hAnsi="Times New Roman" w:cs="Times New Roman"/>
          <w:b/>
          <w:sz w:val="24"/>
          <w:szCs w:val="24"/>
          <w:lang w:val="en-US"/>
        </w:rPr>
        <w:t>DISCUSSION</w:t>
      </w:r>
    </w:p>
    <w:p w14:paraId="3BDE6275" w14:textId="35055F03" w:rsidR="00445F5F" w:rsidRPr="00445F5F" w:rsidRDefault="00445F5F" w:rsidP="00445F5F">
      <w:pPr>
        <w:pStyle w:val="Heading2"/>
        <w:spacing w:before="0" w:beforeAutospacing="0" w:after="0" w:afterAutospacing="0"/>
        <w:jc w:val="both"/>
        <w:rPr>
          <w:sz w:val="24"/>
          <w:szCs w:val="24"/>
        </w:rPr>
      </w:pPr>
      <w:r w:rsidRPr="00445F5F">
        <w:rPr>
          <w:sz w:val="24"/>
          <w:szCs w:val="24"/>
        </w:rPr>
        <w:t>From Knowledge Acquisition to Transformative Science Education</w:t>
      </w:r>
    </w:p>
    <w:p w14:paraId="5D73E4BD" w14:textId="13129019" w:rsidR="00445F5F" w:rsidRPr="00445F5F" w:rsidRDefault="00445F5F" w:rsidP="00445F5F">
      <w:pPr>
        <w:pStyle w:val="pdq2pgselectionanchorcontainer"/>
        <w:spacing w:before="0" w:beforeAutospacing="0" w:after="0" w:afterAutospacing="0"/>
        <w:ind w:firstLine="720"/>
        <w:jc w:val="both"/>
        <w:rPr>
          <w:bCs/>
        </w:rPr>
      </w:pPr>
      <w:r w:rsidRPr="00445F5F">
        <w:rPr>
          <w:bCs/>
        </w:rPr>
        <w:t xml:space="preserve">The central finding of this study is that science education needs to move beyond the transmission of scientific knowledge toward transformative learning. Scientific knowledge remains indispensable, but the educational goal should increasingly involve enabling students to use that knowledge to understand complex problems and make responsible decisions. This transformation reflects a broader change in the relationship between knowledge and society. Scientific information has little practical value when learners cannot interpret its relevance, evaluate </w:t>
      </w:r>
      <w:r w:rsidRPr="00445F5F">
        <w:rPr>
          <w:bCs/>
        </w:rPr>
        <w:t>evidence, or apply it to real-world situations</w:t>
      </w:r>
      <w:r w:rsidR="001C38D7">
        <w:rPr>
          <w:bCs/>
        </w:rPr>
        <w:t xml:space="preserve"> </w:t>
      </w:r>
      <w:r w:rsidR="001C38D7">
        <w:rPr>
          <w:bCs/>
        </w:rPr>
        <w:fldChar w:fldCharType="begin" w:fldLock="1"/>
      </w:r>
      <w:r w:rsidR="001C38D7">
        <w:rPr>
          <w:bCs/>
        </w:rPr>
        <w:instrText>ADDIN CSL_CITATION {"citationItems":[{"id":"ITEM-1","itemData":{"ISSN":"3046-9570","author":[{"dropping-particle":"","family":"Ayyubi","given":"Ibnu Imam","non-dropping-particle":"Al","parse-names":false,"suffix":""},{"dropping-particle":"","family":"Martini","given":"Sofia","non-dropping-particle":"","parse-names":false,"suffix":""},{"dropping-particle":"","family":"Fitriyah","given":"Dzul","non-dropping-particle":"","parse-names":false,"suffix":""},{"dropping-particle":"","family":"Yasmin","given":"Sabrina","non-dropping-particle":"","parse-names":false,"suffix":""},{"dropping-particle":"","family":"Azizah","given":"Azzah","non-dropping-particle":"","parse-names":false,"suffix":""}],"container-title":"Journal of Primary Education Research","id":"ITEM-1","issue":"1","issued":{"date-parts":[["2024"]]},"page":"102-114","title":"Penerapan Model Pembelajaran pada Hasil Belajar Matematika berdasarkan Asal Sekolah dan Jenis Kelamin Siswa","type":"article-journal","volume":"2"},"uris":["http://www.mendeley.com/documents/?uuid=78d72374-b97c-4e24-9389-538bc1a5a350"]}],"mendeley":{"formattedCitation":"(Al Ayyubi et al., 2024)","plainTextFormattedCitation":"(Al Ayyubi et al., 2024)","previouslyFormattedCitation":"(Al Ayyubi et al., 2024)"},"properties":{"noteIndex":0},"schema":"https://github.com/citation-style-language/schema/raw/master/csl-citation.json"}</w:instrText>
      </w:r>
      <w:r w:rsidR="001C38D7">
        <w:rPr>
          <w:bCs/>
        </w:rPr>
        <w:fldChar w:fldCharType="separate"/>
      </w:r>
      <w:r w:rsidR="001C38D7" w:rsidRPr="001C38D7">
        <w:rPr>
          <w:bCs/>
          <w:noProof/>
        </w:rPr>
        <w:t>(Al Ayyubi et al., 2024)</w:t>
      </w:r>
      <w:r w:rsidR="001C38D7">
        <w:rPr>
          <w:bCs/>
        </w:rPr>
        <w:fldChar w:fldCharType="end"/>
      </w:r>
      <w:r w:rsidRPr="00445F5F">
        <w:rPr>
          <w:bCs/>
        </w:rPr>
        <w:t>.</w:t>
      </w:r>
    </w:p>
    <w:p w14:paraId="421B1661" w14:textId="77777777" w:rsidR="00445F5F" w:rsidRPr="00445F5F" w:rsidRDefault="00445F5F" w:rsidP="00445F5F">
      <w:pPr>
        <w:pStyle w:val="pdq2pgselectionanchorcontainer"/>
        <w:spacing w:before="0" w:beforeAutospacing="0" w:after="0" w:afterAutospacing="0"/>
        <w:ind w:firstLine="720"/>
        <w:jc w:val="both"/>
        <w:rPr>
          <w:bCs/>
        </w:rPr>
      </w:pPr>
      <w:r w:rsidRPr="00445F5F">
        <w:rPr>
          <w:bCs/>
        </w:rPr>
        <w:t>Transformative science education therefore positions students as active participants in knowledge construction. Rather than merely learning established scientific facts, students investigate problems, question assumptions, analyze evidence, and develop explanations. Sustainability provides an appropriate context for this transformation because environmental and societal challenges require students to connect scientific understanding with practical and ethical considerations.</w:t>
      </w:r>
    </w:p>
    <w:p w14:paraId="24365A69" w14:textId="2C1AA2C7" w:rsidR="00445F5F" w:rsidRPr="00445F5F" w:rsidRDefault="00445F5F" w:rsidP="00445F5F">
      <w:pPr>
        <w:pStyle w:val="Heading2"/>
        <w:spacing w:before="0" w:beforeAutospacing="0" w:after="0" w:afterAutospacing="0"/>
        <w:jc w:val="both"/>
        <w:rPr>
          <w:sz w:val="24"/>
          <w:szCs w:val="24"/>
        </w:rPr>
      </w:pPr>
      <w:r w:rsidRPr="00445F5F">
        <w:rPr>
          <w:sz w:val="24"/>
          <w:szCs w:val="24"/>
        </w:rPr>
        <w:t>Scientific Literacy for a Changing World</w:t>
      </w:r>
    </w:p>
    <w:p w14:paraId="54373972" w14:textId="5E9135DC" w:rsidR="00445F5F" w:rsidRPr="00445F5F" w:rsidRDefault="00445F5F" w:rsidP="00445F5F">
      <w:pPr>
        <w:pStyle w:val="pdq2pgselectionanchorcontainer"/>
        <w:spacing w:before="0" w:beforeAutospacing="0" w:after="0" w:afterAutospacing="0"/>
        <w:ind w:firstLine="720"/>
        <w:jc w:val="both"/>
        <w:rPr>
          <w:bCs/>
        </w:rPr>
      </w:pPr>
      <w:r w:rsidRPr="00445F5F">
        <w:rPr>
          <w:bCs/>
        </w:rPr>
        <w:t>Scientific literacy becomes particularly important in a world characterized by rapid technological and environmental change. Individuals encounter scientific claims through social media, news platforms, public debates, and digital environments. The ability to distinguish reliable scientific evidence from misleading information is therefore essential</w:t>
      </w:r>
      <w:r w:rsidR="001C38D7">
        <w:rPr>
          <w:bCs/>
        </w:rPr>
        <w:t xml:space="preserve"> </w:t>
      </w:r>
      <w:r w:rsidR="001C38D7">
        <w:rPr>
          <w:bCs/>
        </w:rPr>
        <w:fldChar w:fldCharType="begin" w:fldLock="1"/>
      </w:r>
      <w:r w:rsidR="001C38D7">
        <w:rPr>
          <w:bCs/>
        </w:rPr>
        <w:instrText>ADDIN CSL_CITATION {"citationItems":[{"id":"ITEM-1","itemData":{"DOI":"https://doi.org/10.32332/akademika.v29i1.9145","ISSN":"2356-2420","author":[{"dropping-particle":"","family":"Mutaqin","given":"Mumu Zainal","non-dropping-particle":"","parse-names":false,"suffix":""},{"dropping-particle":"","family":"Lestari","given":"Dirga Ayu","non-dropping-particle":"","parse-names":false,"suffix":""},{"dropping-particle":"","family":"Solihin","given":"Solihin","non-dropping-particle":"","parse-names":false,"suffix":""},{"dropping-particle":"","family":"Al-Ayyubi","given":"Ibnu Imam","non-dropping-particle":"","parse-names":false,"suffix":""},{"dropping-particle":"","family":"Rahmawati","given":"Siti","non-dropping-particle":"","parse-names":false,"suffix":""}],"container-title":"Akademika: Jurnal Pemikiran Islam","id":"ITEM-1","issue":"1","issued":{"date-parts":[["2024"]]},"page":"73-86","title":"Factors in Religious Culture to Increase Tolerant Attitude of Gen-Z Among Urban Muslims","type":"article-journal","volume":"29"},"uris":["http://www.mendeley.com/documents/?uuid=f0956f6a-f9be-4f46-b13b-e7ca96884b6c"]}],"mendeley":{"formattedCitation":"(Mutaqin et al., 2024)","plainTextFormattedCitation":"(Mutaqin et al., 2024)","previouslyFormattedCitation":"(Mutaqin et al., 2024)"},"properties":{"noteIndex":0},"schema":"https://github.com/citation-style-language/schema/raw/master/csl-citation.json"}</w:instrText>
      </w:r>
      <w:r w:rsidR="001C38D7">
        <w:rPr>
          <w:bCs/>
        </w:rPr>
        <w:fldChar w:fldCharType="separate"/>
      </w:r>
      <w:r w:rsidR="001C38D7" w:rsidRPr="001C38D7">
        <w:rPr>
          <w:bCs/>
          <w:noProof/>
        </w:rPr>
        <w:t>(Mutaqin et al., 2024)</w:t>
      </w:r>
      <w:r w:rsidR="001C38D7">
        <w:rPr>
          <w:bCs/>
        </w:rPr>
        <w:fldChar w:fldCharType="end"/>
      </w:r>
      <w:r w:rsidRPr="00445F5F">
        <w:rPr>
          <w:bCs/>
        </w:rPr>
        <w:t>.</w:t>
      </w:r>
    </w:p>
    <w:p w14:paraId="65A3B94E" w14:textId="77777777" w:rsidR="00445F5F" w:rsidRPr="00445F5F" w:rsidRDefault="00445F5F" w:rsidP="00445F5F">
      <w:pPr>
        <w:pStyle w:val="pdq2pgselectionanchorcontainer"/>
        <w:spacing w:before="0" w:beforeAutospacing="0" w:after="0" w:afterAutospacing="0"/>
        <w:ind w:firstLine="720"/>
        <w:jc w:val="both"/>
        <w:rPr>
          <w:bCs/>
        </w:rPr>
      </w:pPr>
      <w:r w:rsidRPr="00445F5F">
        <w:rPr>
          <w:bCs/>
        </w:rPr>
        <w:t>In sustainability contexts, scientific literacy also requires understanding uncertainty. Scientific knowledge does not always produce simple or absolute answers, particularly when dealing with complex environmental systems. Students need to understand how scientific evidence is generated, interpreted, and revised. Such understanding can help them avoid both uncritical acceptance and unjustified rejection of scientific claims.</w:t>
      </w:r>
    </w:p>
    <w:p w14:paraId="5508DEF2" w14:textId="393080B1" w:rsidR="00445F5F" w:rsidRPr="00445F5F" w:rsidRDefault="00445F5F" w:rsidP="00445F5F">
      <w:pPr>
        <w:pStyle w:val="Heading2"/>
        <w:spacing w:before="0" w:beforeAutospacing="0" w:after="0" w:afterAutospacing="0"/>
        <w:jc w:val="both"/>
        <w:rPr>
          <w:sz w:val="24"/>
          <w:szCs w:val="24"/>
        </w:rPr>
      </w:pPr>
      <w:r w:rsidRPr="00445F5F">
        <w:rPr>
          <w:sz w:val="24"/>
          <w:szCs w:val="24"/>
        </w:rPr>
        <w:t>Systems Thinking as a Core Competence</w:t>
      </w:r>
    </w:p>
    <w:p w14:paraId="505DBC2F" w14:textId="294CD744" w:rsidR="00445F5F" w:rsidRPr="00445F5F" w:rsidRDefault="00445F5F" w:rsidP="00445F5F">
      <w:pPr>
        <w:pStyle w:val="pdq2pgselectionanchorcontainer"/>
        <w:spacing w:before="0" w:beforeAutospacing="0" w:after="0" w:afterAutospacing="0"/>
        <w:ind w:firstLine="720"/>
        <w:jc w:val="both"/>
        <w:rPr>
          <w:bCs/>
        </w:rPr>
      </w:pPr>
      <w:r w:rsidRPr="00445F5F">
        <w:t xml:space="preserve">The complexity of sustainability </w:t>
      </w:r>
      <w:r w:rsidRPr="00445F5F">
        <w:rPr>
          <w:bCs/>
        </w:rPr>
        <w:t xml:space="preserve">challenges demonstrates the limitations of fragmented disciplinary learning. Climate change, for example, cannot be </w:t>
      </w:r>
      <w:r w:rsidRPr="00445F5F">
        <w:rPr>
          <w:bCs/>
        </w:rPr>
        <w:lastRenderedPageBreak/>
        <w:t>adequately understood through atmospheric science alone because it is connected to energy production, transportation, agriculture, economics, consumption, and social behavior. Similarly, biodiversity loss involves ecological processes as well as land use, agriculture, urbanization, economics, and human decision-making</w:t>
      </w:r>
      <w:r w:rsidR="001C38D7">
        <w:rPr>
          <w:bCs/>
        </w:rPr>
        <w:t xml:space="preserve"> </w:t>
      </w:r>
      <w:r w:rsidR="001C38D7">
        <w:rPr>
          <w:bCs/>
        </w:rPr>
        <w:fldChar w:fldCharType="begin" w:fldLock="1"/>
      </w:r>
      <w:r w:rsidR="001C38D7">
        <w:rPr>
          <w:bCs/>
        </w:rPr>
        <w:instrText>ADDIN CSL_CITATION {"citationItems":[{"id":"ITEM-1","itemData":{"DOI":"http://dx.doi.org/10.26418/j-psh.v13i2.54771","ISSN":"2715-1247","author":[{"dropping-particle":"","family":"Arfadila","given":"Arfadila","non-dropping-particle":"","parse-names":false,"suffix":""},{"dropping-particle":"","family":"Aulia","given":"Erlinda Risa Nur","non-dropping-particle":"","parse-names":false,"suffix":""},{"dropping-particle":"","family":"Nugraha","given":"Reska Widyaksana","non-dropping-particle":"","parse-names":false,"suffix":""},{"dropping-particle":"","family":"Humaeroh","given":"Siti","non-dropping-particle":"","parse-names":false,"suffix":""}],"container-title":"Jurnal Pendidikan Sosiologi Dan Humaniora","id":"ITEM-1","issue":"2","issued":{"date-parts":[["2022"]]},"page":"392-399","title":"Penerapan e-learning dalam inovasi pendidikan untuk meningkatkan kemampuan literasi digital siswa","type":"article-journal","volume":"13"},"uris":["http://www.mendeley.com/documents/?uuid=fbc502a2-4a44-4e00-bea6-ad0bf1d94527"]}],"mendeley":{"formattedCitation":"(Arfadila et al., 2022)","plainTextFormattedCitation":"(Arfadila et al., 2022)","previouslyFormattedCitation":"(Arfadila et al., 2022)"},"properties":{"noteIndex":0},"schema":"https://github.com/citation-style-language/schema/raw/master/csl-citation.json"}</w:instrText>
      </w:r>
      <w:r w:rsidR="001C38D7">
        <w:rPr>
          <w:bCs/>
        </w:rPr>
        <w:fldChar w:fldCharType="separate"/>
      </w:r>
      <w:r w:rsidR="001C38D7" w:rsidRPr="001C38D7">
        <w:rPr>
          <w:bCs/>
          <w:noProof/>
        </w:rPr>
        <w:t>(Arfadila et al., 2022)</w:t>
      </w:r>
      <w:r w:rsidR="001C38D7">
        <w:rPr>
          <w:bCs/>
        </w:rPr>
        <w:fldChar w:fldCharType="end"/>
      </w:r>
      <w:r w:rsidRPr="00445F5F">
        <w:rPr>
          <w:bCs/>
        </w:rPr>
        <w:t>.</w:t>
      </w:r>
    </w:p>
    <w:p w14:paraId="370941D9" w14:textId="77777777" w:rsidR="00445F5F" w:rsidRPr="00445F5F" w:rsidRDefault="00445F5F" w:rsidP="00445F5F">
      <w:pPr>
        <w:pStyle w:val="pdq2pgselectionanchorcontainer"/>
        <w:spacing w:before="0" w:beforeAutospacing="0" w:after="0" w:afterAutospacing="0"/>
        <w:ind w:firstLine="720"/>
        <w:jc w:val="both"/>
        <w:rPr>
          <w:bCs/>
        </w:rPr>
      </w:pPr>
      <w:r w:rsidRPr="00445F5F">
        <w:rPr>
          <w:bCs/>
        </w:rPr>
        <w:t>Systems thinking can help students recognize these interconnections. In science education, students can be encouraged to construct system maps, investigate cause-and-effect relationships, identify feedback mechanisms, and consider unintended consequences. Such activities enable learners to understand that sustainability problems rarely have simple solutions and that interventions in one part of a system may create consequences elsewhere.</w:t>
      </w:r>
    </w:p>
    <w:p w14:paraId="792FF573" w14:textId="01A27B0C" w:rsidR="00445F5F" w:rsidRPr="00445F5F" w:rsidRDefault="00445F5F" w:rsidP="00445F5F">
      <w:pPr>
        <w:pStyle w:val="Heading2"/>
        <w:spacing w:before="0" w:beforeAutospacing="0" w:after="0" w:afterAutospacing="0"/>
        <w:jc w:val="both"/>
        <w:rPr>
          <w:sz w:val="24"/>
          <w:szCs w:val="24"/>
        </w:rPr>
      </w:pPr>
      <w:r w:rsidRPr="00445F5F">
        <w:rPr>
          <w:sz w:val="24"/>
          <w:szCs w:val="24"/>
        </w:rPr>
        <w:t>From Learning About Sustainability to Learning for Sustainability</w:t>
      </w:r>
    </w:p>
    <w:p w14:paraId="3FE831E4" w14:textId="36DFF687" w:rsidR="00445F5F" w:rsidRPr="00445F5F" w:rsidRDefault="00445F5F" w:rsidP="00445F5F">
      <w:pPr>
        <w:pStyle w:val="pdq2pgselectionanchorcontainer"/>
        <w:spacing w:before="0" w:beforeAutospacing="0" w:after="0" w:afterAutospacing="0"/>
        <w:ind w:firstLine="720"/>
        <w:jc w:val="both"/>
        <w:rPr>
          <w:bCs/>
        </w:rPr>
      </w:pPr>
      <w:r w:rsidRPr="00445F5F">
        <w:rPr>
          <w:bCs/>
        </w:rPr>
        <w:t>An important distinction emerging from the literature is the difference between learning about sustainability and learning for sustainability. Learning about sustainability involves acquiring knowledge concerning environmental problems, resources, ecosystems, climate, and sustainable development. Learning for sustainability goes further by developing the capacities needed to respond to those challenges</w:t>
      </w:r>
      <w:r w:rsidR="001C38D7">
        <w:rPr>
          <w:bCs/>
        </w:rPr>
        <w:t xml:space="preserve"> </w:t>
      </w:r>
      <w:r w:rsidR="001C38D7">
        <w:rPr>
          <w:bCs/>
        </w:rPr>
        <w:fldChar w:fldCharType="begin" w:fldLock="1"/>
      </w:r>
      <w:r w:rsidR="001C38D7">
        <w:rPr>
          <w:bCs/>
        </w:rPr>
        <w:instrText>ADDIN CSL_CITATION {"citationItems":[{"id":"ITEM-1","itemData":{"ISSN":"0719-4706","author":[{"dropping-particle":"","family":"Silva","given":"Maicon Lino Ferreira","non-dropping-particle":"da","parse-names":false,"suffix":""},{"dropping-particle":"","family":"Silva Rodrigues","given":"Augusto José","non-dropping-particle":"da","parse-names":false,"suffix":""}],"container-title":"Revista Inclusiones","id":"ITEM-1","issued":{"date-parts":[["2018"]]},"page":"12-31","title":"A new digital method to recover the state of art: systematic literature review (SLR)","type":"article-journal"},"uris":["http://www.mendeley.com/documents/?uuid=dd1580e0-4290-467e-805a-87e2fa92222b"]}],"mendeley":{"formattedCitation":"(da Silva &amp; da Silva Rodrigues, 2018)","plainTextFormattedCitation":"(da Silva &amp; da Silva Rodrigues, 2018)","previouslyFormattedCitation":"(da Silva &amp; da Silva Rodrigues, 2018)"},"properties":{"noteIndex":0},"schema":"https://github.com/citation-style-language/schema/raw/master/csl-citation.json"}</w:instrText>
      </w:r>
      <w:r w:rsidR="001C38D7">
        <w:rPr>
          <w:bCs/>
        </w:rPr>
        <w:fldChar w:fldCharType="separate"/>
      </w:r>
      <w:r w:rsidR="001C38D7" w:rsidRPr="001C38D7">
        <w:rPr>
          <w:bCs/>
          <w:noProof/>
        </w:rPr>
        <w:t>(da Silva &amp; da Silva Rodrigues, 2018)</w:t>
      </w:r>
      <w:r w:rsidR="001C38D7">
        <w:rPr>
          <w:bCs/>
        </w:rPr>
        <w:fldChar w:fldCharType="end"/>
      </w:r>
      <w:r w:rsidRPr="00445F5F">
        <w:rPr>
          <w:bCs/>
        </w:rPr>
        <w:t>.</w:t>
      </w:r>
    </w:p>
    <w:p w14:paraId="49CECE12" w14:textId="77777777" w:rsidR="00445F5F" w:rsidRPr="00445F5F" w:rsidRDefault="00445F5F" w:rsidP="00445F5F">
      <w:pPr>
        <w:pStyle w:val="pdq2pgselectionanchorcontainer"/>
        <w:spacing w:before="0" w:beforeAutospacing="0" w:after="0" w:afterAutospacing="0"/>
        <w:ind w:firstLine="720"/>
        <w:jc w:val="both"/>
        <w:rPr>
          <w:bCs/>
        </w:rPr>
      </w:pPr>
      <w:r w:rsidRPr="00445F5F">
        <w:rPr>
          <w:bCs/>
        </w:rPr>
        <w:t xml:space="preserve">This distinction changes the role of science education. Students should not merely know what climate change is; they should be able to interpret relevant evidence, evaluate possible responses, assess trade-offs, and participate responsibly in decisions. Science </w:t>
      </w:r>
      <w:r w:rsidRPr="00445F5F">
        <w:rPr>
          <w:bCs/>
        </w:rPr>
        <w:t>education thus becomes a foundation for informed action rather than an endpoint of knowledge acquisition.</w:t>
      </w:r>
    </w:p>
    <w:p w14:paraId="1DC46501" w14:textId="241FFCA0" w:rsidR="00445F5F" w:rsidRPr="00445F5F" w:rsidRDefault="00445F5F" w:rsidP="00445F5F">
      <w:pPr>
        <w:pStyle w:val="Heading2"/>
        <w:spacing w:before="0" w:beforeAutospacing="0" w:after="0" w:afterAutospacing="0"/>
        <w:jc w:val="both"/>
        <w:rPr>
          <w:sz w:val="24"/>
          <w:szCs w:val="24"/>
        </w:rPr>
      </w:pPr>
      <w:r w:rsidRPr="00445F5F">
        <w:rPr>
          <w:sz w:val="24"/>
          <w:szCs w:val="24"/>
        </w:rPr>
        <w:t>Inquiry as a Bridge Between Science and Sustainability</w:t>
      </w:r>
    </w:p>
    <w:p w14:paraId="12639063" w14:textId="77777777" w:rsidR="00445F5F" w:rsidRPr="00445F5F" w:rsidRDefault="00445F5F" w:rsidP="00445F5F">
      <w:pPr>
        <w:pStyle w:val="pdq2pgselectionanchorcontainer"/>
        <w:spacing w:before="0" w:beforeAutospacing="0" w:after="0" w:afterAutospacing="0"/>
        <w:ind w:firstLine="720"/>
        <w:jc w:val="both"/>
        <w:rPr>
          <w:bCs/>
        </w:rPr>
      </w:pPr>
      <w:r w:rsidRPr="00445F5F">
        <w:rPr>
          <w:bCs/>
        </w:rPr>
        <w:t xml:space="preserve">Inquiry-based learning provides an important bridge between scientific knowledge and sustainability action. Students can begin with questions emerging from their local environments, formulate hypotheses, collect evidence, analyze findings, and develop explanations. Through this process, scientific knowledge becomes connected to </w:t>
      </w:r>
      <w:proofErr w:type="gramStart"/>
      <w:r w:rsidRPr="00445F5F">
        <w:rPr>
          <w:bCs/>
        </w:rPr>
        <w:t>students'</w:t>
      </w:r>
      <w:proofErr w:type="gramEnd"/>
      <w:r w:rsidRPr="00445F5F">
        <w:rPr>
          <w:bCs/>
        </w:rPr>
        <w:t xml:space="preserve"> lived experiences.</w:t>
      </w:r>
    </w:p>
    <w:p w14:paraId="10A6E236" w14:textId="77777777" w:rsidR="00445F5F" w:rsidRPr="00445F5F" w:rsidRDefault="00445F5F" w:rsidP="00445F5F">
      <w:pPr>
        <w:pStyle w:val="pdq2pgselectionanchorcontainer"/>
        <w:spacing w:before="0" w:beforeAutospacing="0" w:after="0" w:afterAutospacing="0"/>
        <w:ind w:firstLine="720"/>
        <w:jc w:val="both"/>
        <w:rPr>
          <w:bCs/>
        </w:rPr>
      </w:pPr>
      <w:r w:rsidRPr="00445F5F">
        <w:rPr>
          <w:bCs/>
        </w:rPr>
        <w:t>The educational value of inquiry lies in the fact that students experience the processes through which knowledge is constructed and evaluated. When inquiry is connected to sustainability problems, students can also recognize the practical implications of scientific knowledge. This creates opportunities for learning that is simultaneously conceptual, procedural, critical, and contextual.</w:t>
      </w:r>
    </w:p>
    <w:p w14:paraId="6D40E697" w14:textId="75E4EEE8" w:rsidR="00445F5F" w:rsidRPr="00445F5F" w:rsidRDefault="00445F5F" w:rsidP="00445F5F">
      <w:pPr>
        <w:pStyle w:val="Heading2"/>
        <w:spacing w:before="0" w:beforeAutospacing="0" w:after="0" w:afterAutospacing="0"/>
        <w:jc w:val="both"/>
        <w:rPr>
          <w:sz w:val="24"/>
          <w:szCs w:val="24"/>
        </w:rPr>
      </w:pPr>
      <w:r w:rsidRPr="00445F5F">
        <w:rPr>
          <w:sz w:val="24"/>
          <w:szCs w:val="24"/>
        </w:rPr>
        <w:t>The Teacher as a Facilitator of Sustainability Learning</w:t>
      </w:r>
    </w:p>
    <w:p w14:paraId="6DDB18CD" w14:textId="6D5346D0" w:rsidR="00445F5F" w:rsidRPr="00445F5F" w:rsidRDefault="00445F5F" w:rsidP="00445F5F">
      <w:pPr>
        <w:pStyle w:val="pdq2pgselectionanchorcontainer"/>
        <w:spacing w:before="0" w:beforeAutospacing="0" w:after="0" w:afterAutospacing="0"/>
        <w:ind w:firstLine="720"/>
        <w:jc w:val="both"/>
        <w:rPr>
          <w:bCs/>
        </w:rPr>
      </w:pPr>
      <w:r w:rsidRPr="00445F5F">
        <w:rPr>
          <w:bCs/>
        </w:rPr>
        <w:t>The transformation of science education requires teachers to assume a broader pedagogical role. Teachers are not merely transmitters of scientific knowledge but facilitators of inquiry, discussion, systems thinking, and reflection. They need to create learning environments where students can engage with complex questions that do not always have immediate or simple answers</w:t>
      </w:r>
      <w:r w:rsidR="001C38D7">
        <w:rPr>
          <w:bCs/>
        </w:rPr>
        <w:t xml:space="preserve"> </w:t>
      </w:r>
      <w:r w:rsidR="001C38D7">
        <w:rPr>
          <w:bCs/>
        </w:rPr>
        <w:fldChar w:fldCharType="begin" w:fldLock="1"/>
      </w:r>
      <w:r w:rsidR="001C38D7">
        <w:rPr>
          <w:bCs/>
        </w:rPr>
        <w:instrText>ADDIN CSL_CITATION {"citationItems":[{"id":"ITEM-1","itemData":{"DOI":"https://doi.org/10.21272/1817-9215.2024.2-04","author":[{"dropping-particle":"","family":"Vorontsova","given":"Anna Serhiivna","non-dropping-particle":"","parse-names":false,"suffix":""},{"dropping-particle":"","family":"Dakhari","given":"Limor","non-dropping-particle":"","parse-names":false,"suffix":""}],"id":"ITEM-1","issued":{"date-parts":[["2024"]]},"publisher":"Sumy State University","title":"Adapting leadership: a literature review of effective management styles in modern educational settings","type":"article-journal"},"uris":["http://www.mendeley.com/documents/?uuid=1c7e27be-4a52-4ee2-88d1-442f9db9c5e7"]}],"mendeley":{"formattedCitation":"(Vorontsova &amp; Dakhari, 2024)","plainTextFormattedCitation":"(Vorontsova &amp; Dakhari, 2024)","previouslyFormattedCitation":"(Vorontsova &amp; Dakhari, 2024)"},"properties":{"noteIndex":0},"schema":"https://github.com/citation-style-language/schema/raw/master/csl-citation.json"}</w:instrText>
      </w:r>
      <w:r w:rsidR="001C38D7">
        <w:rPr>
          <w:bCs/>
        </w:rPr>
        <w:fldChar w:fldCharType="separate"/>
      </w:r>
      <w:r w:rsidR="001C38D7" w:rsidRPr="001C38D7">
        <w:rPr>
          <w:bCs/>
          <w:noProof/>
        </w:rPr>
        <w:t>(Vorontsova &amp; Dakhari, 2024)</w:t>
      </w:r>
      <w:r w:rsidR="001C38D7">
        <w:rPr>
          <w:bCs/>
        </w:rPr>
        <w:fldChar w:fldCharType="end"/>
      </w:r>
      <w:r w:rsidRPr="00445F5F">
        <w:rPr>
          <w:bCs/>
        </w:rPr>
        <w:t>.</w:t>
      </w:r>
    </w:p>
    <w:p w14:paraId="09536AAF" w14:textId="77777777" w:rsidR="00445F5F" w:rsidRPr="00445F5F" w:rsidRDefault="00445F5F" w:rsidP="00445F5F">
      <w:pPr>
        <w:pStyle w:val="pdq2pgselectionanchorcontainer"/>
        <w:spacing w:before="0" w:beforeAutospacing="0" w:after="0" w:afterAutospacing="0"/>
        <w:ind w:firstLine="720"/>
        <w:jc w:val="both"/>
        <w:rPr>
          <w:bCs/>
        </w:rPr>
      </w:pPr>
      <w:r w:rsidRPr="00445F5F">
        <w:rPr>
          <w:bCs/>
        </w:rPr>
        <w:t xml:space="preserve">This requires professional development that integrates scientific content knowledge with sustainability competencies and innovative pedagogical strategies. Teachers also need support in designing </w:t>
      </w:r>
      <w:r w:rsidRPr="00445F5F">
        <w:rPr>
          <w:bCs/>
        </w:rPr>
        <w:lastRenderedPageBreak/>
        <w:t>interdisciplinary learning activities and authentic assessments. Without appropriate institutional support, expectations for sustainability-oriented teaching may become difficult to implement consistently.</w:t>
      </w:r>
    </w:p>
    <w:p w14:paraId="603078F0" w14:textId="12EA3D5D" w:rsidR="00445F5F" w:rsidRPr="00445F5F" w:rsidRDefault="00445F5F" w:rsidP="00445F5F">
      <w:pPr>
        <w:pStyle w:val="Heading2"/>
        <w:spacing w:before="0" w:beforeAutospacing="0" w:after="0" w:afterAutospacing="0"/>
        <w:jc w:val="both"/>
        <w:rPr>
          <w:sz w:val="24"/>
          <w:szCs w:val="24"/>
        </w:rPr>
      </w:pPr>
      <w:r w:rsidRPr="00445F5F">
        <w:rPr>
          <w:sz w:val="24"/>
          <w:szCs w:val="24"/>
        </w:rPr>
        <w:t>Reimagining Assessment in Science Education</w:t>
      </w:r>
    </w:p>
    <w:p w14:paraId="3E9C8653" w14:textId="28978C7B" w:rsidR="00445F5F" w:rsidRPr="00445F5F" w:rsidRDefault="00445F5F" w:rsidP="00445F5F">
      <w:pPr>
        <w:pStyle w:val="pdq2pgselectionanchorcontainer"/>
        <w:spacing w:before="0" w:beforeAutospacing="0" w:after="0" w:afterAutospacing="0"/>
        <w:ind w:firstLine="720"/>
        <w:jc w:val="both"/>
        <w:rPr>
          <w:bCs/>
        </w:rPr>
      </w:pPr>
      <w:r w:rsidRPr="00445F5F">
        <w:rPr>
          <w:bCs/>
        </w:rPr>
        <w:t>Assessment should reflect the transformation in educational objectives. If science education seeks to develop students who can understand and respond to sustainability challenges, assessments should examine more than their ability to recall scientific information</w:t>
      </w:r>
      <w:r w:rsidR="001C38D7">
        <w:rPr>
          <w:bCs/>
        </w:rPr>
        <w:t xml:space="preserve"> </w:t>
      </w:r>
      <w:r w:rsidR="001C38D7">
        <w:rPr>
          <w:bCs/>
        </w:rPr>
        <w:fldChar w:fldCharType="begin" w:fldLock="1"/>
      </w:r>
      <w:r w:rsidR="001C38D7">
        <w:rPr>
          <w:bCs/>
        </w:rPr>
        <w:instrText>ADDIN CSL_CITATION {"citationItems":[{"id":"ITEM-1","itemData":{"DOI":"10.1080/00405841.2020.1857128","ISSN":"0040-5841","author":[{"dropping-particle":"","family":"Roock","given":"Roberto Santiago","non-dropping-particle":"De","parse-names":false,"suffix":""}],"container-title":"Theory Into Practice","id":"ITEM-1","issue":"2","issued":{"date-parts":[["2021"]]},"page":"183-193","publisher":"Taylor &amp; Francis","title":"On the material consequences of (digital) literacy: Digital writing with, for, and against racial capitalism","type":"article-journal","volume":"60"},"uris":["http://www.mendeley.com/documents/?uuid=07d603f2-9616-4892-b9f4-290e0b7fd06a"]}],"mendeley":{"formattedCitation":"(De Roock, 2021)","plainTextFormattedCitation":"(De Roock, 2021)","previouslyFormattedCitation":"(De Roock, 2021)"},"properties":{"noteIndex":0},"schema":"https://github.com/citation-style-language/schema/raw/master/csl-citation.json"}</w:instrText>
      </w:r>
      <w:r w:rsidR="001C38D7">
        <w:rPr>
          <w:bCs/>
        </w:rPr>
        <w:fldChar w:fldCharType="separate"/>
      </w:r>
      <w:r w:rsidR="001C38D7" w:rsidRPr="001C38D7">
        <w:rPr>
          <w:bCs/>
          <w:noProof/>
        </w:rPr>
        <w:t>(De Roock, 2021)</w:t>
      </w:r>
      <w:r w:rsidR="001C38D7">
        <w:rPr>
          <w:bCs/>
        </w:rPr>
        <w:fldChar w:fldCharType="end"/>
      </w:r>
      <w:r w:rsidRPr="00445F5F">
        <w:rPr>
          <w:bCs/>
        </w:rPr>
        <w:t>.</w:t>
      </w:r>
    </w:p>
    <w:p w14:paraId="15D9F0A7" w14:textId="77777777" w:rsidR="00445F5F" w:rsidRPr="00445F5F" w:rsidRDefault="00445F5F" w:rsidP="00445F5F">
      <w:pPr>
        <w:pStyle w:val="pdq2pgselectionanchorcontainer"/>
        <w:spacing w:before="0" w:beforeAutospacing="0" w:after="0" w:afterAutospacing="0"/>
        <w:ind w:firstLine="720"/>
        <w:jc w:val="both"/>
        <w:rPr>
          <w:bCs/>
        </w:rPr>
      </w:pPr>
      <w:r w:rsidRPr="00445F5F">
        <w:rPr>
          <w:bCs/>
        </w:rPr>
        <w:t>Students should have opportunities to demonstrate their ability to analyze evidence, explain systems, evaluate alternative solutions, justify decisions, and communicate scientific arguments. A student investigating local water pollution, for example, could be assessed not only on knowledge of water chemistry but also on the ability to interpret data, identify possible causes, evaluate intervention strategies, and justify a proposed response.</w:t>
      </w:r>
    </w:p>
    <w:p w14:paraId="64F1E99E" w14:textId="77777777" w:rsidR="00445F5F" w:rsidRPr="00445F5F" w:rsidRDefault="00445F5F" w:rsidP="00445F5F">
      <w:pPr>
        <w:pStyle w:val="pdq2pgselectionanchorcontainer"/>
        <w:spacing w:before="0" w:beforeAutospacing="0" w:after="0" w:afterAutospacing="0"/>
        <w:ind w:firstLine="720"/>
        <w:jc w:val="both"/>
        <w:rPr>
          <w:bCs/>
        </w:rPr>
      </w:pPr>
      <w:r w:rsidRPr="00445F5F">
        <w:rPr>
          <w:bCs/>
        </w:rPr>
        <w:t>Such assessment provides a more comprehensive representation of scientific competence because it captures the relationship between knowledge and action.</w:t>
      </w:r>
    </w:p>
    <w:p w14:paraId="2F9C4005" w14:textId="5B91C431" w:rsidR="00445F5F" w:rsidRPr="00445F5F" w:rsidRDefault="00445F5F" w:rsidP="00445F5F">
      <w:pPr>
        <w:pStyle w:val="pdq2pgselectionanchorcontainer"/>
        <w:spacing w:before="0" w:beforeAutospacing="0" w:after="0" w:afterAutospacing="0"/>
        <w:jc w:val="both"/>
        <w:rPr>
          <w:b/>
        </w:rPr>
      </w:pPr>
      <w:r w:rsidRPr="00445F5F">
        <w:rPr>
          <w:b/>
        </w:rPr>
        <w:t>Toward Action Competence</w:t>
      </w:r>
    </w:p>
    <w:p w14:paraId="1850CFB1" w14:textId="77777777" w:rsidR="00445F5F" w:rsidRPr="00445F5F" w:rsidRDefault="00445F5F" w:rsidP="00445F5F">
      <w:pPr>
        <w:pStyle w:val="pdq2pgselectionanchorcontainer"/>
        <w:spacing w:before="0" w:beforeAutospacing="0" w:after="0" w:afterAutospacing="0"/>
        <w:ind w:firstLine="720"/>
        <w:jc w:val="both"/>
        <w:rPr>
          <w:bCs/>
        </w:rPr>
      </w:pPr>
      <w:r w:rsidRPr="00445F5F">
        <w:rPr>
          <w:bCs/>
        </w:rPr>
        <w:t>The ultimate purpose of sustainability-oriented science education should be the development of action competence. Action competence does not mean simply encouraging students to participate in environmental activities. It involves developing the knowledge, confidence, critical awareness, and decision-making abilities required to respond responsibly to complex problems.</w:t>
      </w:r>
    </w:p>
    <w:p w14:paraId="6F3C84E7" w14:textId="77777777" w:rsidR="00445F5F" w:rsidRPr="00445F5F" w:rsidRDefault="00445F5F" w:rsidP="00445F5F">
      <w:pPr>
        <w:pStyle w:val="pdq2pgselectionanchorcontainer"/>
        <w:spacing w:before="0" w:beforeAutospacing="0" w:after="0" w:afterAutospacing="0"/>
        <w:ind w:firstLine="720"/>
        <w:jc w:val="both"/>
        <w:rPr>
          <w:bCs/>
        </w:rPr>
      </w:pPr>
      <w:r w:rsidRPr="00445F5F">
        <w:rPr>
          <w:bCs/>
        </w:rPr>
        <w:t>Students should be able to move through a process of understanding a problem, investigating evidence, considering alternatives, evaluating consequences, and determining appropriate action. Science education can provide the scientific foundation for this process while also encouraging ethical reflection concerning the consequences of different choices.</w:t>
      </w:r>
    </w:p>
    <w:p w14:paraId="0A7BB69C" w14:textId="77777777" w:rsidR="00167B15" w:rsidRDefault="00167B15" w:rsidP="00167B15">
      <w:pPr>
        <w:spacing w:after="0" w:line="240" w:lineRule="auto"/>
        <w:jc w:val="both"/>
        <w:rPr>
          <w:rFonts w:ascii="Times New Roman" w:eastAsia="Times New Roman" w:hAnsi="Times New Roman" w:cs="Times New Roman"/>
          <w:b/>
          <w:sz w:val="24"/>
          <w:szCs w:val="24"/>
        </w:rPr>
      </w:pPr>
    </w:p>
    <w:p w14:paraId="4719233D" w14:textId="60B9F6A5" w:rsidR="00167B15" w:rsidRPr="000E0D44" w:rsidRDefault="000E0D44" w:rsidP="00167B15">
      <w:pPr>
        <w:spacing w:after="0" w:line="240" w:lineRule="auto"/>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CONCLUSION</w:t>
      </w:r>
    </w:p>
    <w:p w14:paraId="14031856" w14:textId="77777777" w:rsidR="00445F5F" w:rsidRPr="00445F5F" w:rsidRDefault="00445F5F" w:rsidP="00445F5F">
      <w:pPr>
        <w:pStyle w:val="pdq2pgselectionanchorcontainer"/>
        <w:spacing w:before="0" w:beforeAutospacing="0" w:after="0" w:afterAutospacing="0"/>
        <w:ind w:firstLine="720"/>
        <w:jc w:val="both"/>
        <w:rPr>
          <w:bCs/>
        </w:rPr>
      </w:pPr>
      <w:r w:rsidRPr="00445F5F">
        <w:rPr>
          <w:bCs/>
        </w:rPr>
        <w:t>Science education needs to respond to the changing conditions of the contemporary world by moving beyond an exclusive emphasis on knowledge acquisition toward sustainability-oriented learning. Scientific knowledge remains the essential foundation for understanding environmental and societal challenges, but knowledge alone is insufficient when students cannot interpret evidence, understand complex systems, evaluate alternatives, or make responsible decisions. The findings of this library research indicate that scientific literacy, systems thinking, inquiry-based learning, interdisciplinary understanding, ethical reasoning, and action competence should become increasingly important dimensions of science education. Such competencies enable students to connect scientific concepts with authentic sustainability challenges and transform knowledge into meaningful understanding and responsible action.</w:t>
      </w:r>
    </w:p>
    <w:p w14:paraId="2A69A737" w14:textId="6B6F8174" w:rsidR="00167B15" w:rsidRPr="00445F5F" w:rsidRDefault="00445F5F" w:rsidP="00445F5F">
      <w:pPr>
        <w:pStyle w:val="pdq2pgselectionanchorcontainer"/>
        <w:spacing w:before="0" w:beforeAutospacing="0" w:after="0" w:afterAutospacing="0"/>
        <w:ind w:firstLine="720"/>
        <w:jc w:val="both"/>
        <w:rPr>
          <w:bCs/>
        </w:rPr>
      </w:pPr>
      <w:r w:rsidRPr="00445F5F">
        <w:rPr>
          <w:bCs/>
        </w:rPr>
        <w:t xml:space="preserve">The study proposes a transformative framework in which science education progresses from scientific knowledge toward scientific literacy, critical inquiry, systems thinking, interdisciplinary understanding, ethical reflection, evidence-informed decision-making, </w:t>
      </w:r>
      <w:r w:rsidRPr="00445F5F">
        <w:rPr>
          <w:bCs/>
        </w:rPr>
        <w:lastRenderedPageBreak/>
        <w:t>and action competence. This framework positions students not merely as recipients of scientific information but as active participants capable of interpreting and responding to complex sustainability challenges. Teachers play a central role as facilitators of inquiry, systems thinking, contextual learning, and responsible decision-making, while assessment needs to move beyond factual recall toward authentic demonstrations of scientific reasoning and application. The study is limited by its reliance on existing literature and therefore requires empirical validation in diverse educational contexts. Future research should investigate how sustainability-oriented science curricula and pedagogies influence students' scientific literacy, systems thinking, environmental decision-making, and capacity to engage in meaningful sustainability action.</w:t>
      </w:r>
    </w:p>
    <w:p w14:paraId="3240AA78" w14:textId="77777777" w:rsidR="00167B15" w:rsidRPr="00E8515F" w:rsidRDefault="00167B15" w:rsidP="00167B15">
      <w:pPr>
        <w:spacing w:after="0" w:line="240" w:lineRule="auto"/>
        <w:jc w:val="both"/>
        <w:rPr>
          <w:b/>
          <w:sz w:val="24"/>
          <w:szCs w:val="24"/>
        </w:rPr>
      </w:pPr>
    </w:p>
    <w:p w14:paraId="75D88DFD" w14:textId="6C403E65" w:rsidR="00167B15" w:rsidRPr="00CD16BD" w:rsidRDefault="000E0D44" w:rsidP="00167B15">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sidRPr="00CD16BD">
        <w:rPr>
          <w:rFonts w:ascii="Times New Roman" w:eastAsia="Times New Roman" w:hAnsi="Times New Roman" w:cs="Times New Roman"/>
          <w:b/>
          <w:color w:val="000000"/>
          <w:sz w:val="24"/>
          <w:szCs w:val="24"/>
        </w:rPr>
        <w:t>REFERENCES</w:t>
      </w:r>
    </w:p>
    <w:p w14:paraId="1499F81B" w14:textId="67A4544C" w:rsidR="001C38D7" w:rsidRPr="001C38D7" w:rsidRDefault="001C38D7" w:rsidP="001C38D7">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1C38D7">
        <w:rPr>
          <w:rFonts w:asciiTheme="majorBidi" w:hAnsiTheme="majorBidi" w:cstheme="majorBidi"/>
          <w:sz w:val="24"/>
          <w:szCs w:val="24"/>
        </w:rPr>
        <w:fldChar w:fldCharType="begin" w:fldLock="1"/>
      </w:r>
      <w:r w:rsidRPr="001C38D7">
        <w:rPr>
          <w:rFonts w:asciiTheme="majorBidi" w:hAnsiTheme="majorBidi" w:cstheme="majorBidi"/>
          <w:sz w:val="24"/>
          <w:szCs w:val="24"/>
        </w:rPr>
        <w:instrText xml:space="preserve">ADDIN Mendeley Bibliography CSL_BIBLIOGRAPHY </w:instrText>
      </w:r>
      <w:r w:rsidRPr="001C38D7">
        <w:rPr>
          <w:rFonts w:asciiTheme="majorBidi" w:hAnsiTheme="majorBidi" w:cstheme="majorBidi"/>
          <w:sz w:val="24"/>
          <w:szCs w:val="24"/>
        </w:rPr>
        <w:fldChar w:fldCharType="separate"/>
      </w:r>
      <w:r w:rsidRPr="001C38D7">
        <w:rPr>
          <w:rFonts w:asciiTheme="majorBidi" w:hAnsiTheme="majorBidi" w:cstheme="majorBidi"/>
          <w:noProof/>
          <w:sz w:val="24"/>
          <w:szCs w:val="24"/>
        </w:rPr>
        <w:t xml:space="preserve">Al Ayyubi, I. I., Martini, S., Fitriyah, D., Yasmin, S., &amp; Azizah, A. (2024). Penerapan Model Pembelajaran pada Hasil Belajar Matematika berdasarkan Asal Sekolah dan Jenis Kelamin Siswa. </w:t>
      </w:r>
      <w:r w:rsidRPr="001C38D7">
        <w:rPr>
          <w:rFonts w:asciiTheme="majorBidi" w:hAnsiTheme="majorBidi" w:cstheme="majorBidi"/>
          <w:i/>
          <w:iCs/>
          <w:noProof/>
          <w:sz w:val="24"/>
          <w:szCs w:val="24"/>
        </w:rPr>
        <w:t>Journal of Primary Education Research</w:t>
      </w:r>
      <w:r w:rsidRPr="001C38D7">
        <w:rPr>
          <w:rFonts w:asciiTheme="majorBidi" w:hAnsiTheme="majorBidi" w:cstheme="majorBidi"/>
          <w:noProof/>
          <w:sz w:val="24"/>
          <w:szCs w:val="24"/>
        </w:rPr>
        <w:t xml:space="preserve">, </w:t>
      </w:r>
      <w:r w:rsidRPr="001C38D7">
        <w:rPr>
          <w:rFonts w:asciiTheme="majorBidi" w:hAnsiTheme="majorBidi" w:cstheme="majorBidi"/>
          <w:i/>
          <w:iCs/>
          <w:noProof/>
          <w:sz w:val="24"/>
          <w:szCs w:val="24"/>
        </w:rPr>
        <w:t>2</w:t>
      </w:r>
      <w:r w:rsidRPr="001C38D7">
        <w:rPr>
          <w:rFonts w:asciiTheme="majorBidi" w:hAnsiTheme="majorBidi" w:cstheme="majorBidi"/>
          <w:noProof/>
          <w:sz w:val="24"/>
          <w:szCs w:val="24"/>
        </w:rPr>
        <w:t>(1), 102–114. https://e-journal.unu-jogja.ac.id/pgsd/index.php/primer/article/view/20</w:t>
      </w:r>
    </w:p>
    <w:p w14:paraId="71CFCDEA" w14:textId="77777777" w:rsidR="001C38D7" w:rsidRPr="001C38D7" w:rsidRDefault="001C38D7" w:rsidP="001C38D7">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1C38D7">
        <w:rPr>
          <w:rFonts w:asciiTheme="majorBidi" w:hAnsiTheme="majorBidi" w:cstheme="majorBidi"/>
          <w:noProof/>
          <w:sz w:val="24"/>
          <w:szCs w:val="24"/>
        </w:rPr>
        <w:t xml:space="preserve">Arfadila, A., Aulia, E. R. N., Nugraha, R. W., &amp; Humaeroh, S. (2022). Penerapan e-learning dalam inovasi pendidikan untuk meningkatkan kemampuan literasi digital siswa. </w:t>
      </w:r>
      <w:r w:rsidRPr="001C38D7">
        <w:rPr>
          <w:rFonts w:asciiTheme="majorBidi" w:hAnsiTheme="majorBidi" w:cstheme="majorBidi"/>
          <w:i/>
          <w:iCs/>
          <w:noProof/>
          <w:sz w:val="24"/>
          <w:szCs w:val="24"/>
        </w:rPr>
        <w:t>Jurnal Pendidikan Sosiologi Dan Humaniora</w:t>
      </w:r>
      <w:r w:rsidRPr="001C38D7">
        <w:rPr>
          <w:rFonts w:asciiTheme="majorBidi" w:hAnsiTheme="majorBidi" w:cstheme="majorBidi"/>
          <w:noProof/>
          <w:sz w:val="24"/>
          <w:szCs w:val="24"/>
        </w:rPr>
        <w:t xml:space="preserve">, </w:t>
      </w:r>
      <w:r w:rsidRPr="001C38D7">
        <w:rPr>
          <w:rFonts w:asciiTheme="majorBidi" w:hAnsiTheme="majorBidi" w:cstheme="majorBidi"/>
          <w:i/>
          <w:iCs/>
          <w:noProof/>
          <w:sz w:val="24"/>
          <w:szCs w:val="24"/>
        </w:rPr>
        <w:t>13</w:t>
      </w:r>
      <w:r w:rsidRPr="001C38D7">
        <w:rPr>
          <w:rFonts w:asciiTheme="majorBidi" w:hAnsiTheme="majorBidi" w:cstheme="majorBidi"/>
          <w:noProof/>
          <w:sz w:val="24"/>
          <w:szCs w:val="24"/>
        </w:rPr>
        <w:t>(2), 392–399. https://doi.org/http://dx.doi.org/10.26418/j-psh.v13i2.54771</w:t>
      </w:r>
    </w:p>
    <w:p w14:paraId="4C1B8D5B" w14:textId="77777777" w:rsidR="001C38D7" w:rsidRPr="001C38D7" w:rsidRDefault="001C38D7" w:rsidP="001C38D7">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1C38D7">
        <w:rPr>
          <w:rFonts w:asciiTheme="majorBidi" w:hAnsiTheme="majorBidi" w:cstheme="majorBidi"/>
          <w:noProof/>
          <w:sz w:val="24"/>
          <w:szCs w:val="24"/>
        </w:rPr>
        <w:t xml:space="preserve">Creswell, J. W., &amp; Creswell, J. D. </w:t>
      </w:r>
      <w:r w:rsidRPr="001C38D7">
        <w:rPr>
          <w:rFonts w:asciiTheme="majorBidi" w:hAnsiTheme="majorBidi" w:cstheme="majorBidi"/>
          <w:noProof/>
          <w:sz w:val="24"/>
          <w:szCs w:val="24"/>
        </w:rPr>
        <w:t xml:space="preserve">(2017). </w:t>
      </w:r>
      <w:r w:rsidRPr="001C38D7">
        <w:rPr>
          <w:rFonts w:asciiTheme="majorBidi" w:hAnsiTheme="majorBidi" w:cstheme="majorBidi"/>
          <w:i/>
          <w:iCs/>
          <w:noProof/>
          <w:sz w:val="24"/>
          <w:szCs w:val="24"/>
        </w:rPr>
        <w:t>Research design: Qualitative, quantitative, and mixed methods approaches</w:t>
      </w:r>
      <w:r w:rsidRPr="001C38D7">
        <w:rPr>
          <w:rFonts w:asciiTheme="majorBidi" w:hAnsiTheme="majorBidi" w:cstheme="majorBidi"/>
          <w:noProof/>
          <w:sz w:val="24"/>
          <w:szCs w:val="24"/>
        </w:rPr>
        <w:t>. Sage publications.</w:t>
      </w:r>
    </w:p>
    <w:p w14:paraId="580AC5EE" w14:textId="77777777" w:rsidR="001C38D7" w:rsidRPr="001C38D7" w:rsidRDefault="001C38D7" w:rsidP="001C38D7">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1C38D7">
        <w:rPr>
          <w:rFonts w:asciiTheme="majorBidi" w:hAnsiTheme="majorBidi" w:cstheme="majorBidi"/>
          <w:noProof/>
          <w:sz w:val="24"/>
          <w:szCs w:val="24"/>
        </w:rPr>
        <w:t xml:space="preserve">da Silva, M. L. F., &amp; da Silva Rodrigues, A. J. (2018). A new digital method to recover the state of art: systematic literature review (SLR). </w:t>
      </w:r>
      <w:r w:rsidRPr="001C38D7">
        <w:rPr>
          <w:rFonts w:asciiTheme="majorBidi" w:hAnsiTheme="majorBidi" w:cstheme="majorBidi"/>
          <w:i/>
          <w:iCs/>
          <w:noProof/>
          <w:sz w:val="24"/>
          <w:szCs w:val="24"/>
        </w:rPr>
        <w:t>Revista Inclusiones</w:t>
      </w:r>
      <w:r w:rsidRPr="001C38D7">
        <w:rPr>
          <w:rFonts w:asciiTheme="majorBidi" w:hAnsiTheme="majorBidi" w:cstheme="majorBidi"/>
          <w:noProof/>
          <w:sz w:val="24"/>
          <w:szCs w:val="24"/>
        </w:rPr>
        <w:t>, 12–31.</w:t>
      </w:r>
    </w:p>
    <w:p w14:paraId="30582E8D" w14:textId="77777777" w:rsidR="001C38D7" w:rsidRPr="001C38D7" w:rsidRDefault="001C38D7" w:rsidP="001C38D7">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1C38D7">
        <w:rPr>
          <w:rFonts w:asciiTheme="majorBidi" w:hAnsiTheme="majorBidi" w:cstheme="majorBidi"/>
          <w:noProof/>
          <w:sz w:val="24"/>
          <w:szCs w:val="24"/>
        </w:rPr>
        <w:t xml:space="preserve">De Roock, R. S. (2021). On the material consequences of (digital) literacy: Digital writing with, for, and against racial capitalism. </w:t>
      </w:r>
      <w:r w:rsidRPr="001C38D7">
        <w:rPr>
          <w:rFonts w:asciiTheme="majorBidi" w:hAnsiTheme="majorBidi" w:cstheme="majorBidi"/>
          <w:i/>
          <w:iCs/>
          <w:noProof/>
          <w:sz w:val="24"/>
          <w:szCs w:val="24"/>
        </w:rPr>
        <w:t>Theory Into Practice</w:t>
      </w:r>
      <w:r w:rsidRPr="001C38D7">
        <w:rPr>
          <w:rFonts w:asciiTheme="majorBidi" w:hAnsiTheme="majorBidi" w:cstheme="majorBidi"/>
          <w:noProof/>
          <w:sz w:val="24"/>
          <w:szCs w:val="24"/>
        </w:rPr>
        <w:t xml:space="preserve">, </w:t>
      </w:r>
      <w:r w:rsidRPr="001C38D7">
        <w:rPr>
          <w:rFonts w:asciiTheme="majorBidi" w:hAnsiTheme="majorBidi" w:cstheme="majorBidi"/>
          <w:i/>
          <w:iCs/>
          <w:noProof/>
          <w:sz w:val="24"/>
          <w:szCs w:val="24"/>
        </w:rPr>
        <w:t>60</w:t>
      </w:r>
      <w:r w:rsidRPr="001C38D7">
        <w:rPr>
          <w:rFonts w:asciiTheme="majorBidi" w:hAnsiTheme="majorBidi" w:cstheme="majorBidi"/>
          <w:noProof/>
          <w:sz w:val="24"/>
          <w:szCs w:val="24"/>
        </w:rPr>
        <w:t>(2), 183–193. https://doi.org/10.1080/00405841.2020.1857128</w:t>
      </w:r>
    </w:p>
    <w:p w14:paraId="41FEB110" w14:textId="77777777" w:rsidR="001C38D7" w:rsidRPr="001C38D7" w:rsidRDefault="001C38D7" w:rsidP="001C38D7">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1C38D7">
        <w:rPr>
          <w:rFonts w:asciiTheme="majorBidi" w:hAnsiTheme="majorBidi" w:cstheme="majorBidi"/>
          <w:noProof/>
          <w:sz w:val="24"/>
          <w:szCs w:val="24"/>
        </w:rPr>
        <w:t xml:space="preserve">Efendy, R., Rahman, A., &amp; Karim, A. R. (2023). Scientific Transformation of Islamic Boarding Schools through Role of Alums the Islamic Education Study Program. </w:t>
      </w:r>
      <w:r w:rsidRPr="001C38D7">
        <w:rPr>
          <w:rFonts w:asciiTheme="majorBidi" w:hAnsiTheme="majorBidi" w:cstheme="majorBidi"/>
          <w:i/>
          <w:iCs/>
          <w:noProof/>
          <w:sz w:val="24"/>
          <w:szCs w:val="24"/>
        </w:rPr>
        <w:t>Al-Hayat: Journal of Islamic Education</w:t>
      </w:r>
      <w:r w:rsidRPr="001C38D7">
        <w:rPr>
          <w:rFonts w:asciiTheme="majorBidi" w:hAnsiTheme="majorBidi" w:cstheme="majorBidi"/>
          <w:noProof/>
          <w:sz w:val="24"/>
          <w:szCs w:val="24"/>
        </w:rPr>
        <w:t xml:space="preserve">, </w:t>
      </w:r>
      <w:r w:rsidRPr="001C38D7">
        <w:rPr>
          <w:rFonts w:asciiTheme="majorBidi" w:hAnsiTheme="majorBidi" w:cstheme="majorBidi"/>
          <w:i/>
          <w:iCs/>
          <w:noProof/>
          <w:sz w:val="24"/>
          <w:szCs w:val="24"/>
        </w:rPr>
        <w:t>7</w:t>
      </w:r>
      <w:r w:rsidRPr="001C38D7">
        <w:rPr>
          <w:rFonts w:asciiTheme="majorBidi" w:hAnsiTheme="majorBidi" w:cstheme="majorBidi"/>
          <w:noProof/>
          <w:sz w:val="24"/>
          <w:szCs w:val="24"/>
        </w:rPr>
        <w:t>(2), 355–369. https://doi.org/https://doi.org/10.35723/ajie.v7i2.349</w:t>
      </w:r>
    </w:p>
    <w:p w14:paraId="62DB847C" w14:textId="77777777" w:rsidR="001C38D7" w:rsidRPr="001C38D7" w:rsidRDefault="001C38D7" w:rsidP="001C38D7">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1C38D7">
        <w:rPr>
          <w:rFonts w:asciiTheme="majorBidi" w:hAnsiTheme="majorBidi" w:cstheme="majorBidi"/>
          <w:noProof/>
          <w:sz w:val="24"/>
          <w:szCs w:val="24"/>
        </w:rPr>
        <w:t xml:space="preserve">Gough, I. (2020). Defining floors and ceilings: the contribution of human needs theory. </w:t>
      </w:r>
      <w:r w:rsidRPr="001C38D7">
        <w:rPr>
          <w:rFonts w:asciiTheme="majorBidi" w:hAnsiTheme="majorBidi" w:cstheme="majorBidi"/>
          <w:i/>
          <w:iCs/>
          <w:noProof/>
          <w:sz w:val="24"/>
          <w:szCs w:val="24"/>
        </w:rPr>
        <w:t>Sustainability: Science, Practice and Policy</w:t>
      </w:r>
      <w:r w:rsidRPr="001C38D7">
        <w:rPr>
          <w:rFonts w:asciiTheme="majorBidi" w:hAnsiTheme="majorBidi" w:cstheme="majorBidi"/>
          <w:noProof/>
          <w:sz w:val="24"/>
          <w:szCs w:val="24"/>
        </w:rPr>
        <w:t xml:space="preserve">, </w:t>
      </w:r>
      <w:r w:rsidRPr="001C38D7">
        <w:rPr>
          <w:rFonts w:asciiTheme="majorBidi" w:hAnsiTheme="majorBidi" w:cstheme="majorBidi"/>
          <w:i/>
          <w:iCs/>
          <w:noProof/>
          <w:sz w:val="24"/>
          <w:szCs w:val="24"/>
        </w:rPr>
        <w:t>16</w:t>
      </w:r>
      <w:r w:rsidRPr="001C38D7">
        <w:rPr>
          <w:rFonts w:asciiTheme="majorBidi" w:hAnsiTheme="majorBidi" w:cstheme="majorBidi"/>
          <w:noProof/>
          <w:sz w:val="24"/>
          <w:szCs w:val="24"/>
        </w:rPr>
        <w:t>(1), 208–219. https://doi.org/10.1080/15487733.2020.1814033</w:t>
      </w:r>
    </w:p>
    <w:p w14:paraId="1A766270" w14:textId="77777777" w:rsidR="001C38D7" w:rsidRPr="001C38D7" w:rsidRDefault="001C38D7" w:rsidP="001C38D7">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1C38D7">
        <w:rPr>
          <w:rFonts w:asciiTheme="majorBidi" w:hAnsiTheme="majorBidi" w:cstheme="majorBidi"/>
          <w:noProof/>
          <w:sz w:val="24"/>
          <w:szCs w:val="24"/>
        </w:rPr>
        <w:t xml:space="preserve">Ha, M., Sya’bandari, Y., Rusmana, A. N., Aini, R. Q., &amp; Fadillah, S. M. (2021). Comprehensive Analysis of the FORT Instrument: Using Distractor Analysis to Explore Students’ Scientific Reasoning Based on Academic Level and Gender Difference. </w:t>
      </w:r>
      <w:r w:rsidRPr="001C38D7">
        <w:rPr>
          <w:rFonts w:asciiTheme="majorBidi" w:hAnsiTheme="majorBidi" w:cstheme="majorBidi"/>
          <w:i/>
          <w:iCs/>
          <w:noProof/>
          <w:sz w:val="24"/>
          <w:szCs w:val="24"/>
        </w:rPr>
        <w:t>Journal of Baltic Science Education</w:t>
      </w:r>
      <w:r w:rsidRPr="001C38D7">
        <w:rPr>
          <w:rFonts w:asciiTheme="majorBidi" w:hAnsiTheme="majorBidi" w:cstheme="majorBidi"/>
          <w:noProof/>
          <w:sz w:val="24"/>
          <w:szCs w:val="24"/>
        </w:rPr>
        <w:t xml:space="preserve">, </w:t>
      </w:r>
      <w:r w:rsidRPr="001C38D7">
        <w:rPr>
          <w:rFonts w:asciiTheme="majorBidi" w:hAnsiTheme="majorBidi" w:cstheme="majorBidi"/>
          <w:i/>
          <w:iCs/>
          <w:noProof/>
          <w:sz w:val="24"/>
          <w:szCs w:val="24"/>
        </w:rPr>
        <w:t>20</w:t>
      </w:r>
      <w:r w:rsidRPr="001C38D7">
        <w:rPr>
          <w:rFonts w:asciiTheme="majorBidi" w:hAnsiTheme="majorBidi" w:cstheme="majorBidi"/>
          <w:noProof/>
          <w:sz w:val="24"/>
          <w:szCs w:val="24"/>
        </w:rPr>
        <w:t>(6), 906–926. https://eric.ed.gov/?id=EJ1326493</w:t>
      </w:r>
    </w:p>
    <w:p w14:paraId="4AAB30EA" w14:textId="77777777" w:rsidR="001C38D7" w:rsidRPr="001C38D7" w:rsidRDefault="001C38D7" w:rsidP="001C38D7">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1C38D7">
        <w:rPr>
          <w:rFonts w:asciiTheme="majorBidi" w:hAnsiTheme="majorBidi" w:cstheme="majorBidi"/>
          <w:noProof/>
          <w:sz w:val="24"/>
          <w:szCs w:val="24"/>
        </w:rPr>
        <w:t xml:space="preserve">Hejnová, E., Eisenmann, P., Loukotová, L., &amp; Přibyl, J. (2024). Pupils’ </w:t>
      </w:r>
      <w:r w:rsidRPr="001C38D7">
        <w:rPr>
          <w:rFonts w:asciiTheme="majorBidi" w:hAnsiTheme="majorBidi" w:cstheme="majorBidi"/>
          <w:noProof/>
          <w:sz w:val="24"/>
          <w:szCs w:val="24"/>
        </w:rPr>
        <w:lastRenderedPageBreak/>
        <w:t xml:space="preserve">School Performance and Their Cognitive Abilities to Solve Problems. </w:t>
      </w:r>
      <w:r w:rsidRPr="001C38D7">
        <w:rPr>
          <w:rFonts w:asciiTheme="majorBidi" w:hAnsiTheme="majorBidi" w:cstheme="majorBidi"/>
          <w:i/>
          <w:iCs/>
          <w:noProof/>
          <w:sz w:val="24"/>
          <w:szCs w:val="24"/>
        </w:rPr>
        <w:t>Journal on Efficiency and Responsibility in Education and Science</w:t>
      </w:r>
      <w:r w:rsidRPr="001C38D7">
        <w:rPr>
          <w:rFonts w:asciiTheme="majorBidi" w:hAnsiTheme="majorBidi" w:cstheme="majorBidi"/>
          <w:noProof/>
          <w:sz w:val="24"/>
          <w:szCs w:val="24"/>
        </w:rPr>
        <w:t xml:space="preserve">, </w:t>
      </w:r>
      <w:r w:rsidRPr="001C38D7">
        <w:rPr>
          <w:rFonts w:asciiTheme="majorBidi" w:hAnsiTheme="majorBidi" w:cstheme="majorBidi"/>
          <w:i/>
          <w:iCs/>
          <w:noProof/>
          <w:sz w:val="24"/>
          <w:szCs w:val="24"/>
        </w:rPr>
        <w:t>17</w:t>
      </w:r>
      <w:r w:rsidRPr="001C38D7">
        <w:rPr>
          <w:rFonts w:asciiTheme="majorBidi" w:hAnsiTheme="majorBidi" w:cstheme="majorBidi"/>
          <w:noProof/>
          <w:sz w:val="24"/>
          <w:szCs w:val="24"/>
        </w:rPr>
        <w:t>(1), 55–66. https://doi.org/https://doi.org/10.7160/eriesj.2024.170105</w:t>
      </w:r>
    </w:p>
    <w:p w14:paraId="24804CC3" w14:textId="77777777" w:rsidR="001C38D7" w:rsidRPr="001C38D7" w:rsidRDefault="001C38D7" w:rsidP="001C38D7">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1C38D7">
        <w:rPr>
          <w:rFonts w:asciiTheme="majorBidi" w:hAnsiTheme="majorBidi" w:cstheme="majorBidi"/>
          <w:noProof/>
          <w:sz w:val="24"/>
          <w:szCs w:val="24"/>
        </w:rPr>
        <w:t xml:space="preserve">Hosaini, H., &amp; Akhyak, A. (2024). Integration of Islam and Science in Interdisciplinary Islamic Studies. </w:t>
      </w:r>
      <w:r w:rsidRPr="001C38D7">
        <w:rPr>
          <w:rFonts w:asciiTheme="majorBidi" w:hAnsiTheme="majorBidi" w:cstheme="majorBidi"/>
          <w:i/>
          <w:iCs/>
          <w:noProof/>
          <w:sz w:val="24"/>
          <w:szCs w:val="24"/>
        </w:rPr>
        <w:t>Jurnal Kepemimpinan Dan Pengurusan Sekolah</w:t>
      </w:r>
      <w:r w:rsidRPr="001C38D7">
        <w:rPr>
          <w:rFonts w:asciiTheme="majorBidi" w:hAnsiTheme="majorBidi" w:cstheme="majorBidi"/>
          <w:noProof/>
          <w:sz w:val="24"/>
          <w:szCs w:val="24"/>
        </w:rPr>
        <w:t xml:space="preserve">, </w:t>
      </w:r>
      <w:r w:rsidRPr="001C38D7">
        <w:rPr>
          <w:rFonts w:asciiTheme="majorBidi" w:hAnsiTheme="majorBidi" w:cstheme="majorBidi"/>
          <w:i/>
          <w:iCs/>
          <w:noProof/>
          <w:sz w:val="24"/>
          <w:szCs w:val="24"/>
        </w:rPr>
        <w:t>9</w:t>
      </w:r>
      <w:r w:rsidRPr="001C38D7">
        <w:rPr>
          <w:rFonts w:asciiTheme="majorBidi" w:hAnsiTheme="majorBidi" w:cstheme="majorBidi"/>
          <w:noProof/>
          <w:sz w:val="24"/>
          <w:szCs w:val="24"/>
        </w:rPr>
        <w:t>(1), 24–42. https://doi.org/https://doi.org/10.34125/jkps.v9i1.426</w:t>
      </w:r>
    </w:p>
    <w:p w14:paraId="690DA0D1" w14:textId="77777777" w:rsidR="001C38D7" w:rsidRPr="001C38D7" w:rsidRDefault="001C38D7" w:rsidP="001C38D7">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1C38D7">
        <w:rPr>
          <w:rFonts w:asciiTheme="majorBidi" w:hAnsiTheme="majorBidi" w:cstheme="majorBidi"/>
          <w:noProof/>
          <w:sz w:val="24"/>
          <w:szCs w:val="24"/>
        </w:rPr>
        <w:t xml:space="preserve">Lingga, S. A. F., Salminawati, S., Mustaqim, A., &amp; Kurniawan, P. (2023). History of the Development of Philosophy and Science in the Islamic Age. </w:t>
      </w:r>
      <w:r w:rsidRPr="001C38D7">
        <w:rPr>
          <w:rFonts w:asciiTheme="majorBidi" w:hAnsiTheme="majorBidi" w:cstheme="majorBidi"/>
          <w:i/>
          <w:iCs/>
          <w:noProof/>
          <w:sz w:val="24"/>
          <w:szCs w:val="24"/>
        </w:rPr>
        <w:t>Solo International Collaboration and Publication of Social Sciences and Humanities</w:t>
      </w:r>
      <w:r w:rsidRPr="001C38D7">
        <w:rPr>
          <w:rFonts w:asciiTheme="majorBidi" w:hAnsiTheme="majorBidi" w:cstheme="majorBidi"/>
          <w:noProof/>
          <w:sz w:val="24"/>
          <w:szCs w:val="24"/>
        </w:rPr>
        <w:t xml:space="preserve">, </w:t>
      </w:r>
      <w:r w:rsidRPr="001C38D7">
        <w:rPr>
          <w:rFonts w:asciiTheme="majorBidi" w:hAnsiTheme="majorBidi" w:cstheme="majorBidi"/>
          <w:i/>
          <w:iCs/>
          <w:noProof/>
          <w:sz w:val="24"/>
          <w:szCs w:val="24"/>
        </w:rPr>
        <w:t>1</w:t>
      </w:r>
      <w:r w:rsidRPr="001C38D7">
        <w:rPr>
          <w:rFonts w:asciiTheme="majorBidi" w:hAnsiTheme="majorBidi" w:cstheme="majorBidi"/>
          <w:noProof/>
          <w:sz w:val="24"/>
          <w:szCs w:val="24"/>
        </w:rPr>
        <w:t>(1), 1–11. https://doi.org/https://doi.org/10.61455/sicopus.v1i01.5</w:t>
      </w:r>
    </w:p>
    <w:p w14:paraId="4ADF52CF" w14:textId="77777777" w:rsidR="001C38D7" w:rsidRPr="001C38D7" w:rsidRDefault="001C38D7" w:rsidP="001C38D7">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1C38D7">
        <w:rPr>
          <w:rFonts w:asciiTheme="majorBidi" w:hAnsiTheme="majorBidi" w:cstheme="majorBidi"/>
          <w:noProof/>
          <w:sz w:val="24"/>
          <w:szCs w:val="24"/>
        </w:rPr>
        <w:t xml:space="preserve">Mutaqin, M. Z., Lestari, D. A., Solihin, S., Al-Ayyubi, I. I., &amp; Rahmawati, S. (2024). Factors in Religious Culture to Increase Tolerant Attitude of Gen-Z Among Urban Muslims. </w:t>
      </w:r>
      <w:r w:rsidRPr="001C38D7">
        <w:rPr>
          <w:rFonts w:asciiTheme="majorBidi" w:hAnsiTheme="majorBidi" w:cstheme="majorBidi"/>
          <w:i/>
          <w:iCs/>
          <w:noProof/>
          <w:sz w:val="24"/>
          <w:szCs w:val="24"/>
        </w:rPr>
        <w:t>Akademika: Jurnal Pemikiran Islam</w:t>
      </w:r>
      <w:r w:rsidRPr="001C38D7">
        <w:rPr>
          <w:rFonts w:asciiTheme="majorBidi" w:hAnsiTheme="majorBidi" w:cstheme="majorBidi"/>
          <w:noProof/>
          <w:sz w:val="24"/>
          <w:szCs w:val="24"/>
        </w:rPr>
        <w:t xml:space="preserve">, </w:t>
      </w:r>
      <w:r w:rsidRPr="001C38D7">
        <w:rPr>
          <w:rFonts w:asciiTheme="majorBidi" w:hAnsiTheme="majorBidi" w:cstheme="majorBidi"/>
          <w:i/>
          <w:iCs/>
          <w:noProof/>
          <w:sz w:val="24"/>
          <w:szCs w:val="24"/>
        </w:rPr>
        <w:t>29</w:t>
      </w:r>
      <w:r w:rsidRPr="001C38D7">
        <w:rPr>
          <w:rFonts w:asciiTheme="majorBidi" w:hAnsiTheme="majorBidi" w:cstheme="majorBidi"/>
          <w:noProof/>
          <w:sz w:val="24"/>
          <w:szCs w:val="24"/>
        </w:rPr>
        <w:t>(1), 73–86. https://doi.org/https://doi.org/10.32332/akademika.v29i1.9145</w:t>
      </w:r>
    </w:p>
    <w:p w14:paraId="7478A3B7" w14:textId="77777777" w:rsidR="001C38D7" w:rsidRPr="001C38D7" w:rsidRDefault="001C38D7" w:rsidP="001C38D7">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1C38D7">
        <w:rPr>
          <w:rFonts w:asciiTheme="majorBidi" w:hAnsiTheme="majorBidi" w:cstheme="majorBidi"/>
          <w:noProof/>
          <w:sz w:val="24"/>
          <w:szCs w:val="24"/>
        </w:rPr>
        <w:t xml:space="preserve">Nasution, H. B., Siregar, M. F. S., &amp; Saputra, I. B. (2022). The distribution of science according to Muslim philosophers. </w:t>
      </w:r>
      <w:r w:rsidRPr="001C38D7">
        <w:rPr>
          <w:rFonts w:asciiTheme="majorBidi" w:hAnsiTheme="majorBidi" w:cstheme="majorBidi"/>
          <w:i/>
          <w:iCs/>
          <w:noProof/>
          <w:sz w:val="24"/>
          <w:szCs w:val="24"/>
        </w:rPr>
        <w:t>Ta Dib Jurnal Pendidikan Islam</w:t>
      </w:r>
      <w:r w:rsidRPr="001C38D7">
        <w:rPr>
          <w:rFonts w:asciiTheme="majorBidi" w:hAnsiTheme="majorBidi" w:cstheme="majorBidi"/>
          <w:noProof/>
          <w:sz w:val="24"/>
          <w:szCs w:val="24"/>
        </w:rPr>
        <w:t xml:space="preserve">, </w:t>
      </w:r>
      <w:r w:rsidRPr="001C38D7">
        <w:rPr>
          <w:rFonts w:asciiTheme="majorBidi" w:hAnsiTheme="majorBidi" w:cstheme="majorBidi"/>
          <w:i/>
          <w:iCs/>
          <w:noProof/>
          <w:sz w:val="24"/>
          <w:szCs w:val="24"/>
        </w:rPr>
        <w:t>11</w:t>
      </w:r>
      <w:r w:rsidRPr="001C38D7">
        <w:rPr>
          <w:rFonts w:asciiTheme="majorBidi" w:hAnsiTheme="majorBidi" w:cstheme="majorBidi"/>
          <w:noProof/>
          <w:sz w:val="24"/>
          <w:szCs w:val="24"/>
        </w:rPr>
        <w:t>(1), 53–64. https://doi.org/https://doi.org/10.29313/tjpi.v11i1.9045</w:t>
      </w:r>
    </w:p>
    <w:p w14:paraId="532D9F7C" w14:textId="77777777" w:rsidR="001C38D7" w:rsidRPr="001C38D7" w:rsidRDefault="001C38D7" w:rsidP="001C38D7">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1C38D7">
        <w:rPr>
          <w:rFonts w:asciiTheme="majorBidi" w:hAnsiTheme="majorBidi" w:cstheme="majorBidi"/>
          <w:noProof/>
          <w:sz w:val="24"/>
          <w:szCs w:val="24"/>
        </w:rPr>
        <w:t xml:space="preserve">Park, H., Kim, H. S., &amp; Park, H. W. (2021). A scientometric study of digital literacy, ICT literacy, information literacy, and media </w:t>
      </w:r>
      <w:r w:rsidRPr="001C38D7">
        <w:rPr>
          <w:rFonts w:asciiTheme="majorBidi" w:hAnsiTheme="majorBidi" w:cstheme="majorBidi"/>
          <w:noProof/>
          <w:sz w:val="24"/>
          <w:szCs w:val="24"/>
        </w:rPr>
        <w:t xml:space="preserve">literacy. </w:t>
      </w:r>
      <w:r w:rsidRPr="001C38D7">
        <w:rPr>
          <w:rFonts w:asciiTheme="majorBidi" w:hAnsiTheme="majorBidi" w:cstheme="majorBidi"/>
          <w:i/>
          <w:iCs/>
          <w:noProof/>
          <w:sz w:val="24"/>
          <w:szCs w:val="24"/>
        </w:rPr>
        <w:t>Journal of Data and Information Science</w:t>
      </w:r>
      <w:r w:rsidRPr="001C38D7">
        <w:rPr>
          <w:rFonts w:asciiTheme="majorBidi" w:hAnsiTheme="majorBidi" w:cstheme="majorBidi"/>
          <w:noProof/>
          <w:sz w:val="24"/>
          <w:szCs w:val="24"/>
        </w:rPr>
        <w:t xml:space="preserve">, </w:t>
      </w:r>
      <w:r w:rsidRPr="001C38D7">
        <w:rPr>
          <w:rFonts w:asciiTheme="majorBidi" w:hAnsiTheme="majorBidi" w:cstheme="majorBidi"/>
          <w:i/>
          <w:iCs/>
          <w:noProof/>
          <w:sz w:val="24"/>
          <w:szCs w:val="24"/>
        </w:rPr>
        <w:t>6</w:t>
      </w:r>
      <w:r w:rsidRPr="001C38D7">
        <w:rPr>
          <w:rFonts w:asciiTheme="majorBidi" w:hAnsiTheme="majorBidi" w:cstheme="majorBidi"/>
          <w:noProof/>
          <w:sz w:val="24"/>
          <w:szCs w:val="24"/>
        </w:rPr>
        <w:t>(2), 116–138. https://doi.org/10.2478/jdis-2021-0001</w:t>
      </w:r>
    </w:p>
    <w:p w14:paraId="184C4991" w14:textId="77777777" w:rsidR="001C38D7" w:rsidRPr="001C38D7" w:rsidRDefault="001C38D7" w:rsidP="001C38D7">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1C38D7">
        <w:rPr>
          <w:rFonts w:asciiTheme="majorBidi" w:hAnsiTheme="majorBidi" w:cstheme="majorBidi"/>
          <w:noProof/>
          <w:sz w:val="24"/>
          <w:szCs w:val="24"/>
        </w:rPr>
        <w:t xml:space="preserve">Puspitasari, E., &amp; Yuliana, A. T. R. D. (2022). Syed Muhammad Naquib al-Attas’ Concept of Islamizing Science and its Relevance to Islamic Education. </w:t>
      </w:r>
      <w:r w:rsidRPr="001C38D7">
        <w:rPr>
          <w:rFonts w:asciiTheme="majorBidi" w:hAnsiTheme="majorBidi" w:cstheme="majorBidi"/>
          <w:i/>
          <w:iCs/>
          <w:noProof/>
          <w:sz w:val="24"/>
          <w:szCs w:val="24"/>
        </w:rPr>
        <w:t>Al-Misbah (Jurnal Islamic Studies)</w:t>
      </w:r>
      <w:r w:rsidRPr="001C38D7">
        <w:rPr>
          <w:rFonts w:asciiTheme="majorBidi" w:hAnsiTheme="majorBidi" w:cstheme="majorBidi"/>
          <w:noProof/>
          <w:sz w:val="24"/>
          <w:szCs w:val="24"/>
        </w:rPr>
        <w:t xml:space="preserve">, </w:t>
      </w:r>
      <w:r w:rsidRPr="001C38D7">
        <w:rPr>
          <w:rFonts w:asciiTheme="majorBidi" w:hAnsiTheme="majorBidi" w:cstheme="majorBidi"/>
          <w:i/>
          <w:iCs/>
          <w:noProof/>
          <w:sz w:val="24"/>
          <w:szCs w:val="24"/>
        </w:rPr>
        <w:t>10</w:t>
      </w:r>
      <w:r w:rsidRPr="001C38D7">
        <w:rPr>
          <w:rFonts w:asciiTheme="majorBidi" w:hAnsiTheme="majorBidi" w:cstheme="majorBidi"/>
          <w:noProof/>
          <w:sz w:val="24"/>
          <w:szCs w:val="24"/>
        </w:rPr>
        <w:t>(2), 91–108. https://doi.org/https://doi.org/10.26555/almisbah.v10i2.6484</w:t>
      </w:r>
    </w:p>
    <w:p w14:paraId="41AEFA45" w14:textId="77777777" w:rsidR="001C38D7" w:rsidRPr="001C38D7" w:rsidRDefault="001C38D7" w:rsidP="001C38D7">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1C38D7">
        <w:rPr>
          <w:rFonts w:asciiTheme="majorBidi" w:hAnsiTheme="majorBidi" w:cstheme="majorBidi"/>
          <w:noProof/>
          <w:sz w:val="24"/>
          <w:szCs w:val="24"/>
        </w:rPr>
        <w:t xml:space="preserve">Şaşmazören, F., Karapınar, A., Sarı, K., &amp; Demirer, T. (2022). The effect of using scientific scenarios in teaching socioscientific issues in science course on students’ logical thinking skills. </w:t>
      </w:r>
      <w:r w:rsidRPr="001C38D7">
        <w:rPr>
          <w:rFonts w:asciiTheme="majorBidi" w:hAnsiTheme="majorBidi" w:cstheme="majorBidi"/>
          <w:i/>
          <w:iCs/>
          <w:noProof/>
          <w:sz w:val="24"/>
          <w:szCs w:val="24"/>
        </w:rPr>
        <w:t>Journal of Theoretical Educational Science</w:t>
      </w:r>
      <w:r w:rsidRPr="001C38D7">
        <w:rPr>
          <w:rFonts w:asciiTheme="majorBidi" w:hAnsiTheme="majorBidi" w:cstheme="majorBidi"/>
          <w:noProof/>
          <w:sz w:val="24"/>
          <w:szCs w:val="24"/>
        </w:rPr>
        <w:t xml:space="preserve">, </w:t>
      </w:r>
      <w:r w:rsidRPr="001C38D7">
        <w:rPr>
          <w:rFonts w:asciiTheme="majorBidi" w:hAnsiTheme="majorBidi" w:cstheme="majorBidi"/>
          <w:i/>
          <w:iCs/>
          <w:noProof/>
          <w:sz w:val="24"/>
          <w:szCs w:val="24"/>
        </w:rPr>
        <w:t>15</w:t>
      </w:r>
      <w:r w:rsidRPr="001C38D7">
        <w:rPr>
          <w:rFonts w:asciiTheme="majorBidi" w:hAnsiTheme="majorBidi" w:cstheme="majorBidi"/>
          <w:noProof/>
          <w:sz w:val="24"/>
          <w:szCs w:val="24"/>
        </w:rPr>
        <w:t>(2), 420–452. https://doi.org/https://doi.org/10.30831/akukeg.1001361</w:t>
      </w:r>
    </w:p>
    <w:p w14:paraId="70C4048D" w14:textId="77777777" w:rsidR="001C38D7" w:rsidRPr="001C38D7" w:rsidRDefault="001C38D7" w:rsidP="001C38D7">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1C38D7">
        <w:rPr>
          <w:rFonts w:asciiTheme="majorBidi" w:hAnsiTheme="majorBidi" w:cstheme="majorBidi"/>
          <w:noProof/>
          <w:sz w:val="24"/>
          <w:szCs w:val="24"/>
        </w:rPr>
        <w:t xml:space="preserve">Van Vo, D., &amp; Csapó, B. (2021). Development of scientific reasoning test measuring control of variables strategy in physics for high school students: Evidence of validity and latent predictors of item difficulty. </w:t>
      </w:r>
      <w:r w:rsidRPr="001C38D7">
        <w:rPr>
          <w:rFonts w:asciiTheme="majorBidi" w:hAnsiTheme="majorBidi" w:cstheme="majorBidi"/>
          <w:i/>
          <w:iCs/>
          <w:noProof/>
          <w:sz w:val="24"/>
          <w:szCs w:val="24"/>
        </w:rPr>
        <w:t>International Journal of Science Education</w:t>
      </w:r>
      <w:r w:rsidRPr="001C38D7">
        <w:rPr>
          <w:rFonts w:asciiTheme="majorBidi" w:hAnsiTheme="majorBidi" w:cstheme="majorBidi"/>
          <w:noProof/>
          <w:sz w:val="24"/>
          <w:szCs w:val="24"/>
        </w:rPr>
        <w:t xml:space="preserve">, </w:t>
      </w:r>
      <w:r w:rsidRPr="001C38D7">
        <w:rPr>
          <w:rFonts w:asciiTheme="majorBidi" w:hAnsiTheme="majorBidi" w:cstheme="majorBidi"/>
          <w:i/>
          <w:iCs/>
          <w:noProof/>
          <w:sz w:val="24"/>
          <w:szCs w:val="24"/>
        </w:rPr>
        <w:t>43</w:t>
      </w:r>
      <w:r w:rsidRPr="001C38D7">
        <w:rPr>
          <w:rFonts w:asciiTheme="majorBidi" w:hAnsiTheme="majorBidi" w:cstheme="majorBidi"/>
          <w:noProof/>
          <w:sz w:val="24"/>
          <w:szCs w:val="24"/>
        </w:rPr>
        <w:t>(13), 2185–2205. https://doi.org/https://doi.org/10.1080/09500693.2021.1957515</w:t>
      </w:r>
    </w:p>
    <w:p w14:paraId="2AEF8D1C" w14:textId="77777777" w:rsidR="001C38D7" w:rsidRPr="001C38D7" w:rsidRDefault="001C38D7" w:rsidP="001C38D7">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1C38D7">
        <w:rPr>
          <w:rFonts w:asciiTheme="majorBidi" w:hAnsiTheme="majorBidi" w:cstheme="majorBidi"/>
          <w:noProof/>
          <w:sz w:val="24"/>
          <w:szCs w:val="24"/>
        </w:rPr>
        <w:t xml:space="preserve">Vorontsova, A. S., &amp; Dakhari, L. (2024). </w:t>
      </w:r>
      <w:r w:rsidRPr="001C38D7">
        <w:rPr>
          <w:rFonts w:asciiTheme="majorBidi" w:hAnsiTheme="majorBidi" w:cstheme="majorBidi"/>
          <w:i/>
          <w:iCs/>
          <w:noProof/>
          <w:sz w:val="24"/>
          <w:szCs w:val="24"/>
        </w:rPr>
        <w:t>Adapting leadership: a literature review of effective management styles in modern educational settings</w:t>
      </w:r>
      <w:r w:rsidRPr="001C38D7">
        <w:rPr>
          <w:rFonts w:asciiTheme="majorBidi" w:hAnsiTheme="majorBidi" w:cstheme="majorBidi"/>
          <w:noProof/>
          <w:sz w:val="24"/>
          <w:szCs w:val="24"/>
        </w:rPr>
        <w:t>. https://doi.org/https://doi.org/10.21272/1817-9215.2024.2-04</w:t>
      </w:r>
    </w:p>
    <w:p w14:paraId="430536A0" w14:textId="77777777" w:rsidR="001C38D7" w:rsidRPr="001C38D7" w:rsidRDefault="001C38D7" w:rsidP="001C38D7">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1C38D7">
        <w:rPr>
          <w:rFonts w:asciiTheme="majorBidi" w:hAnsiTheme="majorBidi" w:cstheme="majorBidi"/>
          <w:noProof/>
          <w:sz w:val="24"/>
          <w:szCs w:val="24"/>
        </w:rPr>
        <w:t xml:space="preserve">Windari, M. R., Prihatin, J., &amp; Fikri, K. (2023). The Effectiveness of Digital Textbooks on Brain-based Learning assisted by Animated Videos and </w:t>
      </w:r>
      <w:r w:rsidRPr="001C38D7">
        <w:rPr>
          <w:rFonts w:asciiTheme="majorBidi" w:hAnsiTheme="majorBidi" w:cstheme="majorBidi"/>
          <w:noProof/>
          <w:sz w:val="24"/>
          <w:szCs w:val="24"/>
        </w:rPr>
        <w:lastRenderedPageBreak/>
        <w:t xml:space="preserve">Maze Chase-Wordwall on Science Literacy Skills and Student Learning Outcomes. </w:t>
      </w:r>
      <w:r w:rsidRPr="001C38D7">
        <w:rPr>
          <w:rFonts w:asciiTheme="majorBidi" w:hAnsiTheme="majorBidi" w:cstheme="majorBidi"/>
          <w:i/>
          <w:iCs/>
          <w:noProof/>
          <w:sz w:val="24"/>
          <w:szCs w:val="24"/>
        </w:rPr>
        <w:t>Biosfer: Jurnal Tadris Biologi</w:t>
      </w:r>
      <w:r w:rsidRPr="001C38D7">
        <w:rPr>
          <w:rFonts w:asciiTheme="majorBidi" w:hAnsiTheme="majorBidi" w:cstheme="majorBidi"/>
          <w:noProof/>
          <w:sz w:val="24"/>
          <w:szCs w:val="24"/>
        </w:rPr>
        <w:t xml:space="preserve">, </w:t>
      </w:r>
      <w:r w:rsidRPr="001C38D7">
        <w:rPr>
          <w:rFonts w:asciiTheme="majorBidi" w:hAnsiTheme="majorBidi" w:cstheme="majorBidi"/>
          <w:i/>
          <w:iCs/>
          <w:noProof/>
          <w:sz w:val="24"/>
          <w:szCs w:val="24"/>
        </w:rPr>
        <w:t>14</w:t>
      </w:r>
      <w:r w:rsidRPr="001C38D7">
        <w:rPr>
          <w:rFonts w:asciiTheme="majorBidi" w:hAnsiTheme="majorBidi" w:cstheme="majorBidi"/>
          <w:noProof/>
          <w:sz w:val="24"/>
          <w:szCs w:val="24"/>
        </w:rPr>
        <w:t>(1), 79–88. https://doi.org/http://dx.doi.org/10.24042/biosfer.v14i1.16891</w:t>
      </w:r>
    </w:p>
    <w:p w14:paraId="10903B18" w14:textId="4F6EC5BA" w:rsidR="009121CD" w:rsidRPr="001C38D7" w:rsidRDefault="001C38D7" w:rsidP="001C38D7">
      <w:pPr>
        <w:spacing w:after="0" w:line="240" w:lineRule="auto"/>
        <w:jc w:val="both"/>
        <w:rPr>
          <w:rFonts w:asciiTheme="majorBidi" w:hAnsiTheme="majorBidi" w:cstheme="majorBidi"/>
          <w:sz w:val="24"/>
          <w:szCs w:val="24"/>
        </w:rPr>
      </w:pPr>
      <w:r w:rsidRPr="001C38D7">
        <w:rPr>
          <w:rFonts w:asciiTheme="majorBidi" w:hAnsiTheme="majorBidi" w:cstheme="majorBidi"/>
          <w:sz w:val="24"/>
          <w:szCs w:val="24"/>
        </w:rPr>
        <w:fldChar w:fldCharType="end"/>
      </w:r>
    </w:p>
    <w:p w14:paraId="3D3ACBBA" w14:textId="13A66A1A" w:rsidR="008A0B68" w:rsidRDefault="008A0B68" w:rsidP="00EA5C5F">
      <w:pPr>
        <w:spacing w:after="0" w:line="240" w:lineRule="auto"/>
      </w:pPr>
    </w:p>
    <w:p w14:paraId="72411E84" w14:textId="473C9B33" w:rsidR="008A0B68" w:rsidRDefault="008A0B68" w:rsidP="00EA5C5F">
      <w:pPr>
        <w:spacing w:after="0" w:line="240" w:lineRule="auto"/>
      </w:pPr>
    </w:p>
    <w:p w14:paraId="0B7F8577" w14:textId="362FDCDB" w:rsidR="008A0B68" w:rsidRDefault="008A0B68" w:rsidP="00EA5C5F">
      <w:pPr>
        <w:spacing w:after="0" w:line="240" w:lineRule="auto"/>
      </w:pPr>
    </w:p>
    <w:p w14:paraId="653880FE" w14:textId="43B97C65" w:rsidR="008A0B68" w:rsidRDefault="008A0B68" w:rsidP="00EA5C5F">
      <w:pPr>
        <w:spacing w:after="0" w:line="240" w:lineRule="auto"/>
      </w:pPr>
    </w:p>
    <w:p w14:paraId="3DE60CA7" w14:textId="3D8033F7" w:rsidR="008A0B68" w:rsidRDefault="008A0B68" w:rsidP="00EA5C5F">
      <w:pPr>
        <w:spacing w:after="0" w:line="240" w:lineRule="auto"/>
      </w:pPr>
    </w:p>
    <w:p w14:paraId="7A5667A3" w14:textId="5FD2E168" w:rsidR="008A0B68" w:rsidRDefault="008A0B68" w:rsidP="00EA5C5F">
      <w:pPr>
        <w:spacing w:after="0" w:line="240" w:lineRule="auto"/>
      </w:pPr>
    </w:p>
    <w:p w14:paraId="381E4319" w14:textId="77777777" w:rsidR="008A0B68" w:rsidRPr="00EA5C5F" w:rsidRDefault="008A0B68" w:rsidP="00EA5C5F">
      <w:pPr>
        <w:spacing w:after="0" w:line="240" w:lineRule="auto"/>
      </w:pPr>
    </w:p>
    <w:sectPr w:rsidR="008A0B68" w:rsidRPr="00EA5C5F" w:rsidSect="00122333">
      <w:headerReference w:type="even" r:id="rId11"/>
      <w:headerReference w:type="default" r:id="rId12"/>
      <w:footerReference w:type="even" r:id="rId13"/>
      <w:type w:val="continuous"/>
      <w:pgSz w:w="11907" w:h="16839"/>
      <w:pgMar w:top="1701" w:right="1701" w:bottom="1701" w:left="1701" w:header="708" w:footer="708" w:gutter="0"/>
      <w:cols w:num="2" w:space="720" w:equalWidth="0">
        <w:col w:w="3898" w:space="708"/>
        <w:col w:w="3898"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23866" w14:textId="77777777" w:rsidR="000C34D6" w:rsidRDefault="000C34D6">
      <w:pPr>
        <w:spacing w:after="0" w:line="240" w:lineRule="auto"/>
      </w:pPr>
      <w:r>
        <w:separator/>
      </w:r>
    </w:p>
  </w:endnote>
  <w:endnote w:type="continuationSeparator" w:id="0">
    <w:p w14:paraId="534B817C" w14:textId="77777777" w:rsidR="000C34D6" w:rsidRDefault="000C34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BD95B" w14:textId="77777777" w:rsidR="00EA5C5F" w:rsidRDefault="00EA5C5F">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end"/>
    </w:r>
    <w:r>
      <w:rPr>
        <w:b/>
        <w:color w:val="000000"/>
      </w:rPr>
      <w:t xml:space="preserve"> </w:t>
    </w:r>
    <w:r>
      <w:rPr>
        <w:b/>
        <w:color w:val="000000"/>
      </w:rPr>
      <w:t xml:space="preserve">| </w:t>
    </w:r>
    <w:r>
      <w:rPr>
        <w:rFonts w:ascii="Times New Roman" w:eastAsia="Times New Roman" w:hAnsi="Times New Roman" w:cs="Times New Roman"/>
        <w:color w:val="000000"/>
        <w:sz w:val="20"/>
        <w:szCs w:val="20"/>
      </w:rPr>
      <w:t>Aksioma</w:t>
    </w:r>
  </w:p>
  <w:p w14:paraId="5F7E606F" w14:textId="77777777" w:rsidR="00EA5C5F" w:rsidRDefault="00EA5C5F">
    <w:pPr>
      <w:pBdr>
        <w:top w:val="nil"/>
        <w:left w:val="nil"/>
        <w:bottom w:val="nil"/>
        <w:right w:val="nil"/>
        <w:between w:val="nil"/>
      </w:pBdr>
      <w:tabs>
        <w:tab w:val="center" w:pos="4680"/>
        <w:tab w:val="right" w:pos="9360"/>
      </w:tabs>
      <w:spacing w:after="0" w:line="240" w:lineRule="auto"/>
      <w:ind w:left="426" w:hanging="426"/>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Jurnal Pendidikan Matematika FKIP </w:t>
    </w:r>
    <w:proofErr w:type="spellStart"/>
    <w:r>
      <w:rPr>
        <w:rFonts w:ascii="Times New Roman" w:eastAsia="Times New Roman" w:hAnsi="Times New Roman" w:cs="Times New Roman"/>
        <w:color w:val="000000"/>
        <w:sz w:val="18"/>
        <w:szCs w:val="18"/>
      </w:rPr>
      <w:t>Univ</w:t>
    </w:r>
    <w:proofErr w:type="spellEnd"/>
    <w:r>
      <w:rPr>
        <w:rFonts w:ascii="Times New Roman" w:eastAsia="Times New Roman" w:hAnsi="Times New Roman" w:cs="Times New Roman"/>
        <w:color w:val="000000"/>
        <w:sz w:val="18"/>
        <w:szCs w:val="18"/>
      </w:rPr>
      <w:t>. Muhammadiyah Metro</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8680A" w14:textId="77777777" w:rsidR="00D90AF4" w:rsidRDefault="003D4D3E">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end"/>
    </w:r>
    <w:r>
      <w:rPr>
        <w:b/>
        <w:color w:val="000000"/>
      </w:rPr>
      <w:t xml:space="preserve"> </w:t>
    </w:r>
    <w:r>
      <w:rPr>
        <w:b/>
        <w:color w:val="000000"/>
      </w:rPr>
      <w:t xml:space="preserve">| </w:t>
    </w:r>
    <w:r>
      <w:rPr>
        <w:rFonts w:ascii="Times New Roman" w:eastAsia="Times New Roman" w:hAnsi="Times New Roman" w:cs="Times New Roman"/>
        <w:color w:val="000000"/>
        <w:sz w:val="20"/>
        <w:szCs w:val="20"/>
      </w:rPr>
      <w:t>Aksioma</w:t>
    </w:r>
  </w:p>
  <w:p w14:paraId="26BC4AD6" w14:textId="77777777" w:rsidR="00D90AF4" w:rsidRDefault="003D4D3E">
    <w:pPr>
      <w:pBdr>
        <w:top w:val="nil"/>
        <w:left w:val="nil"/>
        <w:bottom w:val="nil"/>
        <w:right w:val="nil"/>
        <w:between w:val="nil"/>
      </w:pBdr>
      <w:tabs>
        <w:tab w:val="center" w:pos="4680"/>
        <w:tab w:val="right" w:pos="9360"/>
      </w:tabs>
      <w:spacing w:after="0" w:line="240" w:lineRule="auto"/>
      <w:ind w:left="426" w:hanging="426"/>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Jurnal Pendidikan Matematika FKIP </w:t>
    </w:r>
    <w:proofErr w:type="spellStart"/>
    <w:r>
      <w:rPr>
        <w:rFonts w:ascii="Times New Roman" w:eastAsia="Times New Roman" w:hAnsi="Times New Roman" w:cs="Times New Roman"/>
        <w:color w:val="000000"/>
        <w:sz w:val="18"/>
        <w:szCs w:val="18"/>
      </w:rPr>
      <w:t>Univ</w:t>
    </w:r>
    <w:proofErr w:type="spellEnd"/>
    <w:r>
      <w:rPr>
        <w:rFonts w:ascii="Times New Roman" w:eastAsia="Times New Roman" w:hAnsi="Times New Roman" w:cs="Times New Roman"/>
        <w:color w:val="000000"/>
        <w:sz w:val="18"/>
        <w:szCs w:val="18"/>
      </w:rPr>
      <w:t>. Muhammadiyah Metro</w:t>
    </w:r>
  </w:p>
  <w:p w14:paraId="272686D4" w14:textId="77777777" w:rsidR="00C51489" w:rsidRDefault="00C5148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E8B8B" w14:textId="77777777" w:rsidR="000C34D6" w:rsidRDefault="000C34D6">
      <w:pPr>
        <w:spacing w:after="0" w:line="240" w:lineRule="auto"/>
      </w:pPr>
      <w:r>
        <w:separator/>
      </w:r>
    </w:p>
  </w:footnote>
  <w:footnote w:type="continuationSeparator" w:id="0">
    <w:p w14:paraId="2C60B1AA" w14:textId="77777777" w:rsidR="000C34D6" w:rsidRDefault="000C34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95436" w14:textId="77777777" w:rsidR="00EA5C5F" w:rsidRDefault="00EA5C5F">
    <w:pPr>
      <w:pBdr>
        <w:top w:val="nil"/>
        <w:left w:val="nil"/>
        <w:bottom w:val="nil"/>
        <w:right w:val="nil"/>
        <w:between w:val="nil"/>
      </w:pBdr>
      <w:tabs>
        <w:tab w:val="center" w:pos="4680"/>
        <w:tab w:val="right" w:pos="9360"/>
        <w:tab w:val="left" w:pos="5515"/>
      </w:tabs>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ISSN 2089-8703 Vol. 4, No. 1 (2015) 92-94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8828F" w14:textId="635C3A23" w:rsidR="002B14A0" w:rsidRDefault="002B14A0" w:rsidP="002B14A0">
    <w:pPr>
      <w:tabs>
        <w:tab w:val="left" w:pos="1276"/>
        <w:tab w:val="center" w:pos="4513"/>
        <w:tab w:val="left" w:pos="5515"/>
        <w:tab w:val="left" w:pos="6379"/>
        <w:tab w:val="right" w:pos="9026"/>
      </w:tabs>
      <w:spacing w:after="0" w:line="240" w:lineRule="auto"/>
      <w:ind w:left="6379"/>
      <w:jc w:val="both"/>
      <w:rPr>
        <w:rFonts w:ascii="Times New Roman" w:eastAsia="Times New Roman" w:hAnsi="Times New Roman" w:cs="Times New Roman"/>
        <w:sz w:val="20"/>
        <w:szCs w:val="20"/>
      </w:rPr>
    </w:pPr>
    <w:r>
      <w:rPr>
        <w:noProof/>
      </w:rPr>
      <w:drawing>
        <wp:anchor distT="0" distB="0" distL="114300" distR="114300" simplePos="0" relativeHeight="251658240" behindDoc="0" locked="0" layoutInCell="1" allowOverlap="1" wp14:anchorId="6E4C7890" wp14:editId="06396820">
          <wp:simplePos x="0" y="0"/>
          <wp:positionH relativeFrom="column">
            <wp:posOffset>-3810</wp:posOffset>
          </wp:positionH>
          <wp:positionV relativeFrom="paragraph">
            <wp:posOffset>-174625</wp:posOffset>
          </wp:positionV>
          <wp:extent cx="1162050" cy="581093"/>
          <wp:effectExtent l="0" t="0" r="0" b="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2050" cy="581093"/>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sz w:val="20"/>
        <w:szCs w:val="20"/>
      </w:rPr>
      <w:t xml:space="preserve">ISSN </w:t>
    </w:r>
    <w:proofErr w:type="spellStart"/>
    <w:r>
      <w:rPr>
        <w:rFonts w:ascii="Times New Roman" w:eastAsia="Times New Roman" w:hAnsi="Times New Roman" w:cs="Times New Roman"/>
        <w:sz w:val="20"/>
        <w:szCs w:val="20"/>
      </w:rPr>
      <w:t>xxxx-xxxx</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Print</w:t>
    </w:r>
    <w:proofErr w:type="spellEnd"/>
    <w:r>
      <w:rPr>
        <w:rFonts w:ascii="Times New Roman" w:eastAsia="Times New Roman" w:hAnsi="Times New Roman" w:cs="Times New Roman"/>
        <w:sz w:val="20"/>
        <w:szCs w:val="20"/>
      </w:rPr>
      <w:t xml:space="preserve">)   </w:t>
    </w:r>
  </w:p>
  <w:p w14:paraId="59057F3D" w14:textId="77777777" w:rsidR="002B14A0" w:rsidRDefault="002B14A0" w:rsidP="002B14A0">
    <w:pPr>
      <w:tabs>
        <w:tab w:val="left" w:pos="1276"/>
        <w:tab w:val="center" w:pos="4513"/>
        <w:tab w:val="left" w:pos="5515"/>
        <w:tab w:val="left" w:pos="6379"/>
        <w:tab w:val="right" w:pos="9026"/>
      </w:tabs>
      <w:spacing w:after="0" w:line="240" w:lineRule="auto"/>
      <w:ind w:left="6379"/>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ISSN </w:t>
    </w:r>
    <w:proofErr w:type="spellStart"/>
    <w:r>
      <w:rPr>
        <w:rFonts w:ascii="Times New Roman" w:eastAsia="Times New Roman" w:hAnsi="Times New Roman" w:cs="Times New Roman"/>
        <w:sz w:val="20"/>
        <w:szCs w:val="20"/>
      </w:rPr>
      <w:t>xxxx-xxxx</w:t>
    </w:r>
    <w:proofErr w:type="spellEnd"/>
    <w:r>
      <w:rPr>
        <w:rFonts w:ascii="Times New Roman" w:eastAsia="Times New Roman" w:hAnsi="Times New Roman" w:cs="Times New Roman"/>
        <w:sz w:val="20"/>
        <w:szCs w:val="20"/>
      </w:rPr>
      <w:t xml:space="preserve"> (Online)</w:t>
    </w:r>
  </w:p>
  <w:p w14:paraId="1980CA91" w14:textId="42EF3874" w:rsidR="00EA5C5F" w:rsidRPr="002B14A0" w:rsidRDefault="002B14A0">
    <w:pPr>
      <w:tabs>
        <w:tab w:val="left" w:pos="1276"/>
        <w:tab w:val="center" w:pos="4513"/>
        <w:tab w:val="left" w:pos="5515"/>
        <w:tab w:val="left" w:pos="6379"/>
        <w:tab w:val="right" w:pos="9026"/>
      </w:tabs>
      <w:spacing w:after="0" w:line="240" w:lineRule="auto"/>
      <w:jc w:val="both"/>
      <w:rPr>
        <w:rFonts w:ascii="Times New Roman" w:eastAsia="Times New Roman" w:hAnsi="Times New Roman" w:cs="Times New Roman"/>
        <w:b/>
        <w:sz w:val="23"/>
        <w:szCs w:val="23"/>
      </w:rPr>
    </w:pPr>
    <w:r>
      <w:rPr>
        <w:rFonts w:ascii="Times New Roman" w:eastAsia="Times New Roman" w:hAnsi="Times New Roman" w:cs="Times New Roman"/>
        <w:sz w:val="20"/>
        <w:szCs w:val="20"/>
      </w:rPr>
      <w:tab/>
    </w:r>
    <w:r w:rsidR="00EA5C5F">
      <w:rPr>
        <w:rFonts w:ascii="Times New Roman" w:eastAsia="Times New Roman" w:hAnsi="Times New Roman" w:cs="Times New Roman"/>
        <w:sz w:val="20"/>
        <w:szCs w:val="20"/>
      </w:rPr>
      <w:t xml:space="preserve"> </w:t>
    </w:r>
  </w:p>
  <w:p w14:paraId="23227C69" w14:textId="77777777" w:rsidR="002B14A0" w:rsidRPr="002B14A0" w:rsidRDefault="002B14A0">
    <w:pPr>
      <w:tabs>
        <w:tab w:val="left" w:pos="1276"/>
        <w:tab w:val="center" w:pos="4513"/>
        <w:tab w:val="left" w:pos="5515"/>
        <w:tab w:val="left" w:pos="6379"/>
        <w:tab w:val="right" w:pos="9026"/>
      </w:tabs>
      <w:spacing w:after="0" w:line="240" w:lineRule="auto"/>
      <w:jc w:val="both"/>
      <w:rPr>
        <w:rFonts w:ascii="Times New Roman" w:eastAsia="Times New Roman" w:hAnsi="Times New Roman" w:cs="Times New Roman"/>
        <w:b/>
        <w:bCs/>
        <w:sz w:val="20"/>
        <w:szCs w:val="20"/>
      </w:rPr>
    </w:pPr>
    <w:r w:rsidRPr="002B14A0">
      <w:rPr>
        <w:rFonts w:ascii="Times New Roman" w:eastAsia="Times New Roman" w:hAnsi="Times New Roman" w:cs="Times New Roman"/>
        <w:b/>
        <w:bCs/>
        <w:sz w:val="20"/>
        <w:szCs w:val="20"/>
      </w:rPr>
      <w:t>Jurnal Pendidikan, Sains, Teknologi, Sosial, dan Ekonomi Madani (JPSTEM)</w:t>
    </w:r>
  </w:p>
  <w:p w14:paraId="5D5F97DA" w14:textId="77777777" w:rsidR="002B14A0" w:rsidRDefault="00EA5C5F">
    <w:pPr>
      <w:tabs>
        <w:tab w:val="left" w:pos="1276"/>
        <w:tab w:val="center" w:pos="4513"/>
        <w:tab w:val="left" w:pos="5515"/>
        <w:tab w:val="left" w:pos="6379"/>
        <w:tab w:val="right" w:pos="9026"/>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Volume 0, No. 0, 20xx, 00-00</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p>
  <w:p w14:paraId="43422962" w14:textId="7FF0259C" w:rsidR="00EA5C5F" w:rsidRDefault="00EA5C5F">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DOI:</w:t>
    </w:r>
    <w:r>
      <w:rPr>
        <w:rFonts w:ascii="Times New Roman" w:eastAsia="Times New Roman" w:hAnsi="Times New Roman" w:cs="Times New Roman"/>
        <w:b/>
        <w:color w:val="000000"/>
        <w:sz w:val="20"/>
        <w:szCs w:val="20"/>
      </w:rPr>
      <w:t xml:space="preserve"> </w:t>
    </w:r>
  </w:p>
  <w:p w14:paraId="5C3A6453" w14:textId="77777777" w:rsidR="00EA5C5F" w:rsidRDefault="00EA5C5F">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071FA" w14:textId="77777777" w:rsidR="00D90AF4" w:rsidRDefault="003D4D3E">
    <w:pPr>
      <w:pBdr>
        <w:top w:val="nil"/>
        <w:left w:val="nil"/>
        <w:bottom w:val="nil"/>
        <w:right w:val="nil"/>
        <w:between w:val="nil"/>
      </w:pBdr>
      <w:tabs>
        <w:tab w:val="center" w:pos="4680"/>
        <w:tab w:val="right" w:pos="9360"/>
        <w:tab w:val="left" w:pos="5515"/>
      </w:tabs>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ISSN 2089-8703 Vol. 4, No. 1 (2015) 92-94</w:t>
    </w:r>
  </w:p>
  <w:p w14:paraId="063ED5E8" w14:textId="77777777" w:rsidR="00C51489" w:rsidRDefault="00C51489"/>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C487C" w14:textId="77777777" w:rsidR="002B14A0" w:rsidRDefault="002B14A0" w:rsidP="002B14A0">
    <w:pPr>
      <w:tabs>
        <w:tab w:val="left" w:pos="1276"/>
        <w:tab w:val="center" w:pos="4513"/>
        <w:tab w:val="left" w:pos="5515"/>
        <w:tab w:val="left" w:pos="6379"/>
        <w:tab w:val="right" w:pos="9026"/>
      </w:tabs>
      <w:spacing w:after="0" w:line="240" w:lineRule="auto"/>
      <w:ind w:left="6379"/>
      <w:jc w:val="both"/>
      <w:rPr>
        <w:rFonts w:ascii="Times New Roman" w:eastAsia="Times New Roman" w:hAnsi="Times New Roman" w:cs="Times New Roman"/>
        <w:sz w:val="20"/>
        <w:szCs w:val="20"/>
      </w:rPr>
    </w:pPr>
    <w:r>
      <w:rPr>
        <w:noProof/>
      </w:rPr>
      <w:drawing>
        <wp:anchor distT="0" distB="0" distL="114300" distR="114300" simplePos="0" relativeHeight="251660288" behindDoc="0" locked="0" layoutInCell="1" allowOverlap="1" wp14:anchorId="5BB367DD" wp14:editId="0CA46AFF">
          <wp:simplePos x="0" y="0"/>
          <wp:positionH relativeFrom="column">
            <wp:posOffset>-3810</wp:posOffset>
          </wp:positionH>
          <wp:positionV relativeFrom="paragraph">
            <wp:posOffset>-174625</wp:posOffset>
          </wp:positionV>
          <wp:extent cx="1162050" cy="581093"/>
          <wp:effectExtent l="0" t="0" r="0" b="0"/>
          <wp:wrapNone/>
          <wp:docPr id="1485468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2050" cy="581093"/>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sz w:val="20"/>
        <w:szCs w:val="20"/>
      </w:rPr>
      <w:t xml:space="preserve">ISSN </w:t>
    </w:r>
    <w:proofErr w:type="spellStart"/>
    <w:r>
      <w:rPr>
        <w:rFonts w:ascii="Times New Roman" w:eastAsia="Times New Roman" w:hAnsi="Times New Roman" w:cs="Times New Roman"/>
        <w:sz w:val="20"/>
        <w:szCs w:val="20"/>
      </w:rPr>
      <w:t>xxxx-xxxx</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Print</w:t>
    </w:r>
    <w:proofErr w:type="spellEnd"/>
    <w:r>
      <w:rPr>
        <w:rFonts w:ascii="Times New Roman" w:eastAsia="Times New Roman" w:hAnsi="Times New Roman" w:cs="Times New Roman"/>
        <w:sz w:val="20"/>
        <w:szCs w:val="20"/>
      </w:rPr>
      <w:t xml:space="preserve">)   </w:t>
    </w:r>
  </w:p>
  <w:p w14:paraId="65359250" w14:textId="77777777" w:rsidR="002B14A0" w:rsidRDefault="002B14A0" w:rsidP="002B14A0">
    <w:pPr>
      <w:tabs>
        <w:tab w:val="left" w:pos="1276"/>
        <w:tab w:val="center" w:pos="4513"/>
        <w:tab w:val="left" w:pos="5515"/>
        <w:tab w:val="left" w:pos="6379"/>
        <w:tab w:val="right" w:pos="9026"/>
      </w:tabs>
      <w:spacing w:after="0" w:line="240" w:lineRule="auto"/>
      <w:ind w:left="6379"/>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ISSN </w:t>
    </w:r>
    <w:proofErr w:type="spellStart"/>
    <w:r>
      <w:rPr>
        <w:rFonts w:ascii="Times New Roman" w:eastAsia="Times New Roman" w:hAnsi="Times New Roman" w:cs="Times New Roman"/>
        <w:sz w:val="20"/>
        <w:szCs w:val="20"/>
      </w:rPr>
      <w:t>xxxx-xxxx</w:t>
    </w:r>
    <w:proofErr w:type="spellEnd"/>
    <w:r>
      <w:rPr>
        <w:rFonts w:ascii="Times New Roman" w:eastAsia="Times New Roman" w:hAnsi="Times New Roman" w:cs="Times New Roman"/>
        <w:sz w:val="20"/>
        <w:szCs w:val="20"/>
      </w:rPr>
      <w:t xml:space="preserve"> (Online)</w:t>
    </w:r>
  </w:p>
  <w:p w14:paraId="533AFC06" w14:textId="77777777" w:rsidR="002B14A0" w:rsidRPr="002B14A0" w:rsidRDefault="002B14A0" w:rsidP="002B14A0">
    <w:pPr>
      <w:tabs>
        <w:tab w:val="left" w:pos="1276"/>
        <w:tab w:val="center" w:pos="4513"/>
        <w:tab w:val="left" w:pos="5515"/>
        <w:tab w:val="left" w:pos="6379"/>
        <w:tab w:val="right" w:pos="9026"/>
      </w:tabs>
      <w:spacing w:after="0" w:line="240" w:lineRule="auto"/>
      <w:jc w:val="both"/>
      <w:rPr>
        <w:rFonts w:ascii="Times New Roman" w:eastAsia="Times New Roman" w:hAnsi="Times New Roman" w:cs="Times New Roman"/>
        <w:b/>
        <w:sz w:val="23"/>
        <w:szCs w:val="23"/>
      </w:rPr>
    </w:pPr>
    <w:r>
      <w:rPr>
        <w:rFonts w:ascii="Times New Roman" w:eastAsia="Times New Roman" w:hAnsi="Times New Roman" w:cs="Times New Roman"/>
        <w:sz w:val="20"/>
        <w:szCs w:val="20"/>
      </w:rPr>
      <w:tab/>
      <w:t xml:space="preserve"> </w:t>
    </w:r>
  </w:p>
  <w:p w14:paraId="18E360C7" w14:textId="77777777" w:rsidR="002B14A0" w:rsidRPr="002B14A0" w:rsidRDefault="002B14A0" w:rsidP="002B14A0">
    <w:pPr>
      <w:tabs>
        <w:tab w:val="left" w:pos="1276"/>
        <w:tab w:val="center" w:pos="4513"/>
        <w:tab w:val="left" w:pos="5515"/>
        <w:tab w:val="left" w:pos="6379"/>
        <w:tab w:val="right" w:pos="9026"/>
      </w:tabs>
      <w:spacing w:after="0" w:line="240" w:lineRule="auto"/>
      <w:jc w:val="both"/>
      <w:rPr>
        <w:rFonts w:ascii="Times New Roman" w:eastAsia="Times New Roman" w:hAnsi="Times New Roman" w:cs="Times New Roman"/>
        <w:b/>
        <w:bCs/>
        <w:sz w:val="20"/>
        <w:szCs w:val="20"/>
      </w:rPr>
    </w:pPr>
    <w:r w:rsidRPr="002B14A0">
      <w:rPr>
        <w:rFonts w:ascii="Times New Roman" w:eastAsia="Times New Roman" w:hAnsi="Times New Roman" w:cs="Times New Roman"/>
        <w:b/>
        <w:bCs/>
        <w:sz w:val="20"/>
        <w:szCs w:val="20"/>
      </w:rPr>
      <w:t>Jurnal Pendidikan, Sains, Teknologi, Sosial, dan Ekonomi Madani (JPSTEM)</w:t>
    </w:r>
  </w:p>
  <w:p w14:paraId="660469AA" w14:textId="77777777" w:rsidR="002B14A0" w:rsidRDefault="002B14A0" w:rsidP="002B14A0">
    <w:pPr>
      <w:tabs>
        <w:tab w:val="left" w:pos="1276"/>
        <w:tab w:val="center" w:pos="4513"/>
        <w:tab w:val="left" w:pos="5515"/>
        <w:tab w:val="left" w:pos="6379"/>
        <w:tab w:val="right" w:pos="9026"/>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Volume 0, No. 0, 20xx, 00-00</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p>
  <w:p w14:paraId="5F30FC62" w14:textId="52568183" w:rsidR="00D90AF4" w:rsidRDefault="002B14A0" w:rsidP="002B14A0">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DOI:</w:t>
    </w:r>
  </w:p>
  <w:p w14:paraId="5DEE7848" w14:textId="77777777" w:rsidR="00C51489" w:rsidRDefault="00C5148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01750"/>
    <w:multiLevelType w:val="multilevel"/>
    <w:tmpl w:val="3CA6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8A30A2"/>
    <w:multiLevelType w:val="multilevel"/>
    <w:tmpl w:val="F354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0703D4"/>
    <w:multiLevelType w:val="multilevel"/>
    <w:tmpl w:val="170CA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DF2D96"/>
    <w:multiLevelType w:val="multilevel"/>
    <w:tmpl w:val="02281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521C1A"/>
    <w:multiLevelType w:val="multilevel"/>
    <w:tmpl w:val="9EDC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CA72C8"/>
    <w:multiLevelType w:val="multilevel"/>
    <w:tmpl w:val="64EE5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DD3F8E"/>
    <w:multiLevelType w:val="multilevel"/>
    <w:tmpl w:val="CCCE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2746A7"/>
    <w:multiLevelType w:val="multilevel"/>
    <w:tmpl w:val="93F81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446BB0"/>
    <w:multiLevelType w:val="multilevel"/>
    <w:tmpl w:val="0D2EF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0C73E2"/>
    <w:multiLevelType w:val="multilevel"/>
    <w:tmpl w:val="FC44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4849637">
    <w:abstractNumId w:val="7"/>
  </w:num>
  <w:num w:numId="2" w16cid:durableId="1288702738">
    <w:abstractNumId w:val="3"/>
  </w:num>
  <w:num w:numId="3" w16cid:durableId="1328746750">
    <w:abstractNumId w:val="4"/>
  </w:num>
  <w:num w:numId="4" w16cid:durableId="715813021">
    <w:abstractNumId w:val="8"/>
  </w:num>
  <w:num w:numId="5" w16cid:durableId="1900675544">
    <w:abstractNumId w:val="0"/>
  </w:num>
  <w:num w:numId="6" w16cid:durableId="1817798759">
    <w:abstractNumId w:val="9"/>
  </w:num>
  <w:num w:numId="7" w16cid:durableId="1797065441">
    <w:abstractNumId w:val="5"/>
  </w:num>
  <w:num w:numId="8" w16cid:durableId="1627545803">
    <w:abstractNumId w:val="6"/>
  </w:num>
  <w:num w:numId="9" w16cid:durableId="1108893299">
    <w:abstractNumId w:val="2"/>
  </w:num>
  <w:num w:numId="10" w16cid:durableId="7145481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D45"/>
    <w:rsid w:val="00014BBA"/>
    <w:rsid w:val="00044C6F"/>
    <w:rsid w:val="000C34D6"/>
    <w:rsid w:val="000E0D44"/>
    <w:rsid w:val="00112D31"/>
    <w:rsid w:val="00122333"/>
    <w:rsid w:val="00167B15"/>
    <w:rsid w:val="00177367"/>
    <w:rsid w:val="001A7959"/>
    <w:rsid w:val="001C38D7"/>
    <w:rsid w:val="001E0867"/>
    <w:rsid w:val="001F6B86"/>
    <w:rsid w:val="0025109F"/>
    <w:rsid w:val="00272EDA"/>
    <w:rsid w:val="002B14A0"/>
    <w:rsid w:val="00375D45"/>
    <w:rsid w:val="003D4D3E"/>
    <w:rsid w:val="00422EC8"/>
    <w:rsid w:val="00445F5F"/>
    <w:rsid w:val="004A4D70"/>
    <w:rsid w:val="004B2D48"/>
    <w:rsid w:val="005616E7"/>
    <w:rsid w:val="00563095"/>
    <w:rsid w:val="00573F45"/>
    <w:rsid w:val="005F2234"/>
    <w:rsid w:val="0062466E"/>
    <w:rsid w:val="006869C1"/>
    <w:rsid w:val="006D57D0"/>
    <w:rsid w:val="00707543"/>
    <w:rsid w:val="007234DB"/>
    <w:rsid w:val="00745272"/>
    <w:rsid w:val="00861638"/>
    <w:rsid w:val="008A0B68"/>
    <w:rsid w:val="008D5FE2"/>
    <w:rsid w:val="008E1630"/>
    <w:rsid w:val="0090453F"/>
    <w:rsid w:val="009121CD"/>
    <w:rsid w:val="009B2838"/>
    <w:rsid w:val="009E2DA1"/>
    <w:rsid w:val="00A136E2"/>
    <w:rsid w:val="00A5277C"/>
    <w:rsid w:val="00A96B70"/>
    <w:rsid w:val="00B30636"/>
    <w:rsid w:val="00B33E9C"/>
    <w:rsid w:val="00B34036"/>
    <w:rsid w:val="00C51489"/>
    <w:rsid w:val="00C5415A"/>
    <w:rsid w:val="00C545C1"/>
    <w:rsid w:val="00CC7776"/>
    <w:rsid w:val="00CD16BD"/>
    <w:rsid w:val="00CE034A"/>
    <w:rsid w:val="00D16E4C"/>
    <w:rsid w:val="00D90AF4"/>
    <w:rsid w:val="00DE0D81"/>
    <w:rsid w:val="00E219FF"/>
    <w:rsid w:val="00E42CBA"/>
    <w:rsid w:val="00EA5C5F"/>
    <w:rsid w:val="00F27551"/>
    <w:rsid w:val="00F76453"/>
    <w:rsid w:val="00FD5B27"/>
    <w:rsid w:val="00FF3E0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068AF2"/>
  <w15:chartTrackingRefBased/>
  <w15:docId w15:val="{597CB0BF-F252-4D3D-BC00-20C771953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333"/>
    <w:pPr>
      <w:spacing w:after="200" w:line="276" w:lineRule="auto"/>
    </w:pPr>
    <w:rPr>
      <w:rFonts w:ascii="Calibri" w:eastAsia="Calibri" w:hAnsi="Calibri" w:cs="Calibri"/>
      <w:kern w:val="0"/>
      <w:lang w:eastAsia="id-ID"/>
    </w:rPr>
  </w:style>
  <w:style w:type="paragraph" w:styleId="Heading2">
    <w:name w:val="heading 2"/>
    <w:basedOn w:val="Normal"/>
    <w:link w:val="Heading2Char"/>
    <w:uiPriority w:val="9"/>
    <w:qFormat/>
    <w:rsid w:val="00272EDA"/>
    <w:pPr>
      <w:spacing w:before="100" w:beforeAutospacing="1" w:after="100" w:afterAutospacing="1" w:line="240" w:lineRule="auto"/>
      <w:outlineLvl w:val="1"/>
    </w:pPr>
    <w:rPr>
      <w:rFonts w:ascii="Times New Roman" w:eastAsia="Times New Roman" w:hAnsi="Times New Roman" w:cs="Times New Roman"/>
      <w:b/>
      <w:bCs/>
      <w:sz w:val="36"/>
      <w:szCs w:val="36"/>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5277C"/>
    <w:rPr>
      <w:color w:val="0563C1" w:themeColor="hyperlink"/>
      <w:u w:val="single"/>
    </w:rPr>
  </w:style>
  <w:style w:type="character" w:styleId="UnresolvedMention">
    <w:name w:val="Unresolved Mention"/>
    <w:basedOn w:val="DefaultParagraphFont"/>
    <w:uiPriority w:val="99"/>
    <w:semiHidden/>
    <w:unhideWhenUsed/>
    <w:rsid w:val="00A5277C"/>
    <w:rPr>
      <w:color w:val="605E5C"/>
      <w:shd w:val="clear" w:color="auto" w:fill="E1DFDD"/>
    </w:rPr>
  </w:style>
  <w:style w:type="paragraph" w:styleId="Footer">
    <w:name w:val="footer"/>
    <w:basedOn w:val="Normal"/>
    <w:link w:val="FooterChar"/>
    <w:uiPriority w:val="99"/>
    <w:unhideWhenUsed/>
    <w:rsid w:val="00B33E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3E9C"/>
    <w:rPr>
      <w:rFonts w:ascii="Calibri" w:eastAsia="Calibri" w:hAnsi="Calibri" w:cs="Calibri"/>
      <w:kern w:val="0"/>
      <w:lang w:eastAsia="id-ID"/>
    </w:rPr>
  </w:style>
  <w:style w:type="paragraph" w:styleId="Header">
    <w:name w:val="header"/>
    <w:basedOn w:val="Normal"/>
    <w:link w:val="HeaderChar"/>
    <w:uiPriority w:val="99"/>
    <w:unhideWhenUsed/>
    <w:rsid w:val="00B33E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3E9C"/>
    <w:rPr>
      <w:rFonts w:ascii="Calibri" w:eastAsia="Calibri" w:hAnsi="Calibri" w:cs="Calibri"/>
      <w:kern w:val="0"/>
      <w:lang w:eastAsia="id-ID"/>
    </w:rPr>
  </w:style>
  <w:style w:type="paragraph" w:customStyle="1" w:styleId="pdq2pgselectionanchorcontainer">
    <w:name w:val="pdq2pg_selectionanchorcontainer"/>
    <w:basedOn w:val="Normal"/>
    <w:rsid w:val="0025109F"/>
    <w:pPr>
      <w:spacing w:before="100" w:beforeAutospacing="1" w:after="100" w:afterAutospacing="1" w:line="240" w:lineRule="auto"/>
    </w:pPr>
    <w:rPr>
      <w:rFonts w:ascii="Times New Roman" w:eastAsia="Times New Roman" w:hAnsi="Times New Roman" w:cs="Times New Roman"/>
      <w:sz w:val="24"/>
      <w:szCs w:val="24"/>
      <w:lang w:val="en-US" w:eastAsia="en-US"/>
      <w14:ligatures w14:val="none"/>
    </w:rPr>
  </w:style>
  <w:style w:type="paragraph" w:styleId="NormalWeb">
    <w:name w:val="Normal (Web)"/>
    <w:basedOn w:val="Normal"/>
    <w:uiPriority w:val="99"/>
    <w:semiHidden/>
    <w:unhideWhenUsed/>
    <w:rsid w:val="0025109F"/>
    <w:pPr>
      <w:spacing w:before="100" w:beforeAutospacing="1" w:after="100" w:afterAutospacing="1" w:line="240" w:lineRule="auto"/>
    </w:pPr>
    <w:rPr>
      <w:rFonts w:ascii="Times New Roman" w:eastAsia="Times New Roman" w:hAnsi="Times New Roman" w:cs="Times New Roman"/>
      <w:sz w:val="24"/>
      <w:szCs w:val="24"/>
      <w:lang w:val="en-US" w:eastAsia="en-US"/>
      <w14:ligatures w14:val="none"/>
    </w:rPr>
  </w:style>
  <w:style w:type="character" w:styleId="Strong">
    <w:name w:val="Strong"/>
    <w:basedOn w:val="DefaultParagraphFont"/>
    <w:uiPriority w:val="22"/>
    <w:qFormat/>
    <w:rsid w:val="0025109F"/>
    <w:rPr>
      <w:b/>
      <w:bCs/>
    </w:rPr>
  </w:style>
  <w:style w:type="character" w:customStyle="1" w:styleId="Heading2Char">
    <w:name w:val="Heading 2 Char"/>
    <w:basedOn w:val="DefaultParagraphFont"/>
    <w:link w:val="Heading2"/>
    <w:uiPriority w:val="9"/>
    <w:rsid w:val="00272EDA"/>
    <w:rPr>
      <w:rFonts w:ascii="Times New Roman" w:eastAsia="Times New Roman" w:hAnsi="Times New Roman" w:cs="Times New Roman"/>
      <w:b/>
      <w:bCs/>
      <w:kern w:val="0"/>
      <w:sz w:val="36"/>
      <w:szCs w:val="3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055709">
      <w:bodyDiv w:val="1"/>
      <w:marLeft w:val="0"/>
      <w:marRight w:val="0"/>
      <w:marTop w:val="0"/>
      <w:marBottom w:val="0"/>
      <w:divBdr>
        <w:top w:val="none" w:sz="0" w:space="0" w:color="auto"/>
        <w:left w:val="none" w:sz="0" w:space="0" w:color="auto"/>
        <w:bottom w:val="none" w:sz="0" w:space="0" w:color="auto"/>
        <w:right w:val="none" w:sz="0" w:space="0" w:color="auto"/>
      </w:divBdr>
    </w:div>
    <w:div w:id="976107578">
      <w:bodyDiv w:val="1"/>
      <w:marLeft w:val="0"/>
      <w:marRight w:val="0"/>
      <w:marTop w:val="0"/>
      <w:marBottom w:val="0"/>
      <w:divBdr>
        <w:top w:val="none" w:sz="0" w:space="0" w:color="auto"/>
        <w:left w:val="none" w:sz="0" w:space="0" w:color="auto"/>
        <w:bottom w:val="none" w:sz="0" w:space="0" w:color="auto"/>
        <w:right w:val="none" w:sz="0" w:space="0" w:color="auto"/>
      </w:divBdr>
    </w:div>
    <w:div w:id="1203441239">
      <w:bodyDiv w:val="1"/>
      <w:marLeft w:val="0"/>
      <w:marRight w:val="0"/>
      <w:marTop w:val="0"/>
      <w:marBottom w:val="0"/>
      <w:divBdr>
        <w:top w:val="none" w:sz="0" w:space="0" w:color="auto"/>
        <w:left w:val="none" w:sz="0" w:space="0" w:color="auto"/>
        <w:bottom w:val="none" w:sz="0" w:space="0" w:color="auto"/>
        <w:right w:val="none" w:sz="0" w:space="0" w:color="auto"/>
      </w:divBdr>
    </w:div>
    <w:div w:id="1317105004">
      <w:bodyDiv w:val="1"/>
      <w:marLeft w:val="0"/>
      <w:marRight w:val="0"/>
      <w:marTop w:val="0"/>
      <w:marBottom w:val="0"/>
      <w:divBdr>
        <w:top w:val="none" w:sz="0" w:space="0" w:color="auto"/>
        <w:left w:val="none" w:sz="0" w:space="0" w:color="auto"/>
        <w:bottom w:val="none" w:sz="0" w:space="0" w:color="auto"/>
        <w:right w:val="none" w:sz="0" w:space="0" w:color="auto"/>
      </w:divBdr>
    </w:div>
    <w:div w:id="1576940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emailpenuliskorespondensi@univ.ac.id" TargetMode="External"/><Relationship Id="rId12" Type="http://schemas.openxmlformats.org/officeDocument/2006/relationships/header" Target="head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12</Pages>
  <Words>8472</Words>
  <Characters>48291</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Ibnu imam Al Ayyubi</cp:lastModifiedBy>
  <cp:revision>17</cp:revision>
  <dcterms:created xsi:type="dcterms:W3CDTF">2026-07-21T00:18:00Z</dcterms:created>
  <dcterms:modified xsi:type="dcterms:W3CDTF">2026-08-29T16:40:00Z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49d80101-07b8-3995-8ce4-1be8b4b9a862</vt:lpwstr>
  </property>
  <property fmtid="{D5CDD505-2E9C-101B-9397-08002B2CF9AE}" pid="4" name="Mendeley Citation Style_1">
    <vt:lpwstr>http://www.zotero.org/styles/apa</vt:lpwstr>
  </property>
</Properties>
</file>