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6A6FF" w14:textId="5C2C97ED" w:rsidR="00167B15" w:rsidRDefault="007E6A6F" w:rsidP="00167B15">
      <w:pPr>
        <w:spacing w:after="0" w:line="240" w:lineRule="auto"/>
        <w:jc w:val="center"/>
        <w:rPr>
          <w:rFonts w:ascii="Times New Roman" w:eastAsia="Times New Roman" w:hAnsi="Times New Roman" w:cs="Times New Roman"/>
          <w:b/>
          <w:sz w:val="24"/>
          <w:szCs w:val="24"/>
        </w:rPr>
      </w:pPr>
      <w:r w:rsidRPr="007E6A6F">
        <w:rPr>
          <w:rFonts w:ascii="Times New Roman" w:eastAsia="Times New Roman" w:hAnsi="Times New Roman" w:cs="Times New Roman"/>
          <w:b/>
          <w:sz w:val="24"/>
          <w:szCs w:val="24"/>
        </w:rPr>
        <w:t>FROM DIGITAL TRANSFORMATION TO SOCIAL TRANSFORMATION: RETHINKING EDUCATION FOR AN INCLUSIVE SOCIETY</w:t>
      </w:r>
    </w:p>
    <w:p w14:paraId="69517FF7" w14:textId="77777777" w:rsidR="00167B15" w:rsidRDefault="00167B15" w:rsidP="00167B15">
      <w:pPr>
        <w:spacing w:after="0" w:line="240" w:lineRule="auto"/>
        <w:jc w:val="center"/>
        <w:rPr>
          <w:rFonts w:ascii="Times New Roman" w:eastAsia="Times New Roman" w:hAnsi="Times New Roman" w:cs="Times New Roman"/>
          <w:b/>
        </w:rPr>
      </w:pPr>
    </w:p>
    <w:p w14:paraId="76A72655" w14:textId="38943456" w:rsidR="00167B15" w:rsidRDefault="00D95D16" w:rsidP="00167B15">
      <w:pPr>
        <w:tabs>
          <w:tab w:val="left" w:pos="3119"/>
        </w:tabs>
        <w:spacing w:after="0" w:line="24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color w:val="000000"/>
          <w:sz w:val="24"/>
          <w:szCs w:val="24"/>
        </w:rPr>
        <w:t>Namiyah</w:t>
      </w:r>
      <w:proofErr w:type="spellEnd"/>
      <w:r>
        <w:rPr>
          <w:rFonts w:ascii="Times New Roman" w:eastAsia="Times New Roman" w:hAnsi="Times New Roman" w:cs="Times New Roman"/>
          <w:b/>
          <w:color w:val="000000"/>
          <w:sz w:val="24"/>
          <w:szCs w:val="24"/>
        </w:rPr>
        <w:t xml:space="preserve"> Fitriani</w:t>
      </w:r>
      <w:r w:rsidR="00167B15">
        <w:rPr>
          <w:rFonts w:ascii="Times New Roman" w:eastAsia="Times New Roman" w:hAnsi="Times New Roman" w:cs="Times New Roman"/>
          <w:b/>
          <w:color w:val="000000"/>
          <w:sz w:val="24"/>
          <w:szCs w:val="24"/>
          <w:vertAlign w:val="superscript"/>
        </w:rPr>
        <w:t>1*</w:t>
      </w:r>
    </w:p>
    <w:p w14:paraId="05767189" w14:textId="77777777" w:rsidR="00167B15" w:rsidRDefault="00167B15" w:rsidP="00167B15">
      <w:pPr>
        <w:tabs>
          <w:tab w:val="left" w:pos="3119"/>
        </w:tabs>
        <w:spacing w:after="0" w:line="240" w:lineRule="auto"/>
        <w:jc w:val="center"/>
        <w:rPr>
          <w:rFonts w:ascii="Times New Roman" w:eastAsia="Times New Roman" w:hAnsi="Times New Roman" w:cs="Times New Roman"/>
          <w:b/>
          <w:color w:val="000000"/>
          <w:sz w:val="24"/>
          <w:szCs w:val="24"/>
          <w:vertAlign w:val="superscript"/>
        </w:rPr>
      </w:pPr>
    </w:p>
    <w:p w14:paraId="2BEE428D" w14:textId="5A1C238F"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 xml:space="preserve">1 </w:t>
      </w:r>
      <w:r w:rsidR="00D95D16" w:rsidRPr="00D95D16">
        <w:rPr>
          <w:rFonts w:ascii="Times New Roman" w:eastAsia="Times New Roman" w:hAnsi="Times New Roman" w:cs="Times New Roman"/>
          <w:color w:val="000000"/>
          <w:sz w:val="24"/>
          <w:szCs w:val="24"/>
        </w:rPr>
        <w:t>Universitas Islam Negeri Maulana Malik Ibrahim</w:t>
      </w:r>
      <w:r w:rsidR="00D95D16">
        <w:rPr>
          <w:rFonts w:ascii="Times New Roman" w:eastAsia="Times New Roman" w:hAnsi="Times New Roman" w:cs="Times New Roman"/>
          <w:color w:val="000000"/>
          <w:sz w:val="24"/>
          <w:szCs w:val="24"/>
        </w:rPr>
        <w:t>, Indonesia</w:t>
      </w:r>
    </w:p>
    <w:p w14:paraId="6E7BF463" w14:textId="56245F92" w:rsidR="00167B15" w:rsidRPr="00A5277C" w:rsidRDefault="00167B15" w:rsidP="00167B15">
      <w:pPr>
        <w:tabs>
          <w:tab w:val="left" w:pos="3119"/>
        </w:tabs>
        <w:spacing w:after="0" w:line="240" w:lineRule="auto"/>
        <w:jc w:val="center"/>
        <w:rPr>
          <w:rFonts w:ascii="Times New Roman" w:eastAsia="Times New Roman" w:hAnsi="Times New Roman" w:cs="Times New Roman"/>
          <w:color w:val="000000"/>
          <w:sz w:val="20"/>
          <w:szCs w:val="20"/>
        </w:rPr>
      </w:pPr>
      <w:r w:rsidRPr="00A5277C">
        <w:rPr>
          <w:sz w:val="20"/>
          <w:szCs w:val="20"/>
        </w:rPr>
        <w:t xml:space="preserve"> *</w:t>
      </w:r>
      <w:proofErr w:type="spellStart"/>
      <w:r w:rsidRPr="00A5277C">
        <w:rPr>
          <w:rFonts w:ascii="Times New Roman" w:eastAsia="Times New Roman" w:hAnsi="Times New Roman" w:cs="Times New Roman"/>
          <w:i/>
          <w:sz w:val="20"/>
          <w:szCs w:val="20"/>
        </w:rPr>
        <w:t>Corresponding</w:t>
      </w:r>
      <w:proofErr w:type="spellEnd"/>
      <w:r w:rsidRPr="00A5277C">
        <w:rPr>
          <w:rFonts w:ascii="Times New Roman" w:eastAsia="Times New Roman" w:hAnsi="Times New Roman" w:cs="Times New Roman"/>
          <w:i/>
          <w:sz w:val="20"/>
          <w:szCs w:val="20"/>
        </w:rPr>
        <w:t xml:space="preserve"> </w:t>
      </w:r>
      <w:proofErr w:type="spellStart"/>
      <w:r w:rsidRPr="00A5277C">
        <w:rPr>
          <w:rFonts w:ascii="Times New Roman" w:eastAsia="Times New Roman" w:hAnsi="Times New Roman" w:cs="Times New Roman"/>
          <w:i/>
          <w:sz w:val="20"/>
          <w:szCs w:val="20"/>
        </w:rPr>
        <w:t>author</w:t>
      </w:r>
      <w:proofErr w:type="spellEnd"/>
      <w:r w:rsidRPr="00A5277C">
        <w:rPr>
          <w:rFonts w:ascii="Times New Roman" w:eastAsia="Times New Roman" w:hAnsi="Times New Roman" w:cs="Times New Roman"/>
          <w:i/>
          <w:sz w:val="20"/>
          <w:szCs w:val="20"/>
        </w:rPr>
        <w:t xml:space="preserve">: </w:t>
      </w:r>
      <w:hyperlink r:id="rId7" w:history="1">
        <w:r w:rsidR="00D95D16" w:rsidRPr="00F02C69">
          <w:rPr>
            <w:rStyle w:val="Hyperlink"/>
            <w:rFonts w:ascii="Times New Roman" w:eastAsia="Times New Roman" w:hAnsi="Times New Roman" w:cs="Times New Roman"/>
            <w:i/>
            <w:sz w:val="20"/>
            <w:szCs w:val="20"/>
          </w:rPr>
          <w:t>namiyahfitriani@gmail.com</w:t>
        </w:r>
      </w:hyperlink>
    </w:p>
    <w:p w14:paraId="245B59A6"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p>
    <w:p w14:paraId="5F8B0D7E"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i/>
          <w:sz w:val="18"/>
          <w:szCs w:val="18"/>
        </w:rPr>
        <w:t>Received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Month</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yyyy</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Revised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Month</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yyyy</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Accepted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dd</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Month</w:t>
      </w:r>
      <w:proofErr w:type="spellEnd"/>
      <w:r>
        <w:rPr>
          <w:rFonts w:ascii="Times New Roman" w:eastAsia="Times New Roman" w:hAnsi="Times New Roman" w:cs="Times New Roman"/>
          <w:i/>
          <w:sz w:val="18"/>
          <w:szCs w:val="18"/>
        </w:rPr>
        <w:t xml:space="preserve"> </w:t>
      </w:r>
      <w:proofErr w:type="spellStart"/>
      <w:r>
        <w:rPr>
          <w:rFonts w:ascii="Times New Roman" w:eastAsia="Times New Roman" w:hAnsi="Times New Roman" w:cs="Times New Roman"/>
          <w:i/>
          <w:sz w:val="18"/>
          <w:szCs w:val="18"/>
        </w:rPr>
        <w:t>yyyy</w:t>
      </w:r>
      <w:proofErr w:type="spellEnd"/>
      <w:r>
        <w:rPr>
          <w:rFonts w:ascii="Times New Roman" w:eastAsia="Times New Roman" w:hAnsi="Times New Roman" w:cs="Times New Roman"/>
          <w:i/>
          <w:sz w:val="18"/>
          <w:szCs w:val="18"/>
        </w:rPr>
        <w:t xml:space="preserve">  (9pt)</w:t>
      </w:r>
    </w:p>
    <w:p w14:paraId="749192F5" w14:textId="77777777" w:rsidR="00167B15" w:rsidRDefault="00167B15" w:rsidP="00167B15">
      <w:pPr>
        <w:tabs>
          <w:tab w:val="left" w:pos="3119"/>
        </w:tabs>
        <w:spacing w:after="0" w:line="240" w:lineRule="auto"/>
        <w:jc w:val="center"/>
        <w:rPr>
          <w:rFonts w:ascii="Times New Roman" w:eastAsia="Times New Roman" w:hAnsi="Times New Roman" w:cs="Times New Roman"/>
          <w:color w:val="000000"/>
          <w:sz w:val="24"/>
          <w:szCs w:val="24"/>
        </w:rPr>
      </w:pPr>
    </w:p>
    <w:p w14:paraId="46725FBD" w14:textId="77777777" w:rsidR="00167B15" w:rsidRDefault="00167B15" w:rsidP="00167B15">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CCFB160" w14:textId="77777777" w:rsidR="00167B15" w:rsidRPr="00A5277C" w:rsidRDefault="00167B15" w:rsidP="00167B15">
      <w:pPr>
        <w:spacing w:after="0" w:line="240" w:lineRule="auto"/>
        <w:jc w:val="center"/>
        <w:rPr>
          <w:rFonts w:ascii="Times New Roman" w:eastAsia="Times New Roman" w:hAnsi="Times New Roman" w:cs="Times New Roman"/>
          <w:i/>
          <w:sz w:val="20"/>
          <w:szCs w:val="20"/>
        </w:rPr>
      </w:pPr>
      <w:proofErr w:type="spellStart"/>
      <w:r w:rsidRPr="00A5277C">
        <w:rPr>
          <w:rFonts w:ascii="Times New Roman" w:eastAsia="Times New Roman" w:hAnsi="Times New Roman" w:cs="Times New Roman"/>
          <w:b/>
          <w:i/>
          <w:sz w:val="20"/>
          <w:szCs w:val="20"/>
        </w:rPr>
        <w:t>Abstract</w:t>
      </w:r>
      <w:proofErr w:type="spellEnd"/>
    </w:p>
    <w:p w14:paraId="36D46FF1" w14:textId="09271EAD" w:rsidR="00167B15" w:rsidRDefault="00DB0400" w:rsidP="00167B15">
      <w:pPr>
        <w:spacing w:after="0" w:line="240" w:lineRule="auto"/>
        <w:jc w:val="both"/>
        <w:rPr>
          <w:rFonts w:ascii="Times New Roman" w:eastAsia="Times New Roman" w:hAnsi="Times New Roman" w:cs="Times New Roman"/>
          <w:i/>
          <w:sz w:val="20"/>
          <w:szCs w:val="20"/>
        </w:rPr>
      </w:pPr>
      <w:r w:rsidRPr="00DB0400">
        <w:rPr>
          <w:rFonts w:ascii="Times New Roman" w:eastAsia="Times New Roman" w:hAnsi="Times New Roman" w:cs="Times New Roman"/>
          <w:i/>
          <w:sz w:val="20"/>
          <w:szCs w:val="20"/>
        </w:rPr>
        <w:t xml:space="preserve">Digital </w:t>
      </w:r>
      <w:proofErr w:type="spellStart"/>
      <w:r w:rsidRPr="00DB0400">
        <w:rPr>
          <w:rFonts w:ascii="Times New Roman" w:eastAsia="Times New Roman" w:hAnsi="Times New Roman" w:cs="Times New Roman"/>
          <w:i/>
          <w:sz w:val="20"/>
          <w:szCs w:val="20"/>
        </w:rPr>
        <w:t>transformation</w:t>
      </w:r>
      <w:proofErr w:type="spellEnd"/>
      <w:r w:rsidRPr="00DB0400">
        <w:rPr>
          <w:rFonts w:ascii="Times New Roman" w:eastAsia="Times New Roman" w:hAnsi="Times New Roman" w:cs="Times New Roman"/>
          <w:i/>
          <w:sz w:val="20"/>
          <w:szCs w:val="20"/>
        </w:rPr>
        <w:t xml:space="preserve"> has </w:t>
      </w:r>
      <w:proofErr w:type="spellStart"/>
      <w:r w:rsidRPr="00DB0400">
        <w:rPr>
          <w:rFonts w:ascii="Times New Roman" w:eastAsia="Times New Roman" w:hAnsi="Times New Roman" w:cs="Times New Roman"/>
          <w:i/>
          <w:sz w:val="20"/>
          <w:szCs w:val="20"/>
        </w:rPr>
        <w:t>fundamentally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reshaped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contemporary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education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by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introducing</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platforms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artificial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intelligence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online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learning</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environments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learning</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analytics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other</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technologies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into</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teaching</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learning</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processes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Although</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these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developments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have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expanded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opportunities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for</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access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flexibility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personalization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collaboration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technological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transformation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does</w:t>
      </w:r>
      <w:proofErr w:type="spellEnd"/>
      <w:r w:rsidRPr="00DB0400">
        <w:rPr>
          <w:rFonts w:ascii="Times New Roman" w:eastAsia="Times New Roman" w:hAnsi="Times New Roman" w:cs="Times New Roman"/>
          <w:i/>
          <w:sz w:val="20"/>
          <w:szCs w:val="20"/>
        </w:rPr>
        <w:t xml:space="preserve"> not </w:t>
      </w:r>
      <w:proofErr w:type="spellStart"/>
      <w:r w:rsidRPr="00DB0400">
        <w:rPr>
          <w:rFonts w:ascii="Times New Roman" w:eastAsia="Times New Roman" w:hAnsi="Times New Roman" w:cs="Times New Roman"/>
          <w:i/>
          <w:sz w:val="20"/>
          <w:szCs w:val="20"/>
        </w:rPr>
        <w:t>automatically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produce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educational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or</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social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inclusion</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inequalities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related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to</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access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affordability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infrastructure</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competence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disability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geographic</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location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socioeconomic</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conditions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may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instead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reproduce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or</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intensify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existing</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forms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of</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educational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inequality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This</w:t>
      </w:r>
      <w:proofErr w:type="spellEnd"/>
      <w:r w:rsidRPr="00DB0400">
        <w:rPr>
          <w:rFonts w:ascii="Times New Roman" w:eastAsia="Times New Roman" w:hAnsi="Times New Roman" w:cs="Times New Roman"/>
          <w:i/>
          <w:sz w:val="20"/>
          <w:szCs w:val="20"/>
        </w:rPr>
        <w:t xml:space="preserve"> study </w:t>
      </w:r>
      <w:proofErr w:type="spellStart"/>
      <w:r w:rsidRPr="00DB0400">
        <w:rPr>
          <w:rFonts w:ascii="Times New Roman" w:eastAsia="Times New Roman" w:hAnsi="Times New Roman" w:cs="Times New Roman"/>
          <w:i/>
          <w:sz w:val="20"/>
          <w:szCs w:val="20"/>
        </w:rPr>
        <w:t>aims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to</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critically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examine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the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relationship</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between</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transformation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social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transformation</w:t>
      </w:r>
      <w:proofErr w:type="spellEnd"/>
      <w:r w:rsidRPr="00DB0400">
        <w:rPr>
          <w:rFonts w:ascii="Times New Roman" w:eastAsia="Times New Roman" w:hAnsi="Times New Roman" w:cs="Times New Roman"/>
          <w:i/>
          <w:sz w:val="20"/>
          <w:szCs w:val="20"/>
        </w:rPr>
        <w:t xml:space="preserve"> in </w:t>
      </w:r>
      <w:proofErr w:type="spellStart"/>
      <w:r w:rsidRPr="00DB0400">
        <w:rPr>
          <w:rFonts w:ascii="Times New Roman" w:eastAsia="Times New Roman" w:hAnsi="Times New Roman" w:cs="Times New Roman"/>
          <w:i/>
          <w:sz w:val="20"/>
          <w:szCs w:val="20"/>
        </w:rPr>
        <w:t>education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to</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develop</w:t>
      </w:r>
      <w:proofErr w:type="spellEnd"/>
      <w:r w:rsidRPr="00DB0400">
        <w:rPr>
          <w:rFonts w:ascii="Times New Roman" w:eastAsia="Times New Roman" w:hAnsi="Times New Roman" w:cs="Times New Roman"/>
          <w:i/>
          <w:sz w:val="20"/>
          <w:szCs w:val="20"/>
        </w:rPr>
        <w:t xml:space="preserve"> a </w:t>
      </w:r>
      <w:proofErr w:type="spellStart"/>
      <w:r w:rsidRPr="00DB0400">
        <w:rPr>
          <w:rFonts w:ascii="Times New Roman" w:eastAsia="Times New Roman" w:hAnsi="Times New Roman" w:cs="Times New Roman"/>
          <w:i/>
          <w:sz w:val="20"/>
          <w:szCs w:val="20"/>
        </w:rPr>
        <w:t>conceptual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framework</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for</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building</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more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inclusive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educational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systems</w:t>
      </w:r>
      <w:proofErr w:type="spellEnd"/>
      <w:r w:rsidRPr="00DB0400">
        <w:rPr>
          <w:rFonts w:ascii="Times New Roman" w:eastAsia="Times New Roman" w:hAnsi="Times New Roman" w:cs="Times New Roman"/>
          <w:i/>
          <w:sz w:val="20"/>
          <w:szCs w:val="20"/>
        </w:rPr>
        <w:t xml:space="preserve">. The study </w:t>
      </w:r>
      <w:proofErr w:type="spellStart"/>
      <w:r w:rsidRPr="00DB0400">
        <w:rPr>
          <w:rFonts w:ascii="Times New Roman" w:eastAsia="Times New Roman" w:hAnsi="Times New Roman" w:cs="Times New Roman"/>
          <w:i/>
          <w:sz w:val="20"/>
          <w:szCs w:val="20"/>
        </w:rPr>
        <w:t>employs</w:t>
      </w:r>
      <w:proofErr w:type="spellEnd"/>
      <w:r w:rsidRPr="00DB0400">
        <w:rPr>
          <w:rFonts w:ascii="Times New Roman" w:eastAsia="Times New Roman" w:hAnsi="Times New Roman" w:cs="Times New Roman"/>
          <w:i/>
          <w:sz w:val="20"/>
          <w:szCs w:val="20"/>
        </w:rPr>
        <w:t xml:space="preserve"> a </w:t>
      </w:r>
      <w:proofErr w:type="spellStart"/>
      <w:r w:rsidRPr="00DB0400">
        <w:rPr>
          <w:rFonts w:ascii="Times New Roman" w:eastAsia="Times New Roman" w:hAnsi="Times New Roman" w:cs="Times New Roman"/>
          <w:i/>
          <w:sz w:val="20"/>
          <w:szCs w:val="20"/>
        </w:rPr>
        <w:t>qualitative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library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research</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approach</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through</w:t>
      </w:r>
      <w:proofErr w:type="spellEnd"/>
      <w:r w:rsidRPr="00DB0400">
        <w:rPr>
          <w:rFonts w:ascii="Times New Roman" w:eastAsia="Times New Roman" w:hAnsi="Times New Roman" w:cs="Times New Roman"/>
          <w:i/>
          <w:sz w:val="20"/>
          <w:szCs w:val="20"/>
        </w:rPr>
        <w:t xml:space="preserve"> a </w:t>
      </w:r>
      <w:proofErr w:type="spellStart"/>
      <w:r w:rsidRPr="00DB0400">
        <w:rPr>
          <w:rFonts w:ascii="Times New Roman" w:eastAsia="Times New Roman" w:hAnsi="Times New Roman" w:cs="Times New Roman"/>
          <w:i/>
          <w:sz w:val="20"/>
          <w:szCs w:val="20"/>
        </w:rPr>
        <w:t>critical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analysis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of</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scholarly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literature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concerning</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transformation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inclusive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education</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inequality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educational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equity</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literacy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accessibility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social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justice</w:t>
      </w:r>
      <w:proofErr w:type="spellEnd"/>
      <w:r w:rsidRPr="00DB0400">
        <w:rPr>
          <w:rFonts w:ascii="Times New Roman" w:eastAsia="Times New Roman" w:hAnsi="Times New Roman" w:cs="Times New Roman"/>
          <w:i/>
          <w:sz w:val="20"/>
          <w:szCs w:val="20"/>
        </w:rPr>
        <w:t xml:space="preserve">. The </w:t>
      </w:r>
      <w:proofErr w:type="spellStart"/>
      <w:r w:rsidRPr="00DB0400">
        <w:rPr>
          <w:rFonts w:ascii="Times New Roman" w:eastAsia="Times New Roman" w:hAnsi="Times New Roman" w:cs="Times New Roman"/>
          <w:i/>
          <w:sz w:val="20"/>
          <w:szCs w:val="20"/>
        </w:rPr>
        <w:t>findings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indicate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that</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transformation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can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contribute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to</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inclusion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when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technology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accompanied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by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equitable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access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accessible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learning</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design</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competence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participatory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pedagogy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institutional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support</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ethical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governance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However</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technology-centered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approaches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that</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prioritize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infrastructure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efficiency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without</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addressing</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structural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inequalities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may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reinforce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exclusion</w:t>
      </w:r>
      <w:proofErr w:type="spellEnd"/>
      <w:r w:rsidRPr="00DB0400">
        <w:rPr>
          <w:rFonts w:ascii="Times New Roman" w:eastAsia="Times New Roman" w:hAnsi="Times New Roman" w:cs="Times New Roman"/>
          <w:i/>
          <w:sz w:val="20"/>
          <w:szCs w:val="20"/>
        </w:rPr>
        <w:t xml:space="preserve">. The study </w:t>
      </w:r>
      <w:proofErr w:type="spellStart"/>
      <w:r w:rsidRPr="00DB0400">
        <w:rPr>
          <w:rFonts w:ascii="Times New Roman" w:eastAsia="Times New Roman" w:hAnsi="Times New Roman" w:cs="Times New Roman"/>
          <w:i/>
          <w:sz w:val="20"/>
          <w:szCs w:val="20"/>
        </w:rPr>
        <w:t>further</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finds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that</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inclusive</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education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requires</w:t>
      </w:r>
      <w:proofErr w:type="spellEnd"/>
      <w:r w:rsidRPr="00DB0400">
        <w:rPr>
          <w:rFonts w:ascii="Times New Roman" w:eastAsia="Times New Roman" w:hAnsi="Times New Roman" w:cs="Times New Roman"/>
          <w:i/>
          <w:sz w:val="20"/>
          <w:szCs w:val="20"/>
        </w:rPr>
        <w:t xml:space="preserve"> a </w:t>
      </w:r>
      <w:proofErr w:type="spellStart"/>
      <w:r w:rsidRPr="00DB0400">
        <w:rPr>
          <w:rFonts w:ascii="Times New Roman" w:eastAsia="Times New Roman" w:hAnsi="Times New Roman" w:cs="Times New Roman"/>
          <w:i/>
          <w:sz w:val="20"/>
          <w:szCs w:val="20"/>
        </w:rPr>
        <w:t>shift</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from</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technological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adoption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toward</w:t>
      </w:r>
      <w:proofErr w:type="spellEnd"/>
      <w:r w:rsidRPr="00DB0400">
        <w:rPr>
          <w:rFonts w:ascii="Times New Roman" w:eastAsia="Times New Roman" w:hAnsi="Times New Roman" w:cs="Times New Roman"/>
          <w:i/>
          <w:sz w:val="20"/>
          <w:szCs w:val="20"/>
        </w:rPr>
        <w:t xml:space="preserve"> human-</w:t>
      </w:r>
      <w:proofErr w:type="spellStart"/>
      <w:r w:rsidRPr="00DB0400">
        <w:rPr>
          <w:rFonts w:ascii="Times New Roman" w:eastAsia="Times New Roman" w:hAnsi="Times New Roman" w:cs="Times New Roman"/>
          <w:i/>
          <w:sz w:val="20"/>
          <w:szCs w:val="20"/>
        </w:rPr>
        <w:t>centered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transformation</w:t>
      </w:r>
      <w:proofErr w:type="spellEnd"/>
      <w:r w:rsidRPr="00DB0400">
        <w:rPr>
          <w:rFonts w:ascii="Times New Roman" w:eastAsia="Times New Roman" w:hAnsi="Times New Roman" w:cs="Times New Roman"/>
          <w:i/>
          <w:sz w:val="20"/>
          <w:szCs w:val="20"/>
        </w:rPr>
        <w:t xml:space="preserve"> in </w:t>
      </w:r>
      <w:proofErr w:type="spellStart"/>
      <w:r w:rsidRPr="00DB0400">
        <w:rPr>
          <w:rFonts w:ascii="Times New Roman" w:eastAsia="Times New Roman" w:hAnsi="Times New Roman" w:cs="Times New Roman"/>
          <w:i/>
          <w:sz w:val="20"/>
          <w:szCs w:val="20"/>
        </w:rPr>
        <w:t>which</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learners</w:t>
      </w:r>
      <w:proofErr w:type="spellEnd"/>
      <w:r w:rsidRPr="00DB0400">
        <w:rPr>
          <w:rFonts w:ascii="Times New Roman" w:eastAsia="Times New Roman" w:hAnsi="Times New Roman" w:cs="Times New Roman"/>
          <w:i/>
          <w:sz w:val="20"/>
          <w:szCs w:val="20"/>
        </w:rPr>
        <w:t xml:space="preserve"> are </w:t>
      </w:r>
      <w:proofErr w:type="spellStart"/>
      <w:r w:rsidRPr="00DB0400">
        <w:rPr>
          <w:rFonts w:ascii="Times New Roman" w:eastAsia="Times New Roman" w:hAnsi="Times New Roman" w:cs="Times New Roman"/>
          <w:i/>
          <w:sz w:val="20"/>
          <w:szCs w:val="20"/>
        </w:rPr>
        <w:t>positioned</w:t>
      </w:r>
      <w:proofErr w:type="spellEnd"/>
      <w:r w:rsidRPr="00DB0400">
        <w:rPr>
          <w:rFonts w:ascii="Times New Roman" w:eastAsia="Times New Roman" w:hAnsi="Times New Roman" w:cs="Times New Roman"/>
          <w:i/>
          <w:sz w:val="20"/>
          <w:szCs w:val="20"/>
        </w:rPr>
        <w:t xml:space="preserve"> as </w:t>
      </w:r>
      <w:proofErr w:type="spellStart"/>
      <w:r w:rsidRPr="00DB0400">
        <w:rPr>
          <w:rFonts w:ascii="Times New Roman" w:eastAsia="Times New Roman" w:hAnsi="Times New Roman" w:cs="Times New Roman"/>
          <w:i/>
          <w:sz w:val="20"/>
          <w:szCs w:val="20"/>
        </w:rPr>
        <w:t>active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participants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educational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institutions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address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diverse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social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cultural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economic</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accessibility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needs</w:t>
      </w:r>
      <w:proofErr w:type="spellEnd"/>
      <w:r w:rsidRPr="00DB0400">
        <w:rPr>
          <w:rFonts w:ascii="Times New Roman" w:eastAsia="Times New Roman" w:hAnsi="Times New Roman" w:cs="Times New Roman"/>
          <w:i/>
          <w:sz w:val="20"/>
          <w:szCs w:val="20"/>
        </w:rPr>
        <w:t xml:space="preserve">. The study </w:t>
      </w:r>
      <w:proofErr w:type="spellStart"/>
      <w:r w:rsidRPr="00DB0400">
        <w:rPr>
          <w:rFonts w:ascii="Times New Roman" w:eastAsia="Times New Roman" w:hAnsi="Times New Roman" w:cs="Times New Roman"/>
          <w:i/>
          <w:sz w:val="20"/>
          <w:szCs w:val="20"/>
        </w:rPr>
        <w:t>proposes</w:t>
      </w:r>
      <w:proofErr w:type="spellEnd"/>
      <w:r w:rsidRPr="00DB0400">
        <w:rPr>
          <w:rFonts w:ascii="Times New Roman" w:eastAsia="Times New Roman" w:hAnsi="Times New Roman" w:cs="Times New Roman"/>
          <w:i/>
          <w:sz w:val="20"/>
          <w:szCs w:val="20"/>
        </w:rPr>
        <w:t xml:space="preserve"> a </w:t>
      </w:r>
      <w:proofErr w:type="spellStart"/>
      <w:r w:rsidRPr="00DB0400">
        <w:rPr>
          <w:rFonts w:ascii="Times New Roman" w:eastAsia="Times New Roman" w:hAnsi="Times New Roman" w:cs="Times New Roman"/>
          <w:i/>
          <w:sz w:val="20"/>
          <w:szCs w:val="20"/>
        </w:rPr>
        <w:t>framework</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connecting</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access</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capability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pedagogical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inclusion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meaningful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participation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social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empowerment</w:t>
      </w:r>
      <w:proofErr w:type="spellEnd"/>
      <w:r w:rsidRPr="00DB0400">
        <w:rPr>
          <w:rFonts w:ascii="Times New Roman" w:eastAsia="Times New Roman" w:hAnsi="Times New Roman" w:cs="Times New Roman"/>
          <w:i/>
          <w:sz w:val="20"/>
          <w:szCs w:val="20"/>
        </w:rPr>
        <w:t xml:space="preserve">. Digital </w:t>
      </w:r>
      <w:proofErr w:type="spellStart"/>
      <w:r w:rsidRPr="00DB0400">
        <w:rPr>
          <w:rFonts w:ascii="Times New Roman" w:eastAsia="Times New Roman" w:hAnsi="Times New Roman" w:cs="Times New Roman"/>
          <w:i/>
          <w:sz w:val="20"/>
          <w:szCs w:val="20"/>
        </w:rPr>
        <w:t>transformation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should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therefore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be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understood</w:t>
      </w:r>
      <w:proofErr w:type="spellEnd"/>
      <w:r w:rsidRPr="00DB0400">
        <w:rPr>
          <w:rFonts w:ascii="Times New Roman" w:eastAsia="Times New Roman" w:hAnsi="Times New Roman" w:cs="Times New Roman"/>
          <w:i/>
          <w:sz w:val="20"/>
          <w:szCs w:val="20"/>
        </w:rPr>
        <w:t xml:space="preserve"> not </w:t>
      </w:r>
      <w:proofErr w:type="spellStart"/>
      <w:r w:rsidRPr="00DB0400">
        <w:rPr>
          <w:rFonts w:ascii="Times New Roman" w:eastAsia="Times New Roman" w:hAnsi="Times New Roman" w:cs="Times New Roman"/>
          <w:i/>
          <w:sz w:val="20"/>
          <w:szCs w:val="20"/>
        </w:rPr>
        <w:t>merely</w:t>
      </w:r>
      <w:proofErr w:type="spellEnd"/>
      <w:r w:rsidRPr="00DB0400">
        <w:rPr>
          <w:rFonts w:ascii="Times New Roman" w:eastAsia="Times New Roman" w:hAnsi="Times New Roman" w:cs="Times New Roman"/>
          <w:i/>
          <w:sz w:val="20"/>
          <w:szCs w:val="20"/>
        </w:rPr>
        <w:t xml:space="preserve"> as a </w:t>
      </w:r>
      <w:proofErr w:type="spellStart"/>
      <w:r w:rsidRPr="00DB0400">
        <w:rPr>
          <w:rFonts w:ascii="Times New Roman" w:eastAsia="Times New Roman" w:hAnsi="Times New Roman" w:cs="Times New Roman"/>
          <w:i/>
          <w:sz w:val="20"/>
          <w:szCs w:val="20"/>
        </w:rPr>
        <w:t>process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of</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technological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modernization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but</w:t>
      </w:r>
      <w:proofErr w:type="spellEnd"/>
      <w:r w:rsidRPr="00DB0400">
        <w:rPr>
          <w:rFonts w:ascii="Times New Roman" w:eastAsia="Times New Roman" w:hAnsi="Times New Roman" w:cs="Times New Roman"/>
          <w:i/>
          <w:sz w:val="20"/>
          <w:szCs w:val="20"/>
        </w:rPr>
        <w:t xml:space="preserve"> as </w:t>
      </w:r>
      <w:proofErr w:type="spellStart"/>
      <w:r w:rsidRPr="00DB0400">
        <w:rPr>
          <w:rFonts w:ascii="Times New Roman" w:eastAsia="Times New Roman" w:hAnsi="Times New Roman" w:cs="Times New Roman"/>
          <w:i/>
          <w:sz w:val="20"/>
          <w:szCs w:val="20"/>
        </w:rPr>
        <w:t>an</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opportunity</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to</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reshape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educational</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relationships</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contribute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to</w:t>
      </w:r>
      <w:proofErr w:type="spellEnd"/>
      <w:r w:rsidRPr="00DB0400">
        <w:rPr>
          <w:rFonts w:ascii="Times New Roman" w:eastAsia="Times New Roman" w:hAnsi="Times New Roman" w:cs="Times New Roman"/>
          <w:i/>
          <w:sz w:val="20"/>
          <w:szCs w:val="20"/>
        </w:rPr>
        <w:t xml:space="preserve"> a </w:t>
      </w:r>
      <w:proofErr w:type="spellStart"/>
      <w:r w:rsidRPr="00DB0400">
        <w:rPr>
          <w:rFonts w:ascii="Times New Roman" w:eastAsia="Times New Roman" w:hAnsi="Times New Roman" w:cs="Times New Roman"/>
          <w:i/>
          <w:sz w:val="20"/>
          <w:szCs w:val="20"/>
        </w:rPr>
        <w:t>more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equitable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and</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inclusive</w:t>
      </w:r>
      <w:proofErr w:type="spellEnd"/>
      <w:r w:rsidRPr="00DB0400">
        <w:rPr>
          <w:rFonts w:ascii="Times New Roman" w:eastAsia="Times New Roman" w:hAnsi="Times New Roman" w:cs="Times New Roman"/>
          <w:i/>
          <w:sz w:val="20"/>
          <w:szCs w:val="20"/>
        </w:rPr>
        <w:t xml:space="preserve"> </w:t>
      </w:r>
      <w:proofErr w:type="spellStart"/>
      <w:r w:rsidRPr="00DB0400">
        <w:rPr>
          <w:rFonts w:ascii="Times New Roman" w:eastAsia="Times New Roman" w:hAnsi="Times New Roman" w:cs="Times New Roman"/>
          <w:i/>
          <w:sz w:val="20"/>
          <w:szCs w:val="20"/>
        </w:rPr>
        <w:t>society</w:t>
      </w:r>
      <w:proofErr w:type="spellEnd"/>
      <w:r w:rsidRPr="00DB0400">
        <w:rPr>
          <w:rFonts w:ascii="Times New Roman" w:eastAsia="Times New Roman" w:hAnsi="Times New Roman" w:cs="Times New Roman"/>
          <w:i/>
          <w:sz w:val="20"/>
          <w:szCs w:val="20"/>
        </w:rPr>
        <w:t>.</w:t>
      </w:r>
    </w:p>
    <w:p w14:paraId="0ED72FA5" w14:textId="77777777" w:rsidR="00167B15" w:rsidRDefault="00167B15" w:rsidP="00167B15">
      <w:pPr>
        <w:spacing w:after="0" w:line="240" w:lineRule="auto"/>
        <w:jc w:val="both"/>
        <w:rPr>
          <w:rFonts w:ascii="Times New Roman" w:eastAsia="Times New Roman" w:hAnsi="Times New Roman" w:cs="Times New Roman"/>
          <w:i/>
          <w:sz w:val="20"/>
          <w:szCs w:val="20"/>
        </w:rPr>
      </w:pPr>
    </w:p>
    <w:p w14:paraId="1360559E" w14:textId="1EBF9BE2" w:rsidR="00EA5C5F" w:rsidRDefault="00167B15" w:rsidP="00EA5C5F">
      <w:pPr>
        <w:spacing w:after="0"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i/>
          <w:sz w:val="20"/>
          <w:szCs w:val="20"/>
        </w:rPr>
        <w:t>Keywords</w:t>
      </w:r>
      <w:proofErr w:type="spellEnd"/>
      <w:r>
        <w:rPr>
          <w:rFonts w:ascii="Times New Roman" w:eastAsia="Times New Roman" w:hAnsi="Times New Roman" w:cs="Times New Roman"/>
          <w:i/>
          <w:sz w:val="20"/>
          <w:szCs w:val="20"/>
        </w:rPr>
        <w:t xml:space="preserve">: </w:t>
      </w:r>
      <w:r w:rsidR="00DB0400" w:rsidRPr="00DB0400">
        <w:rPr>
          <w:rFonts w:ascii="Times New Roman" w:eastAsia="Times New Roman" w:hAnsi="Times New Roman" w:cs="Times New Roman"/>
          <w:i/>
          <w:sz w:val="20"/>
          <w:szCs w:val="20"/>
        </w:rPr>
        <w:t xml:space="preserve">Digital </w:t>
      </w:r>
      <w:proofErr w:type="spellStart"/>
      <w:r w:rsidR="00DB0400" w:rsidRPr="00DB0400">
        <w:rPr>
          <w:rFonts w:ascii="Times New Roman" w:eastAsia="Times New Roman" w:hAnsi="Times New Roman" w:cs="Times New Roman"/>
          <w:i/>
          <w:sz w:val="20"/>
          <w:szCs w:val="20"/>
        </w:rPr>
        <w:t>Transformation</w:t>
      </w:r>
      <w:proofErr w:type="spellEnd"/>
      <w:r w:rsidR="00DB0400" w:rsidRPr="00DB0400">
        <w:rPr>
          <w:rFonts w:ascii="Times New Roman" w:eastAsia="Times New Roman" w:hAnsi="Times New Roman" w:cs="Times New Roman"/>
          <w:i/>
          <w:sz w:val="20"/>
          <w:szCs w:val="20"/>
        </w:rPr>
        <w:t xml:space="preserve">; </w:t>
      </w:r>
      <w:proofErr w:type="spellStart"/>
      <w:r w:rsidR="00DB0400" w:rsidRPr="00DB0400">
        <w:rPr>
          <w:rFonts w:ascii="Times New Roman" w:eastAsia="Times New Roman" w:hAnsi="Times New Roman" w:cs="Times New Roman"/>
          <w:i/>
          <w:sz w:val="20"/>
          <w:szCs w:val="20"/>
        </w:rPr>
        <w:t>Inclusive</w:t>
      </w:r>
      <w:proofErr w:type="spellEnd"/>
      <w:r w:rsidR="00DB0400" w:rsidRPr="00DB0400">
        <w:rPr>
          <w:rFonts w:ascii="Times New Roman" w:eastAsia="Times New Roman" w:hAnsi="Times New Roman" w:cs="Times New Roman"/>
          <w:i/>
          <w:sz w:val="20"/>
          <w:szCs w:val="20"/>
        </w:rPr>
        <w:t xml:space="preserve"> </w:t>
      </w:r>
      <w:proofErr w:type="spellStart"/>
      <w:r w:rsidR="00DB0400" w:rsidRPr="00DB0400">
        <w:rPr>
          <w:rFonts w:ascii="Times New Roman" w:eastAsia="Times New Roman" w:hAnsi="Times New Roman" w:cs="Times New Roman"/>
          <w:i/>
          <w:sz w:val="20"/>
          <w:szCs w:val="20"/>
        </w:rPr>
        <w:t>Education</w:t>
      </w:r>
      <w:proofErr w:type="spellEnd"/>
      <w:r w:rsidR="00DB0400" w:rsidRPr="00DB0400">
        <w:rPr>
          <w:rFonts w:ascii="Times New Roman" w:eastAsia="Times New Roman" w:hAnsi="Times New Roman" w:cs="Times New Roman"/>
          <w:i/>
          <w:sz w:val="20"/>
          <w:szCs w:val="20"/>
        </w:rPr>
        <w:t xml:space="preserve">; Digital </w:t>
      </w:r>
      <w:proofErr w:type="spellStart"/>
      <w:r w:rsidR="00DB0400" w:rsidRPr="00DB0400">
        <w:rPr>
          <w:rFonts w:ascii="Times New Roman" w:eastAsia="Times New Roman" w:hAnsi="Times New Roman" w:cs="Times New Roman"/>
          <w:i/>
          <w:sz w:val="20"/>
          <w:szCs w:val="20"/>
        </w:rPr>
        <w:t>Inequality</w:t>
      </w:r>
      <w:proofErr w:type="spellEnd"/>
      <w:r w:rsidR="00DB0400" w:rsidRPr="00DB0400">
        <w:rPr>
          <w:rFonts w:ascii="Times New Roman" w:eastAsia="Times New Roman" w:hAnsi="Times New Roman" w:cs="Times New Roman"/>
          <w:i/>
          <w:sz w:val="20"/>
          <w:szCs w:val="20"/>
        </w:rPr>
        <w:t xml:space="preserve">; </w:t>
      </w:r>
      <w:proofErr w:type="spellStart"/>
      <w:r w:rsidR="00DB0400" w:rsidRPr="00DB0400">
        <w:rPr>
          <w:rFonts w:ascii="Times New Roman" w:eastAsia="Times New Roman" w:hAnsi="Times New Roman" w:cs="Times New Roman"/>
          <w:i/>
          <w:sz w:val="20"/>
          <w:szCs w:val="20"/>
        </w:rPr>
        <w:t>Educational</w:t>
      </w:r>
      <w:proofErr w:type="spellEnd"/>
      <w:r w:rsidR="00DB0400" w:rsidRPr="00DB0400">
        <w:rPr>
          <w:rFonts w:ascii="Times New Roman" w:eastAsia="Times New Roman" w:hAnsi="Times New Roman" w:cs="Times New Roman"/>
          <w:i/>
          <w:sz w:val="20"/>
          <w:szCs w:val="20"/>
        </w:rPr>
        <w:t xml:space="preserve"> Equity</w:t>
      </w:r>
    </w:p>
    <w:p w14:paraId="36832249" w14:textId="77777777" w:rsidR="00EA5C5F" w:rsidRDefault="00EA5C5F" w:rsidP="00EA5C5F">
      <w:pPr>
        <w:spacing w:after="0" w:line="240" w:lineRule="auto"/>
        <w:rPr>
          <w:rFonts w:ascii="Times New Roman" w:eastAsia="Times New Roman" w:hAnsi="Times New Roman" w:cs="Times New Roman"/>
          <w:sz w:val="24"/>
          <w:szCs w:val="24"/>
        </w:rPr>
      </w:pPr>
    </w:p>
    <w:p w14:paraId="5FC71CCA" w14:textId="77777777" w:rsidR="00EA5C5F" w:rsidRDefault="00EA5C5F" w:rsidP="00EA5C5F">
      <w:pPr>
        <w:spacing w:after="0" w:line="240" w:lineRule="auto"/>
        <w:rPr>
          <w:rFonts w:ascii="Times New Roman" w:eastAsia="Times New Roman" w:hAnsi="Times New Roman" w:cs="Times New Roman"/>
          <w:sz w:val="24"/>
          <w:szCs w:val="24"/>
        </w:rPr>
        <w:sectPr w:rsidR="00EA5C5F" w:rsidSect="00EA5C5F">
          <w:headerReference w:type="even" r:id="rId8"/>
          <w:headerReference w:type="default" r:id="rId9"/>
          <w:footerReference w:type="even" r:id="rId10"/>
          <w:type w:val="continuous"/>
          <w:pgSz w:w="11907" w:h="16839"/>
          <w:pgMar w:top="1701" w:right="1701" w:bottom="1701" w:left="1701" w:header="709" w:footer="709" w:gutter="0"/>
          <w:pgNumType w:start="92"/>
          <w:cols w:space="720"/>
        </w:sectPr>
      </w:pPr>
    </w:p>
    <w:p w14:paraId="1324D763" w14:textId="7C029E34" w:rsidR="00167B15" w:rsidRPr="00997B92" w:rsidRDefault="00997B92" w:rsidP="00167B1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INTRODUCTION</w:t>
      </w:r>
    </w:p>
    <w:p w14:paraId="694DE71F" w14:textId="5C599CFE" w:rsidR="00DB0400" w:rsidRPr="00DB0400" w:rsidRDefault="00DB0400" w:rsidP="00DB0400">
      <w:pPr>
        <w:pStyle w:val="pdq2pgselectionanchorcontainer"/>
        <w:spacing w:before="0" w:beforeAutospacing="0" w:after="0" w:afterAutospacing="0"/>
        <w:ind w:firstLine="720"/>
        <w:jc w:val="both"/>
      </w:pPr>
      <w:r w:rsidRPr="00DB0400">
        <w:t>Digital transformation has become one of the most significant forces reshaping contemporary education. The rapid development of digital technologies has changed how educational institutions organize learning, how teachers deliver instruction, how students access knowledge, and how educational institutions communicate with their communities</w:t>
      </w:r>
      <w:r w:rsidR="00B55EC4">
        <w:t xml:space="preserve"> </w:t>
      </w:r>
      <w:r w:rsidR="00B55EC4">
        <w:fldChar w:fldCharType="begin" w:fldLock="1"/>
      </w:r>
      <w:r w:rsidR="00B55EC4">
        <w:instrText>ADDIN CSL_CITATION {"citationItems":[{"id":"ITEM-1","itemData":{"DOI":"http://dx.doi.org/10.26418/j-psh.v13i2.54771","ISSN":"2715-1247","author":[{"dropping-particle":"","family":"Arfadila","given":"Arfadila","non-dropping-particle":"","parse-names":false,"suffix":""},{"dropping-particle":"","family":"Aulia","given":"Erlinda Risa Nur","non-dropping-particle":"","parse-names":false,"suffix":""},{"dropping-particle":"","family":"Nugraha","given":"Reska Widyaksana","non-dropping-particle":"","parse-names":false,"suffix":""},{"dropping-particle":"","family":"Humaeroh","given":"Siti","non-dropping-particle":"","parse-names":false,"suffix":""}],"container-title":"Jurnal Pendidikan Sosiologi Dan Humaniora","id":"ITEM-1","issue":"2","issued":{"date-parts":[["2022"]]},"page":"392-399","title":"Penerapan e-learning dalam inovasi pendidikan untuk meningkatkan kemampuan literasi digital siswa","type":"article-journal","volume":"13"},"uris":["http://www.mendeley.com/documents/?uuid=fbc502a2-4a44-4e00-bea6-ad0bf1d94527"]}],"mendeley":{"formattedCitation":"(Arfadila et al., 2022)","plainTextFormattedCitation":"(Arfadila et al., 2022)","previouslyFormattedCitation":"(Arfadila et al., 2022)"},"properties":{"noteIndex":0},"schema":"https://github.com/citation-style-language/schema/raw/master/csl-citation.json"}</w:instrText>
      </w:r>
      <w:r w:rsidR="00B55EC4">
        <w:fldChar w:fldCharType="separate"/>
      </w:r>
      <w:r w:rsidR="00B55EC4" w:rsidRPr="00B55EC4">
        <w:rPr>
          <w:noProof/>
        </w:rPr>
        <w:t>(Arfadila et al., 2022)</w:t>
      </w:r>
      <w:r w:rsidR="00B55EC4">
        <w:fldChar w:fldCharType="end"/>
      </w:r>
      <w:r w:rsidRPr="00DB0400">
        <w:t xml:space="preserve">. Learning management systems, online </w:t>
      </w:r>
      <w:r w:rsidRPr="00DB0400">
        <w:t>classrooms, digital resources, artificial intelligence, educational applications, learning analytics, and mobile technologies have created new possibilities for educational interaction. These developments have particularly accelerated the transition from conventional classroom-based education toward more flexible and digitally mediated learning environments</w:t>
      </w:r>
      <w:r w:rsidR="00B55EC4">
        <w:t xml:space="preserve"> </w:t>
      </w:r>
      <w:r w:rsidR="00B55EC4">
        <w:fldChar w:fldCharType="begin" w:fldLock="1"/>
      </w:r>
      <w:r w:rsidR="00B55EC4">
        <w:instrText>ADDIN CSL_CITATION {"citationItems":[{"id":"ITEM-1","itemData":{"ISSN":"0719-4706","author":[{"dropping-particle":"","family":"Silva","given":"Maicon Lino Ferreira","non-dropping-particle":"da","parse-names":false,"suffix":""},{"dropping-particle":"","family":"Silva Rodrigues","given":"Augusto José","non-dropping-particle":"da","parse-names":false,"suffix":""}],"container-title":"Revista Inclusiones","id":"ITEM-1","issued":{"date-parts":[["2018"]]},"page":"12-31","title":"A new digital method to recover the state of art: systematic literature review (SLR)","type":"article-journal"},"uris":["http://www.mendeley.com/documents/?uuid=dd1580e0-4290-467e-805a-87e2fa92222b"]}],"mendeley":{"formattedCitation":"(da Silva &amp; da Silva Rodrigues, 2018)","plainTextFormattedCitation":"(da Silva &amp; da Silva Rodrigues, 2018)","previouslyFormattedCitation":"(da Silva &amp; da Silva Rodrigues, 2018)"},"properties":{"noteIndex":0},"schema":"https://github.com/citation-style-language/schema/raw/master/csl-citation.json"}</w:instrText>
      </w:r>
      <w:r w:rsidR="00B55EC4">
        <w:fldChar w:fldCharType="separate"/>
      </w:r>
      <w:r w:rsidR="00B55EC4" w:rsidRPr="00B55EC4">
        <w:rPr>
          <w:noProof/>
        </w:rPr>
        <w:t>(da Silva &amp; da Silva Rodrigues, 2018)</w:t>
      </w:r>
      <w:r w:rsidR="00B55EC4">
        <w:fldChar w:fldCharType="end"/>
      </w:r>
      <w:r w:rsidRPr="00DB0400">
        <w:t>.</w:t>
      </w:r>
    </w:p>
    <w:p w14:paraId="6CA8921C" w14:textId="176B1EAA" w:rsidR="00DB0400" w:rsidRPr="00DB0400" w:rsidRDefault="00DB0400" w:rsidP="00DB0400">
      <w:pPr>
        <w:pStyle w:val="pdq2pgselectionanchorcontainer"/>
        <w:spacing w:before="0" w:beforeAutospacing="0" w:after="0" w:afterAutospacing="0"/>
        <w:ind w:firstLine="720"/>
        <w:jc w:val="both"/>
      </w:pPr>
      <w:r w:rsidRPr="00DB0400">
        <w:t xml:space="preserve">The transformation, however, should not be understood simply as the </w:t>
      </w:r>
      <w:r w:rsidRPr="00DB0400">
        <w:lastRenderedPageBreak/>
        <w:t>replacement of traditional educational tools with digital technologies. Digital transformation involves broader changes in organizational structures, pedagogical practices, institutional cultures, and relationships between educational actors. When digital technologies become embedded within education, they influence not only how learning takes place but also who can participate, whose knowledge is represented, how students communicate, and how educational opportunities are distributed. Consequently, digital transformation has an inherently social dimension</w:t>
      </w:r>
      <w:r w:rsidR="00B55EC4">
        <w:t xml:space="preserve"> </w:t>
      </w:r>
      <w:r w:rsidR="00B55EC4">
        <w:fldChar w:fldCharType="begin" w:fldLock="1"/>
      </w:r>
      <w:r w:rsidR="00B55EC4">
        <w:instrText>ADDIN CSL_CITATION {"citationItems":[{"id":"ITEM-1","itemData":{"DOI":"https://doi.org/10.53515/jisab.v2i1.17","author":[{"dropping-particle":"","family":"Karisna","given":"Nila Noer","non-dropping-particle":"","parse-names":false,"suffix":""}],"container-title":"JISAP Journal of Islamic Communication and Broadcasting","id":"ITEM-1","issue":"1","issued":{"date-parts":[["2022"]]},"page":"66-81","title":"Ontologi, Epistimologi, dan Aksiologi dalam Perspektif Filsafat Ilmu Dakwah di Era Komunikasi Digital","type":"article-journal","volume":"2"},"uris":["http://www.mendeley.com/documents/?uuid=78b8f4b4-fde2-400f-88c5-a969fc1384fc"]}],"mendeley":{"formattedCitation":"(Karisna, 2022)","plainTextFormattedCitation":"(Karisna, 2022)","previouslyFormattedCitation":"(Karisna, 2022)"},"properties":{"noteIndex":0},"schema":"https://github.com/citation-style-language/schema/raw/master/csl-citation.json"}</w:instrText>
      </w:r>
      <w:r w:rsidR="00B55EC4">
        <w:fldChar w:fldCharType="separate"/>
      </w:r>
      <w:r w:rsidR="00B55EC4" w:rsidRPr="00B55EC4">
        <w:rPr>
          <w:noProof/>
        </w:rPr>
        <w:t>(Karisna, 2022)</w:t>
      </w:r>
      <w:r w:rsidR="00B55EC4">
        <w:fldChar w:fldCharType="end"/>
      </w:r>
      <w:r w:rsidRPr="00DB0400">
        <w:t>.</w:t>
      </w:r>
    </w:p>
    <w:p w14:paraId="19FA340F" w14:textId="501AE2CD" w:rsidR="00DB0400" w:rsidRPr="00DB0400" w:rsidRDefault="00DB0400" w:rsidP="00DB0400">
      <w:pPr>
        <w:pStyle w:val="pdq2pgselectionanchorcontainer"/>
        <w:spacing w:before="0" w:beforeAutospacing="0" w:after="0" w:afterAutospacing="0"/>
        <w:ind w:firstLine="720"/>
        <w:jc w:val="both"/>
      </w:pPr>
      <w:r w:rsidRPr="00DB0400">
        <w:t>The increasing use of digital technologies creates substantial opportunities for expanding access to education. Students can access learning materials beyond the physical boundaries of classrooms and educational institutions. Online learning can provide flexibility for learners who experience geographical, occupational, family, or other constraints. Digital resources can also support personalized learning and provide alternative modes of engagement for students with different learning needs. These possibilities demonstrate that digital transformation can contribute to educational inclusion when technologies are intentionally designed and implemented to respond to diverse learner conditions</w:t>
      </w:r>
      <w:r w:rsidR="00B55EC4">
        <w:t xml:space="preserve"> </w:t>
      </w:r>
      <w:r w:rsidR="00B55EC4">
        <w:fldChar w:fldCharType="begin" w:fldLock="1"/>
      </w:r>
      <w:r w:rsidR="00B55EC4">
        <w:instrText>ADDIN CSL_CITATION {"citationItems":[{"id":"ITEM-1","itemData":{"DOI":"https://doi.org/10.9000/jpt.v2i2.372","ISSN":"2963-3176","author":[{"dropping-particle":"","family":"Khoirroni","given":"Inayah Adhani","non-dropping-particle":"","parse-names":false,"suffix":""},{"dropping-particle":"","family":"Patinasarani","given":"Roni","non-dropping-particle":"","parse-names":false,"suffix":""},{"dropping-particle":"","family":"Hermayanti","given":"Nur Indah","non-dropping-particle":"","parse-names":false,"suffix":""},{"dropping-particle":"","family":"Santoso","given":"Gunawan","non-dropping-particle":"","parse-names":false,"suffix":""}],"container-title":"Jurnal Pendidikan Transformatif","id":"ITEM-1","issue":"2","issued":{"date-parts":[["2023"]]},"page":"269-279","title":"Pendidikan Karakter: Tingkat Anak Sekolah Dasar di Era Digital","type":"article-journal","volume":"2"},"uris":["http://www.mendeley.com/documents/?uuid=cf550f89-24ec-4fbe-ad10-3adc1e4d880d"]}],"mendeley":{"formattedCitation":"(Khoirroni et al., 2023)","plainTextFormattedCitation":"(Khoirroni et al., 2023)","previouslyFormattedCitation":"(Khoirroni et al., 2023)"},"properties":{"noteIndex":0},"schema":"https://github.com/citation-style-language/schema/raw/master/csl-citation.json"}</w:instrText>
      </w:r>
      <w:r w:rsidR="00B55EC4">
        <w:fldChar w:fldCharType="separate"/>
      </w:r>
      <w:r w:rsidR="00B55EC4" w:rsidRPr="00B55EC4">
        <w:rPr>
          <w:noProof/>
        </w:rPr>
        <w:t>(Khoirroni et al., 2023)</w:t>
      </w:r>
      <w:r w:rsidR="00B55EC4">
        <w:fldChar w:fldCharType="end"/>
      </w:r>
      <w:r w:rsidRPr="00DB0400">
        <w:t>.</w:t>
      </w:r>
    </w:p>
    <w:p w14:paraId="2EABEEE7" w14:textId="77777777" w:rsidR="00DB0400" w:rsidRPr="00DB0400" w:rsidRDefault="00DB0400" w:rsidP="00DB0400">
      <w:pPr>
        <w:pStyle w:val="pdq2pgselectionanchorcontainer"/>
        <w:spacing w:before="0" w:beforeAutospacing="0" w:after="0" w:afterAutospacing="0"/>
        <w:ind w:firstLine="720"/>
        <w:jc w:val="both"/>
      </w:pPr>
      <w:r w:rsidRPr="00DB0400">
        <w:t xml:space="preserve">Nevertheless, access to technology remains uneven. The existence of digital platforms does not guarantee that all students can benefit from them equally. Differences in internet connectivity, availability of devices, affordability, electricity, digital competence, and learning environments </w:t>
      </w:r>
      <w:r w:rsidRPr="00DB0400">
        <w:t>can produce significant disparities in students' capacity to participate in digital education. Learners in disadvantaged socioeconomic conditions may experience greater barriers than those with stable infrastructure and extensive technological resources. Consequently, digital transformation can potentially reproduce existing educational inequalities when access to technology is assumed rather than examined.</w:t>
      </w:r>
    </w:p>
    <w:p w14:paraId="14F8EA63" w14:textId="389B2F70" w:rsidR="00DB0400" w:rsidRPr="00DB0400" w:rsidRDefault="00DB0400" w:rsidP="00DB0400">
      <w:pPr>
        <w:pStyle w:val="pdq2pgselectionanchorcontainer"/>
        <w:spacing w:before="0" w:beforeAutospacing="0" w:after="0" w:afterAutospacing="0"/>
        <w:ind w:firstLine="720"/>
        <w:jc w:val="both"/>
      </w:pPr>
      <w:r w:rsidRPr="00DB0400">
        <w:t>The concept of the digital divide has therefore become increasingly important in understanding educational transformation. The digital divide is no longer limited to whether individuals possess a computer or internet connection. Contemporary digital inequality also concerns the quality of access, digital skills, patterns of use, ability to evaluate information, and capacity to transform digital resources into meaningful educational and social outcomes. Two students may have access to the same digital platform but experience very different educational opportunities because of differences in digital competence, family support, learning environments, or socioeconomic resources</w:t>
      </w:r>
      <w:r w:rsidR="00B55EC4">
        <w:t xml:space="preserve"> </w:t>
      </w:r>
      <w:r w:rsidR="00B55EC4">
        <w:fldChar w:fldCharType="begin" w:fldLock="1"/>
      </w:r>
      <w:r w:rsidR="00B55EC4">
        <w:instrText>ADDIN CSL_CITATION {"citationItems":[{"id":"ITEM-1","itemData":{"DOI":"http://dx.doi.org/10.24042/biosfer.v14i1.16891","ISSN":"2580-4960","author":[{"dropping-particle":"","family":"Windari","given":"Meylinda Retno","non-dropping-particle":"","parse-names":false,"suffix":""},{"dropping-particle":"","family":"Prihatin","given":"Jekti","non-dropping-particle":"","parse-names":false,"suffix":""},{"dropping-particle":"","family":"Fikri","given":"Kamalia","non-dropping-particle":"","parse-names":false,"suffix":""}],"container-title":"Biosfer: Jurnal Tadris Biologi","id":"ITEM-1","issue":"1","issued":{"date-parts":[["2023"]]},"page":"79-88","title":"The Effectiveness of Digital Textbooks on Brain-based Learning assisted by Animated Videos and Maze Chase-Wordwall on Science Literacy Skills and Student Learning Outcomes","type":"article-journal","volume":"14"},"uris":["http://www.mendeley.com/documents/?uuid=f5356f2d-34e5-4c72-bf49-bd50c5841783"]}],"mendeley":{"formattedCitation":"(Windari et al., 2023)","plainTextFormattedCitation":"(Windari et al., 2023)","previouslyFormattedCitation":"(Windari et al., 2023)"},"properties":{"noteIndex":0},"schema":"https://github.com/citation-style-language/schema/raw/master/csl-citation.json"}</w:instrText>
      </w:r>
      <w:r w:rsidR="00B55EC4">
        <w:fldChar w:fldCharType="separate"/>
      </w:r>
      <w:r w:rsidR="00B55EC4" w:rsidRPr="00B55EC4">
        <w:rPr>
          <w:noProof/>
        </w:rPr>
        <w:t>(Windari et al., 2023)</w:t>
      </w:r>
      <w:r w:rsidR="00B55EC4">
        <w:fldChar w:fldCharType="end"/>
      </w:r>
      <w:r w:rsidRPr="00DB0400">
        <w:t>.</w:t>
      </w:r>
    </w:p>
    <w:p w14:paraId="2C44A2F8" w14:textId="3B71BD97" w:rsidR="00DB0400" w:rsidRPr="00DB0400" w:rsidRDefault="00DB0400" w:rsidP="00DB0400">
      <w:pPr>
        <w:pStyle w:val="pdq2pgselectionanchorcontainer"/>
        <w:spacing w:before="0" w:beforeAutospacing="0" w:after="0" w:afterAutospacing="0"/>
        <w:ind w:firstLine="720"/>
        <w:jc w:val="both"/>
      </w:pPr>
      <w:r w:rsidRPr="00DB0400">
        <w:t xml:space="preserve">Inclusion also extends beyond socioeconomic inequality. Students with disabilities may encounter barriers when digital learning platforms, documents, videos, or assessment systems are not designed according to accessibility principles. Linguistic and cultural diversity can also create challenges when digital educational resources are developed primarily around dominant languages, cultural assumptions, or standardized forms of communication. Thus, a genuinely inclusive digital education system must consider the </w:t>
      </w:r>
      <w:r w:rsidRPr="00DB0400">
        <w:lastRenderedPageBreak/>
        <w:t>diversity of learners rather than assuming that a single technological solution is appropriate for everyone</w:t>
      </w:r>
      <w:r w:rsidR="00B55EC4">
        <w:t xml:space="preserve"> </w:t>
      </w:r>
      <w:r w:rsidR="00B55EC4">
        <w:fldChar w:fldCharType="begin" w:fldLock="1"/>
      </w:r>
      <w:r w:rsidR="00B55EC4">
        <w:instrText>ADDIN CSL_CITATION {"citationItems":[{"id":"ITEM-1","itemData":{"DOI":"https://doi.org/10.55352/mudir.v7i1.1469","ISSN":"2657-2230","author":[{"dropping-particle":"","family":"Fauzi","given":"Helmi Al Hafid","non-dropping-particle":"","parse-names":false,"suffix":""},{"dropping-particle":"","family":"Hidayat","given":"Wahyu","non-dropping-particle":"","parse-names":false,"suffix":""},{"dropping-particle":"","family":"Ayyubi","given":"Ibnu Imam","non-dropping-particle":"Al","parse-names":false,"suffix":""},{"dropping-particle":"","family":"Nurhikmah","given":"","non-dropping-particle":"","parse-names":false,"suffix":""},{"dropping-particle":"","family":"Al-Ghatnaini","given":"Raed Awadh Saeed","non-dropping-particle":"","parse-names":false,"suffix":""}],"container-title":"Mudir: Jurnal Manajemen Pendidikan","id":"ITEM-1","issue":"1","issued":{"date-parts":[["2025"]]},"page":"19-27","title":"Work Stress Levels At Madrasah Tsanawiyah Arrukhshatul'ulum: The Challenges of Digitalization in Developing Islamic Educational Institutions","type":"article-journal","volume":"7"},"uris":["http://www.mendeley.com/documents/?uuid=6b6230b4-9750-46f5-9b64-6ac6db5fac96"]}],"mendeley":{"formattedCitation":"(Fauzi et al., 2025)","plainTextFormattedCitation":"(Fauzi et al., 2025)","previouslyFormattedCitation":"(Fauzi et al., 2025)"},"properties":{"noteIndex":0},"schema":"https://github.com/citation-style-language/schema/raw/master/csl-citation.json"}</w:instrText>
      </w:r>
      <w:r w:rsidR="00B55EC4">
        <w:fldChar w:fldCharType="separate"/>
      </w:r>
      <w:r w:rsidR="00B55EC4" w:rsidRPr="00B55EC4">
        <w:rPr>
          <w:noProof/>
        </w:rPr>
        <w:t>(Fauzi et al., 2025)</w:t>
      </w:r>
      <w:r w:rsidR="00B55EC4">
        <w:fldChar w:fldCharType="end"/>
      </w:r>
      <w:r w:rsidRPr="00DB0400">
        <w:t>.</w:t>
      </w:r>
    </w:p>
    <w:p w14:paraId="602CD71D" w14:textId="4C7C12DC" w:rsidR="00DB0400" w:rsidRPr="00DB0400" w:rsidRDefault="00DB0400" w:rsidP="00DB0400">
      <w:pPr>
        <w:pStyle w:val="pdq2pgselectionanchorcontainer"/>
        <w:spacing w:before="0" w:beforeAutospacing="0" w:after="0" w:afterAutospacing="0"/>
        <w:ind w:firstLine="720"/>
        <w:jc w:val="both"/>
      </w:pPr>
      <w:r w:rsidRPr="00DB0400">
        <w:t>Digital transformation also changes the role of teachers. Teachers increasingly need to design learning experiences that accommodate different levels of technological access and competence. They must consider whether digital resources are accessible, whether students can meaningfully interact with them, and whether technological tools support rather than distract from educational objectives. Teacher digital competence is therefore not merely a technical skill. It includes the ability to use technology pedagogically, ethically, critically, and inclusively</w:t>
      </w:r>
      <w:r w:rsidR="00B55EC4">
        <w:t xml:space="preserve"> </w:t>
      </w:r>
      <w:r w:rsidR="00B55EC4">
        <w:fldChar w:fldCharType="begin" w:fldLock="1"/>
      </w:r>
      <w:r w:rsidR="00B55EC4">
        <w:instrText>ADDIN CSL_CITATION {"citationItems":[{"id":"ITEM-1","itemData":{"DOI":"https://doi.org/10.1108/LHTN-12-2021-0095","ISSN":"0741-9058","author":[{"dropping-particle":"","family":"Tinmaz","given":"Hasan","non-dropping-particle":"","parse-names":false,"suffix":""},{"dropping-particle":"","family":"Fanea-Ivanovici","given":"Mina","non-dropping-particle":"","parse-names":false,"suffix":""},{"dropping-particle":"","family":"Baber","given":"Hasnan","non-dropping-particle":"","parse-names":false,"suffix":""}],"container-title":"Library Hi Tech News","id":"ITEM-1","issue":"1","issued":{"date-parts":[["2023"]]},"page":"20-23","publisher":"Emerald Publishing Limited","title":"A snapshot of digital literacy","type":"article-journal","volume":"40"},"uris":["http://www.mendeley.com/documents/?uuid=66d71c85-b8bb-41ec-85ec-b9576a9e81da"]}],"mendeley":{"formattedCitation":"(Tinmaz et al., 2023)","plainTextFormattedCitation":"(Tinmaz et al., 2023)","previouslyFormattedCitation":"(Tinmaz et al., 2023)"},"properties":{"noteIndex":0},"schema":"https://github.com/citation-style-language/schema/raw/master/csl-citation.json"}</w:instrText>
      </w:r>
      <w:r w:rsidR="00B55EC4">
        <w:fldChar w:fldCharType="separate"/>
      </w:r>
      <w:r w:rsidR="00B55EC4" w:rsidRPr="00B55EC4">
        <w:rPr>
          <w:noProof/>
        </w:rPr>
        <w:t>(Tinmaz et al., 2023)</w:t>
      </w:r>
      <w:r w:rsidR="00B55EC4">
        <w:fldChar w:fldCharType="end"/>
      </w:r>
      <w:r w:rsidRPr="00DB0400">
        <w:t>.</w:t>
      </w:r>
    </w:p>
    <w:p w14:paraId="33455744" w14:textId="6FD44CC4" w:rsidR="00DB0400" w:rsidRPr="00DB0400" w:rsidRDefault="00DB0400" w:rsidP="00DB0400">
      <w:pPr>
        <w:pStyle w:val="pdq2pgselectionanchorcontainer"/>
        <w:spacing w:before="0" w:beforeAutospacing="0" w:after="0" w:afterAutospacing="0"/>
        <w:ind w:firstLine="720"/>
        <w:jc w:val="both"/>
      </w:pPr>
      <w:r w:rsidRPr="00DB0400">
        <w:t>Students likewise require more than operational digital skills. Digital literacy increasingly involves the ability to evaluate information, communicate responsibly, protect personal data, understand algorithmic systems, identify misinformation, and participate effectively in digital communities. Such capabilities are essential because digital environments have become important spaces for social participation. Education therefore has a responsibility to prepare students not only to learn through technology but also to participate responsibly in an increasingly digital society</w:t>
      </w:r>
      <w:r w:rsidR="00B55EC4">
        <w:t xml:space="preserve"> </w:t>
      </w:r>
      <w:r w:rsidR="00B55EC4">
        <w:fldChar w:fldCharType="begin" w:fldLock="1"/>
      </w:r>
      <w:r w:rsidR="006A3428">
        <w:instrText>ADDIN CSL_CITATION {"citationItems":[{"id":"ITEM-1","itemData":{"DOI":"https://doi.org/10.38073/wasilatuna.v7i01.1468","ISSN":"2654-2595","author":[{"dropping-particle":"","family":"Ayyubi","given":"Ibnu Imam","non-dropping-particle":"Al","parse-names":false,"suffix":""},{"dropping-particle":"","family":"Suryana","given":"Irfan","non-dropping-particle":"","parse-names":false,"suffix":""},{"dropping-particle":"","family":"Andirani","given":"Anita","non-dropping-particle":"","parse-names":false,"suffix":""},{"dropping-particle":"","family":"Masfuroh","given":"Ai Sri","non-dropping-particle":"","parse-names":false,"suffix":""},{"dropping-particle":"","family":"Noerzanah","given":"Firda","non-dropping-particle":"","parse-names":false,"suffix":""}],"container-title":"Wasilatuna: Jurnal Komunikasi dan Penyiaran Islam","id":"ITEM-1","issue":"1","issued":{"date-parts":[["2024"]]},"page":"112-127","title":"The Existence of Nahdlatul Ulama Da'wah in the Era of Digitalization and Disruption","type":"article-journal","volume":"7"},"uris":["http://www.mendeley.com/documents/?uuid=e588cf5b-6a27-4885-8937-9b75a3ff5357"]}],"mendeley":{"formattedCitation":"(Al Ayyubi, Suryana, et al., 2024)","plainTextFormattedCitation":"(Al Ayyubi, Suryana, et al., 2024)","previouslyFormattedCitation":"(Al Ayyubi, Suryana, et al., 2024)"},"properties":{"noteIndex":0},"schema":"https://github.com/citation-style-language/schema/raw/master/csl-citation.json"}</w:instrText>
      </w:r>
      <w:r w:rsidR="00B55EC4">
        <w:fldChar w:fldCharType="separate"/>
      </w:r>
      <w:r w:rsidR="006A3428" w:rsidRPr="006A3428">
        <w:rPr>
          <w:noProof/>
        </w:rPr>
        <w:t>(Al Ayyubi, Suryana, et al., 2024)</w:t>
      </w:r>
      <w:r w:rsidR="00B55EC4">
        <w:fldChar w:fldCharType="end"/>
      </w:r>
      <w:r w:rsidRPr="00DB0400">
        <w:t>.</w:t>
      </w:r>
    </w:p>
    <w:p w14:paraId="06319C7B" w14:textId="77777777" w:rsidR="00DB0400" w:rsidRPr="00DB0400" w:rsidRDefault="00DB0400" w:rsidP="00DB0400">
      <w:pPr>
        <w:pStyle w:val="pdq2pgselectionanchorcontainer"/>
        <w:spacing w:before="0" w:beforeAutospacing="0" w:after="0" w:afterAutospacing="0"/>
        <w:ind w:firstLine="720"/>
        <w:jc w:val="both"/>
      </w:pPr>
      <w:r w:rsidRPr="00DB0400">
        <w:t xml:space="preserve">The relationship between digital transformation and social transformation becomes particularly significant in this context. Education has historically played a major role in social mobility and citizenship development. If digital education provides high-quality opportunities only to students who </w:t>
      </w:r>
      <w:r w:rsidRPr="00DB0400">
        <w:t>already possess socioeconomic and technological advantages, digital transformation may intensify rather than reduce inequality. Conversely, when digital transformation is guided by principles of equity, accessibility, participation, and social justice, it can contribute to broader social empowerment.</w:t>
      </w:r>
    </w:p>
    <w:p w14:paraId="384CC6D1" w14:textId="77777777" w:rsidR="00DB0400" w:rsidRPr="00DB0400" w:rsidRDefault="00DB0400" w:rsidP="00DB0400">
      <w:pPr>
        <w:pStyle w:val="pdq2pgselectionanchorcontainer"/>
        <w:spacing w:before="0" w:beforeAutospacing="0" w:after="0" w:afterAutospacing="0"/>
        <w:ind w:firstLine="720"/>
        <w:jc w:val="both"/>
      </w:pPr>
      <w:r w:rsidRPr="00DB0400">
        <w:t>The concept of inclusive education provides an important normative foundation for this transformation. Inclusion should not be understood simply as placing diverse students within the same educational system. It requires removing barriers to participation and ensuring that learners can meaningfully engage with educational opportunities. Digital technologies can support this objective through flexible learning environments, assistive technologies, accessible resources, and multiple forms of communication. However, these benefits depend on intentional design and institutional commitment.</w:t>
      </w:r>
    </w:p>
    <w:p w14:paraId="7474193D" w14:textId="77777777" w:rsidR="00DB0400" w:rsidRPr="00DB0400" w:rsidRDefault="00DB0400" w:rsidP="00DB0400">
      <w:pPr>
        <w:pStyle w:val="pdq2pgselectionanchorcontainer"/>
        <w:spacing w:before="0" w:beforeAutospacing="0" w:after="0" w:afterAutospacing="0"/>
        <w:ind w:firstLine="720"/>
        <w:jc w:val="both"/>
      </w:pPr>
      <w:r w:rsidRPr="00DB0400">
        <w:t>Another important issue concerns participation. Digital education can potentially democratize knowledge by allowing students to access diverse sources and participate in collaborative learning networks. However, digital participation can also be passive when students merely consume content without opportunities to express their perspectives or influence learning processes. Inclusive education therefore requires participatory pedagogies in which students are recognized as active contributors to knowledge construction.</w:t>
      </w:r>
    </w:p>
    <w:p w14:paraId="24F926C8" w14:textId="77777777" w:rsidR="00DB0400" w:rsidRPr="00DB0400" w:rsidRDefault="00DB0400" w:rsidP="00DB0400">
      <w:pPr>
        <w:pStyle w:val="pdq2pgselectionanchorcontainer"/>
        <w:spacing w:before="0" w:beforeAutospacing="0" w:after="0" w:afterAutospacing="0"/>
        <w:ind w:firstLine="720"/>
        <w:jc w:val="both"/>
      </w:pPr>
      <w:r w:rsidRPr="00DB0400">
        <w:t xml:space="preserve">Digital transformation also introduces ethical challenges. The collection and processing of student data through digital platforms and learning analytics raise questions about privacy, </w:t>
      </w:r>
      <w:r w:rsidRPr="00DB0400">
        <w:lastRenderedPageBreak/>
        <w:t>surveillance, algorithmic bias, and informed consent. Artificial intelligence can potentially personalize education but may also reproduce biases embedded in data and algorithms. These concerns demonstrate that digital transformation cannot be separated from questions of power, rights, and social responsibility.</w:t>
      </w:r>
    </w:p>
    <w:p w14:paraId="0551969C" w14:textId="77777777" w:rsidR="00DB0400" w:rsidRPr="00DB0400" w:rsidRDefault="00DB0400" w:rsidP="00DB0400">
      <w:pPr>
        <w:pStyle w:val="pdq2pgselectionanchorcontainer"/>
        <w:spacing w:before="0" w:beforeAutospacing="0" w:after="0" w:afterAutospacing="0"/>
        <w:ind w:firstLine="720"/>
        <w:jc w:val="both"/>
      </w:pPr>
      <w:r w:rsidRPr="00DB0400">
        <w:t>Existing research has extensively discussed digital transformation in education, digital learning, educational technology, digital literacy, and inclusive education. Other studies have examined the digital divide and the challenges faced by disadvantaged learners. However, these discussions are often fragmented between technological perspectives and social inclusion perspectives. Digital transformation is frequently evaluated according to technological adoption, efficiency, innovation, or learning outcomes, while social transformation is discussed primarily through equity and inclusion frameworks.</w:t>
      </w:r>
    </w:p>
    <w:p w14:paraId="0767B41B" w14:textId="1AD59687" w:rsidR="00167B15" w:rsidRPr="002B14A0" w:rsidRDefault="00DB0400" w:rsidP="00DB0400">
      <w:pPr>
        <w:pStyle w:val="pdq2pgselectionanchorcontainer"/>
        <w:spacing w:before="0" w:beforeAutospacing="0" w:after="0" w:afterAutospacing="0"/>
        <w:ind w:firstLine="720"/>
        <w:jc w:val="both"/>
      </w:pPr>
      <w:r w:rsidRPr="00DB0400">
        <w:t>A significant gap therefore remains in explaining how digital transformation can be deliberately converted into social transformation through education. The central problem is not simply whether digital technologies improve education but whether they contribute to reducing educational inequalities, expanding meaningful participation, strengthening learner agency, and creating more inclusive social relations. This study addresses this gap by critically examining the relationship between digital transformation and social transformation and by proposing a conceptual framework for rethinking education as an instrument for building an inclusive society.</w:t>
      </w:r>
    </w:p>
    <w:p w14:paraId="307519B2" w14:textId="77777777" w:rsidR="00167B15" w:rsidRPr="002B14A0" w:rsidRDefault="00167B15" w:rsidP="00167B15">
      <w:pPr>
        <w:spacing w:after="0" w:line="240" w:lineRule="auto"/>
        <w:jc w:val="both"/>
        <w:rPr>
          <w:rFonts w:ascii="Times New Roman" w:eastAsia="Times New Roman" w:hAnsi="Times New Roman" w:cs="Times New Roman"/>
          <w:sz w:val="24"/>
          <w:szCs w:val="24"/>
        </w:rPr>
      </w:pPr>
    </w:p>
    <w:p w14:paraId="2E8F7FA5" w14:textId="77777777" w:rsidR="00B55EC4" w:rsidRDefault="00B55EC4" w:rsidP="00167B15">
      <w:pPr>
        <w:spacing w:after="0" w:line="240" w:lineRule="auto"/>
        <w:rPr>
          <w:rFonts w:ascii="Times New Roman" w:eastAsia="Times New Roman" w:hAnsi="Times New Roman" w:cs="Times New Roman"/>
          <w:b/>
          <w:sz w:val="24"/>
          <w:szCs w:val="24"/>
        </w:rPr>
      </w:pPr>
    </w:p>
    <w:p w14:paraId="176789BF" w14:textId="7DBF4A3A" w:rsidR="00167B15" w:rsidRPr="00997B92" w:rsidRDefault="00167B15" w:rsidP="00167B15">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ME</w:t>
      </w:r>
      <w:r w:rsidR="00997B92">
        <w:rPr>
          <w:rFonts w:ascii="Times New Roman" w:eastAsia="Times New Roman" w:hAnsi="Times New Roman" w:cs="Times New Roman"/>
          <w:b/>
          <w:sz w:val="24"/>
          <w:szCs w:val="24"/>
          <w:lang w:val="en-US"/>
        </w:rPr>
        <w:t>THOD</w:t>
      </w:r>
    </w:p>
    <w:p w14:paraId="209DAAAC" w14:textId="54748104" w:rsidR="006B51FC" w:rsidRDefault="006B51FC" w:rsidP="006B51FC">
      <w:pPr>
        <w:pStyle w:val="pdq2pgselectionanchorcontainer"/>
        <w:spacing w:before="0" w:beforeAutospacing="0" w:after="0" w:afterAutospacing="0"/>
        <w:ind w:firstLine="720"/>
        <w:jc w:val="both"/>
      </w:pPr>
      <w:r>
        <w:t>This study employs a qualitative library research approach to examine the relationship between digital transformation, educational inclusion, and social transformation</w:t>
      </w:r>
      <w:r w:rsidR="00B55EC4">
        <w:t xml:space="preserve"> </w:t>
      </w:r>
      <w:r w:rsidR="00B55EC4">
        <w:fldChar w:fldCharType="begin" w:fldLock="1"/>
      </w:r>
      <w:r w:rsidR="006A3428">
        <w:instrText>ADDIN CSL_CITATION {"citationItems":[{"id":"ITEM-1","itemData":{"ISBN":"1506386695","author":[{"dropping-particle":"","family":"Creswell","given":"John W","non-dropping-particle":"","parse-names":false,"suffix":""},{"dropping-particle":"","family":"Creswell","given":"J David","non-dropping-particle":"","parse-names":false,"suffix":""}],"id":"ITEM-1","issued":{"date-parts":[["2017"]]},"publisher":"Sage publications","title":"Research design: Qualitative, quantitative, and mixed methods approaches","type":"book"},"uris":["http://www.mendeley.com/documents/?uuid=3e897cc2-8a96-4489-b4e4-a9fb25e244d9"]}],"mendeley":{"formattedCitation":"(Creswell &amp; Creswell, 2017)","plainTextFormattedCitation":"(Creswell &amp; Creswell, 2017)","previouslyFormattedCitation":"(Creswell &amp; Creswell, 2017)"},"properties":{"noteIndex":0},"schema":"https://github.com/citation-style-language/schema/raw/master/csl-citation.json"}</w:instrText>
      </w:r>
      <w:r w:rsidR="00B55EC4">
        <w:fldChar w:fldCharType="separate"/>
      </w:r>
      <w:r w:rsidR="00B55EC4" w:rsidRPr="00B55EC4">
        <w:rPr>
          <w:noProof/>
        </w:rPr>
        <w:t>(Creswell &amp; Creswell, 2017)</w:t>
      </w:r>
      <w:r w:rsidR="00B55EC4">
        <w:fldChar w:fldCharType="end"/>
      </w:r>
      <w:r>
        <w:t>. The approach is used to synthesize theoretical perspectives and research findings from existing scholarship rather than collect primary data from educational institutions. The study focuses on identifying conceptual patterns concerning the opportunities, risks, and conditions associated with the use of digital technologies for creating more equitable and inclusive educational systems.</w:t>
      </w:r>
    </w:p>
    <w:p w14:paraId="5BA942A1" w14:textId="77777777" w:rsidR="006B51FC" w:rsidRDefault="006B51FC" w:rsidP="006B51FC">
      <w:pPr>
        <w:pStyle w:val="pdq2pgselectionanchorcontainer"/>
        <w:spacing w:before="0" w:beforeAutospacing="0" w:after="0" w:afterAutospacing="0"/>
        <w:ind w:firstLine="720"/>
        <w:jc w:val="both"/>
      </w:pPr>
      <w:r>
        <w:t>The literature analyzed consists of peer-reviewed national and international journal articles, academic books, research reports, and scholarly publications addressing digital transformation in education, educational technology, inclusive education, digital inequality, digital literacy, accessibility, educational equity, social justice, artificial intelligence, and digital citizenship. Literature concerning technology-mediated learning among disadvantaged populations and learners with diverse educational needs is also considered to identify structural barriers to meaningful participation.</w:t>
      </w:r>
    </w:p>
    <w:p w14:paraId="076DF288" w14:textId="77777777" w:rsidR="006B51FC" w:rsidRDefault="006B51FC" w:rsidP="006B51FC">
      <w:pPr>
        <w:pStyle w:val="pdq2pgselectionanchorcontainer"/>
        <w:spacing w:before="0" w:beforeAutospacing="0" w:after="0" w:afterAutospacing="0"/>
        <w:ind w:firstLine="720"/>
        <w:jc w:val="both"/>
      </w:pPr>
      <w:r>
        <w:t xml:space="preserve">The literature was organized into several analytical themes, including digital access and infrastructure, digital competence, inclusive pedagogy, accessibility, student participation, teacher digital competence, social empowerment, and ethical governance. These themes were examined in relation to one another to determine whether digital transformation merely changes educational technologies or has the </w:t>
      </w:r>
      <w:r>
        <w:lastRenderedPageBreak/>
        <w:t>potential to produce broader transformations in educational participation and social relations.</w:t>
      </w:r>
    </w:p>
    <w:p w14:paraId="1FFE0F4B" w14:textId="77777777" w:rsidR="006B51FC" w:rsidRDefault="006B51FC" w:rsidP="006B51FC">
      <w:pPr>
        <w:pStyle w:val="pdq2pgselectionanchorcontainer"/>
        <w:spacing w:before="0" w:beforeAutospacing="0" w:after="0" w:afterAutospacing="0"/>
        <w:ind w:firstLine="720"/>
        <w:jc w:val="both"/>
      </w:pPr>
      <w:r>
        <w:t>The analysis was conducted through thematic interpretation and conceptual synthesis. The selected literature was compared to identify common findings, contrasting perspectives, persistent challenges, and emerging opportunities. Particular attention was given to the distinction between technological access and meaningful digital participation because access to technology alone does not necessarily result in equitable educational outcomes.</w:t>
      </w:r>
    </w:p>
    <w:p w14:paraId="7A1C342F" w14:textId="26A82F64" w:rsidR="00167B15" w:rsidRPr="006B51FC" w:rsidRDefault="006B51FC" w:rsidP="006B51FC">
      <w:pPr>
        <w:pStyle w:val="pdq2pgselectionanchorcontainer"/>
        <w:spacing w:before="0" w:beforeAutospacing="0" w:after="0" w:afterAutospacing="0"/>
        <w:ind w:firstLine="720"/>
        <w:jc w:val="both"/>
      </w:pPr>
      <w:r>
        <w:t>The final stage involved constructing a conceptual framework that explains the pathway from digital transformation toward social transformation. The framework integrates equitable access, digital capability, inclusive pedagogy, meaningful participation, learner empowerment, and social justice. This framework positions technology as an enabling instrument rather than the ultimate objective of educational transformation.</w:t>
      </w:r>
    </w:p>
    <w:p w14:paraId="270ADA13" w14:textId="77777777" w:rsidR="00167B15" w:rsidRDefault="00167B15" w:rsidP="00167B15">
      <w:pPr>
        <w:spacing w:after="0" w:line="240" w:lineRule="auto"/>
        <w:rPr>
          <w:rFonts w:ascii="Times New Roman" w:eastAsia="Times New Roman" w:hAnsi="Times New Roman" w:cs="Times New Roman"/>
          <w:b/>
          <w:sz w:val="24"/>
          <w:szCs w:val="24"/>
        </w:rPr>
      </w:pPr>
    </w:p>
    <w:p w14:paraId="665CCD10" w14:textId="7A6EAAFC" w:rsidR="00167B15" w:rsidRPr="006B51FC" w:rsidRDefault="00997B92" w:rsidP="006B51FC">
      <w:pPr>
        <w:spacing w:after="0" w:line="240" w:lineRule="auto"/>
        <w:jc w:val="both"/>
        <w:rPr>
          <w:rFonts w:ascii="Times New Roman" w:eastAsia="Times New Roman" w:hAnsi="Times New Roman" w:cs="Times New Roman"/>
          <w:b/>
          <w:sz w:val="24"/>
          <w:szCs w:val="24"/>
          <w:lang w:val="en-US"/>
        </w:rPr>
      </w:pPr>
      <w:r w:rsidRPr="006B51FC">
        <w:rPr>
          <w:rFonts w:ascii="Times New Roman" w:eastAsia="Times New Roman" w:hAnsi="Times New Roman" w:cs="Times New Roman"/>
          <w:b/>
          <w:sz w:val="24"/>
          <w:szCs w:val="24"/>
          <w:lang w:val="en-US"/>
        </w:rPr>
        <w:t>RESULTS AND DISCUSSION</w:t>
      </w:r>
    </w:p>
    <w:p w14:paraId="02A28740" w14:textId="23BBEF0E" w:rsidR="00997B92" w:rsidRPr="006B51FC" w:rsidRDefault="00997B92" w:rsidP="006B51FC">
      <w:pPr>
        <w:spacing w:after="0" w:line="240" w:lineRule="auto"/>
        <w:jc w:val="both"/>
        <w:rPr>
          <w:rFonts w:ascii="Times New Roman" w:eastAsia="Times New Roman" w:hAnsi="Times New Roman" w:cs="Times New Roman"/>
          <w:b/>
          <w:sz w:val="24"/>
          <w:szCs w:val="24"/>
          <w:lang w:val="en-US"/>
        </w:rPr>
      </w:pPr>
      <w:r w:rsidRPr="006B51FC">
        <w:rPr>
          <w:rFonts w:ascii="Times New Roman" w:eastAsia="Times New Roman" w:hAnsi="Times New Roman" w:cs="Times New Roman"/>
          <w:b/>
          <w:sz w:val="24"/>
          <w:szCs w:val="24"/>
          <w:lang w:val="en-US"/>
        </w:rPr>
        <w:t>RESULT</w:t>
      </w:r>
    </w:p>
    <w:p w14:paraId="34C22A0D" w14:textId="292A6A2A" w:rsidR="006B51FC" w:rsidRPr="006B51FC" w:rsidRDefault="006B51FC" w:rsidP="006B51FC">
      <w:pPr>
        <w:spacing w:after="0" w:line="240" w:lineRule="auto"/>
        <w:jc w:val="both"/>
        <w:outlineLvl w:val="1"/>
        <w:rPr>
          <w:rFonts w:ascii="Times New Roman" w:eastAsia="Times New Roman" w:hAnsi="Times New Roman" w:cs="Times New Roman"/>
          <w:b/>
          <w:bCs/>
          <w:sz w:val="24"/>
          <w:szCs w:val="24"/>
          <w:lang w:val="en-US" w:eastAsia="en-US"/>
          <w14:ligatures w14:val="none"/>
        </w:rPr>
      </w:pPr>
      <w:r w:rsidRPr="006B51FC">
        <w:rPr>
          <w:rFonts w:ascii="Times New Roman" w:eastAsia="Times New Roman" w:hAnsi="Times New Roman" w:cs="Times New Roman"/>
          <w:b/>
          <w:bCs/>
          <w:sz w:val="24"/>
          <w:szCs w:val="24"/>
          <w:lang w:val="en-US" w:eastAsia="en-US"/>
          <w14:ligatures w14:val="none"/>
        </w:rPr>
        <w:t>Digital Transformation Expands Educational Opportunities</w:t>
      </w:r>
    </w:p>
    <w:p w14:paraId="17D3F89C" w14:textId="77777777" w:rsidR="006B51FC" w:rsidRPr="006B51FC" w:rsidRDefault="006B51FC" w:rsidP="006B51FC">
      <w:pPr>
        <w:pStyle w:val="pdq2pgselectionanchorcontainer"/>
        <w:spacing w:before="0" w:beforeAutospacing="0" w:after="0" w:afterAutospacing="0"/>
        <w:ind w:firstLine="720"/>
        <w:jc w:val="both"/>
      </w:pPr>
      <w:r w:rsidRPr="006B51FC">
        <w:t xml:space="preserve">The analysis indicates that digital transformation can substantially expand educational opportunities by reducing geographical and temporal barriers to learning. Digital platforms enable students to access learning materials, communicate with teachers, participate in discussions, and complete learning activities beyond conventional classroom environments. This flexibility can benefit learners whose </w:t>
      </w:r>
      <w:r w:rsidRPr="006B51FC">
        <w:t>circumstances make traditional educational participation difficult. Digital technologies can also provide diverse formats of learning resources, including text, audio, video, interactive content, and multimedia activities. The findings indicate that when digital technologies are appropriately integrated, they can increase flexibility, expand access to educational resources, and create new forms of interaction between teachers and students. However, these benefits depend on the availability of supporting infrastructure and the capacity of learners to use digital resources meaningfully.</w:t>
      </w:r>
    </w:p>
    <w:p w14:paraId="39F541E1" w14:textId="61B6DE7A" w:rsidR="006B51FC" w:rsidRPr="006B51FC" w:rsidRDefault="006B51FC" w:rsidP="006B51FC">
      <w:pPr>
        <w:spacing w:after="0" w:line="240" w:lineRule="auto"/>
        <w:jc w:val="both"/>
        <w:outlineLvl w:val="1"/>
        <w:rPr>
          <w:rFonts w:ascii="Times New Roman" w:eastAsia="Times New Roman" w:hAnsi="Times New Roman" w:cs="Times New Roman"/>
          <w:b/>
          <w:bCs/>
          <w:sz w:val="24"/>
          <w:szCs w:val="24"/>
          <w:lang w:val="en-US" w:eastAsia="en-US"/>
          <w14:ligatures w14:val="none"/>
        </w:rPr>
      </w:pPr>
      <w:r w:rsidRPr="006B51FC">
        <w:rPr>
          <w:rFonts w:ascii="Times New Roman" w:eastAsia="Times New Roman" w:hAnsi="Times New Roman" w:cs="Times New Roman"/>
          <w:b/>
          <w:bCs/>
          <w:sz w:val="24"/>
          <w:szCs w:val="24"/>
          <w:lang w:val="en-US" w:eastAsia="en-US"/>
          <w14:ligatures w14:val="none"/>
        </w:rPr>
        <w:t>Digital Inequality Remains a Major Barrier to Inclusion</w:t>
      </w:r>
    </w:p>
    <w:p w14:paraId="10ED19FA" w14:textId="77777777" w:rsidR="006B51FC" w:rsidRPr="006B51FC" w:rsidRDefault="006B51FC" w:rsidP="006B51FC">
      <w:pPr>
        <w:pStyle w:val="pdq2pgselectionanchorcontainer"/>
        <w:spacing w:before="0" w:beforeAutospacing="0" w:after="0" w:afterAutospacing="0"/>
        <w:ind w:firstLine="720"/>
        <w:jc w:val="both"/>
      </w:pPr>
      <w:r w:rsidRPr="006B51FC">
        <w:t>The literature demonstrates that digital transformation does not automatically eliminate educational inequality. Differences in device ownership, internet quality, affordability, electricity, learning environments, and digital competence continue to influence students' ability to participate in digital education. The findings further indicate that digital inequality has moved beyond simple access toward differences in the quality and purpose of technology use. Students with stronger digital skills and greater social and economic support may be better positioned to transform digital resources into educational advantages. Consequently, digital transformation can unintentionally reproduce existing social inequalities if institutions focus primarily on technological deployment without addressing structural differences in learners' circumstances.</w:t>
      </w:r>
    </w:p>
    <w:p w14:paraId="730A3900" w14:textId="6F352C79" w:rsidR="006B51FC" w:rsidRPr="006B51FC" w:rsidRDefault="006B51FC" w:rsidP="006B51FC">
      <w:pPr>
        <w:spacing w:after="0" w:line="240" w:lineRule="auto"/>
        <w:jc w:val="both"/>
        <w:outlineLvl w:val="1"/>
        <w:rPr>
          <w:rFonts w:ascii="Times New Roman" w:eastAsia="Times New Roman" w:hAnsi="Times New Roman" w:cs="Times New Roman"/>
          <w:b/>
          <w:bCs/>
          <w:sz w:val="24"/>
          <w:szCs w:val="24"/>
          <w:lang w:val="en-US" w:eastAsia="en-US"/>
          <w14:ligatures w14:val="none"/>
        </w:rPr>
      </w:pPr>
      <w:r w:rsidRPr="006B51FC">
        <w:rPr>
          <w:rFonts w:ascii="Times New Roman" w:eastAsia="Times New Roman" w:hAnsi="Times New Roman" w:cs="Times New Roman"/>
          <w:b/>
          <w:bCs/>
          <w:sz w:val="24"/>
          <w:szCs w:val="24"/>
          <w:lang w:val="en-US" w:eastAsia="en-US"/>
          <w14:ligatures w14:val="none"/>
        </w:rPr>
        <w:t>Digital Competence as a Condition for Meaningful Participation</w:t>
      </w:r>
    </w:p>
    <w:p w14:paraId="6A39A324" w14:textId="77777777" w:rsidR="006B51FC" w:rsidRPr="006B51FC" w:rsidRDefault="006B51FC" w:rsidP="006B51FC">
      <w:pPr>
        <w:pStyle w:val="pdq2pgselectionanchorcontainer"/>
        <w:spacing w:before="0" w:beforeAutospacing="0" w:after="0" w:afterAutospacing="0"/>
        <w:ind w:firstLine="720"/>
        <w:jc w:val="both"/>
      </w:pPr>
      <w:r w:rsidRPr="006B51FC">
        <w:t xml:space="preserve">The findings indicate that digital competence is an essential condition for </w:t>
      </w:r>
      <w:r w:rsidRPr="006B51FC">
        <w:lastRenderedPageBreak/>
        <w:t>transforming technological access into meaningful educational participation. Students need to know how to locate, evaluate, organize, create, and communicate information in digital environments. They also need to understand issues involving privacy, misinformation, digital identity, and responsible communication. Teachers similarly require digital competence that extends beyond technical operation toward pedagogical and ethical decision-making. The literature therefore suggests that digital inclusion requires continuous development of digital capabilities rather than one-time provision of technological devices or platforms.</w:t>
      </w:r>
    </w:p>
    <w:p w14:paraId="40349CE1" w14:textId="03A59A90" w:rsidR="006B51FC" w:rsidRPr="006B51FC" w:rsidRDefault="006B51FC" w:rsidP="006B51FC">
      <w:pPr>
        <w:spacing w:after="0" w:line="240" w:lineRule="auto"/>
        <w:jc w:val="both"/>
        <w:outlineLvl w:val="1"/>
        <w:rPr>
          <w:rFonts w:ascii="Times New Roman" w:eastAsia="Times New Roman" w:hAnsi="Times New Roman" w:cs="Times New Roman"/>
          <w:b/>
          <w:bCs/>
          <w:sz w:val="24"/>
          <w:szCs w:val="24"/>
          <w:lang w:val="en-US" w:eastAsia="en-US"/>
          <w14:ligatures w14:val="none"/>
        </w:rPr>
      </w:pPr>
      <w:r w:rsidRPr="006B51FC">
        <w:rPr>
          <w:rFonts w:ascii="Times New Roman" w:eastAsia="Times New Roman" w:hAnsi="Times New Roman" w:cs="Times New Roman"/>
          <w:b/>
          <w:bCs/>
          <w:sz w:val="24"/>
          <w:szCs w:val="24"/>
          <w:lang w:val="en-US" w:eastAsia="en-US"/>
          <w14:ligatures w14:val="none"/>
        </w:rPr>
        <w:t>Inclusive Digital Pedagogy</w:t>
      </w:r>
    </w:p>
    <w:p w14:paraId="3D7346CB" w14:textId="77777777" w:rsidR="006B51FC" w:rsidRPr="006B51FC" w:rsidRDefault="006B51FC" w:rsidP="006B51FC">
      <w:pPr>
        <w:pStyle w:val="pdq2pgselectionanchorcontainer"/>
        <w:spacing w:before="0" w:beforeAutospacing="0" w:after="0" w:afterAutospacing="0"/>
        <w:ind w:firstLine="720"/>
        <w:jc w:val="both"/>
      </w:pPr>
      <w:r w:rsidRPr="006B51FC">
        <w:t>The analysis demonstrates that technology alone cannot create inclusive education. Inclusive outcomes depend substantially on how digital technologies are integrated into pedagogy. Learning activities should provide multiple ways for students to access information, express understanding, communicate, and participate. Flexible instructional approaches can accommodate differences in learning needs, language, ability, and technological circumstances. The findings suggest that digital pedagogy becomes more inclusive when teachers deliberately identify potential barriers and design learning experiences that provide alternative pathways for participation. Inclusion should therefore be embedded in instructional design rather than treated as an additional consideration after technology has been adopted.</w:t>
      </w:r>
    </w:p>
    <w:p w14:paraId="0A6FB889" w14:textId="717D4902" w:rsidR="006B51FC" w:rsidRPr="006B51FC" w:rsidRDefault="006B51FC" w:rsidP="006B51FC">
      <w:pPr>
        <w:spacing w:after="0" w:line="240" w:lineRule="auto"/>
        <w:jc w:val="both"/>
        <w:outlineLvl w:val="1"/>
        <w:rPr>
          <w:rFonts w:ascii="Times New Roman" w:eastAsia="Times New Roman" w:hAnsi="Times New Roman" w:cs="Times New Roman"/>
          <w:b/>
          <w:bCs/>
          <w:sz w:val="24"/>
          <w:szCs w:val="24"/>
          <w:lang w:val="en-US" w:eastAsia="en-US"/>
          <w14:ligatures w14:val="none"/>
        </w:rPr>
      </w:pPr>
      <w:r w:rsidRPr="006B51FC">
        <w:rPr>
          <w:rFonts w:ascii="Times New Roman" w:eastAsia="Times New Roman" w:hAnsi="Times New Roman" w:cs="Times New Roman"/>
          <w:b/>
          <w:bCs/>
          <w:sz w:val="24"/>
          <w:szCs w:val="24"/>
          <w:lang w:val="en-US" w:eastAsia="en-US"/>
          <w14:ligatures w14:val="none"/>
        </w:rPr>
        <w:t>Accessibility and Diversity</w:t>
      </w:r>
    </w:p>
    <w:p w14:paraId="7B070AA0" w14:textId="77777777" w:rsidR="006B51FC" w:rsidRPr="006B51FC" w:rsidRDefault="006B51FC" w:rsidP="006B51FC">
      <w:pPr>
        <w:pStyle w:val="pdq2pgselectionanchorcontainer"/>
        <w:spacing w:before="0" w:beforeAutospacing="0" w:after="0" w:afterAutospacing="0"/>
        <w:ind w:firstLine="720"/>
        <w:jc w:val="both"/>
      </w:pPr>
      <w:r w:rsidRPr="006B51FC">
        <w:t xml:space="preserve">The literature indicates that accessibility is a central dimension of inclusive digital education. Digital learning environments may create </w:t>
      </w:r>
      <w:r w:rsidRPr="006B51FC">
        <w:t>barriers for students with disabilities when content, interfaces, videos, documents, or assessments are not designed to accommodate diverse needs. The findings also highlight the importance of cultural and linguistic diversity. Educational technologies and digital resources that reflect only dominant cultural or linguistic perspectives may limit students' sense of belonging and participation. Inclusive digital transformation therefore requires attention to accessibility, representation, language, culture, and diversity throughout the design and implementation of educational technologies.</w:t>
      </w:r>
    </w:p>
    <w:p w14:paraId="582F986E" w14:textId="0FA308F5" w:rsidR="006B51FC" w:rsidRPr="006B51FC" w:rsidRDefault="006B51FC" w:rsidP="006B51FC">
      <w:pPr>
        <w:spacing w:after="0" w:line="240" w:lineRule="auto"/>
        <w:jc w:val="both"/>
        <w:outlineLvl w:val="1"/>
        <w:rPr>
          <w:rFonts w:ascii="Times New Roman" w:eastAsia="Times New Roman" w:hAnsi="Times New Roman" w:cs="Times New Roman"/>
          <w:b/>
          <w:bCs/>
          <w:sz w:val="24"/>
          <w:szCs w:val="24"/>
          <w:lang w:val="en-US" w:eastAsia="en-US"/>
          <w14:ligatures w14:val="none"/>
        </w:rPr>
      </w:pPr>
      <w:r w:rsidRPr="006B51FC">
        <w:rPr>
          <w:rFonts w:ascii="Times New Roman" w:eastAsia="Times New Roman" w:hAnsi="Times New Roman" w:cs="Times New Roman"/>
          <w:b/>
          <w:bCs/>
          <w:sz w:val="24"/>
          <w:szCs w:val="24"/>
          <w:lang w:val="en-US" w:eastAsia="en-US"/>
          <w14:ligatures w14:val="none"/>
        </w:rPr>
        <w:t>Digital Education and Social Empowerment</w:t>
      </w:r>
    </w:p>
    <w:p w14:paraId="17EC86BB" w14:textId="5FB138DF" w:rsidR="00997B92" w:rsidRPr="006B51FC" w:rsidRDefault="006B51FC" w:rsidP="006B51FC">
      <w:pPr>
        <w:pStyle w:val="pdq2pgselectionanchorcontainer"/>
        <w:spacing w:before="0" w:beforeAutospacing="0" w:after="0" w:afterAutospacing="0"/>
        <w:ind w:firstLine="720"/>
        <w:jc w:val="both"/>
      </w:pPr>
      <w:r w:rsidRPr="006B51FC">
        <w:t>The analysis indicates that digital education can contribute to social empowerment when students are provided with opportunities to participate actively in knowledge creation and social communication. Digital platforms can enable learners to access diverse perspectives, collaborate across geographical boundaries, and engage in civic and community activities. However, meaningful empowerment requires more than technological connectivity. Students need critical digital literacy, confidence, opportunities for participation, and institutional environments that recognize their voices. Digital transformation becomes socially transformative when learners are not merely consumers of digital content but active participants capable of using technology to communicate, collaborate, create, and contribute to society.</w:t>
      </w:r>
    </w:p>
    <w:p w14:paraId="67290B7E" w14:textId="2CAADE0E" w:rsidR="00997B92" w:rsidRDefault="00997B92" w:rsidP="006B51FC">
      <w:pPr>
        <w:spacing w:after="0" w:line="240" w:lineRule="auto"/>
        <w:jc w:val="both"/>
        <w:rPr>
          <w:rFonts w:ascii="Times New Roman" w:eastAsia="Times New Roman" w:hAnsi="Times New Roman" w:cs="Times New Roman"/>
          <w:b/>
          <w:sz w:val="24"/>
          <w:szCs w:val="24"/>
          <w:lang w:val="en-US"/>
        </w:rPr>
      </w:pPr>
    </w:p>
    <w:p w14:paraId="09015106" w14:textId="77777777" w:rsidR="00B55EC4" w:rsidRDefault="00B55EC4" w:rsidP="006B51FC">
      <w:pPr>
        <w:spacing w:after="0" w:line="240" w:lineRule="auto"/>
        <w:jc w:val="both"/>
        <w:rPr>
          <w:rFonts w:ascii="Times New Roman" w:eastAsia="Times New Roman" w:hAnsi="Times New Roman" w:cs="Times New Roman"/>
          <w:b/>
          <w:sz w:val="24"/>
          <w:szCs w:val="24"/>
          <w:lang w:val="en-US"/>
        </w:rPr>
      </w:pPr>
    </w:p>
    <w:p w14:paraId="6C09FF11" w14:textId="77777777" w:rsidR="00B55EC4" w:rsidRDefault="00B55EC4" w:rsidP="006B51FC">
      <w:pPr>
        <w:spacing w:after="0" w:line="240" w:lineRule="auto"/>
        <w:jc w:val="both"/>
        <w:rPr>
          <w:rFonts w:ascii="Times New Roman" w:eastAsia="Times New Roman" w:hAnsi="Times New Roman" w:cs="Times New Roman"/>
          <w:b/>
          <w:sz w:val="24"/>
          <w:szCs w:val="24"/>
          <w:lang w:val="en-US"/>
        </w:rPr>
      </w:pPr>
    </w:p>
    <w:p w14:paraId="304A202A" w14:textId="77777777" w:rsidR="00B55EC4" w:rsidRPr="006B51FC" w:rsidRDefault="00B55EC4" w:rsidP="006B51FC">
      <w:pPr>
        <w:spacing w:after="0" w:line="240" w:lineRule="auto"/>
        <w:jc w:val="both"/>
        <w:rPr>
          <w:rFonts w:ascii="Times New Roman" w:eastAsia="Times New Roman" w:hAnsi="Times New Roman" w:cs="Times New Roman"/>
          <w:b/>
          <w:sz w:val="24"/>
          <w:szCs w:val="24"/>
          <w:lang w:val="en-US"/>
        </w:rPr>
      </w:pPr>
    </w:p>
    <w:p w14:paraId="32158D89" w14:textId="36B51E64" w:rsidR="00997B92" w:rsidRPr="003F6D44" w:rsidRDefault="00997B92" w:rsidP="003F6D44">
      <w:pPr>
        <w:spacing w:after="0" w:line="240" w:lineRule="auto"/>
        <w:rPr>
          <w:rFonts w:ascii="Times New Roman" w:eastAsia="Times New Roman" w:hAnsi="Times New Roman" w:cs="Times New Roman"/>
          <w:b/>
          <w:sz w:val="24"/>
          <w:szCs w:val="24"/>
          <w:lang w:val="en-US"/>
        </w:rPr>
      </w:pPr>
      <w:r w:rsidRPr="003F6D44">
        <w:rPr>
          <w:rFonts w:ascii="Times New Roman" w:eastAsia="Times New Roman" w:hAnsi="Times New Roman" w:cs="Times New Roman"/>
          <w:b/>
          <w:sz w:val="24"/>
          <w:szCs w:val="24"/>
          <w:lang w:val="en-US"/>
        </w:rPr>
        <w:t>DISCUSSION</w:t>
      </w:r>
    </w:p>
    <w:p w14:paraId="6FD84A81" w14:textId="77BCB1F6" w:rsidR="003F6D44" w:rsidRPr="003F6D44" w:rsidRDefault="003F6D44" w:rsidP="003F6D44">
      <w:pPr>
        <w:pStyle w:val="Heading2"/>
        <w:spacing w:before="0" w:beforeAutospacing="0" w:after="0" w:afterAutospacing="0"/>
        <w:jc w:val="both"/>
        <w:rPr>
          <w:sz w:val="24"/>
          <w:szCs w:val="24"/>
        </w:rPr>
      </w:pPr>
      <w:r w:rsidRPr="003F6D44">
        <w:rPr>
          <w:sz w:val="24"/>
          <w:szCs w:val="24"/>
        </w:rPr>
        <w:t>From Digital Transformation to Social Transformation</w:t>
      </w:r>
    </w:p>
    <w:p w14:paraId="57AF23BC" w14:textId="659E1FF0" w:rsidR="003F6D44" w:rsidRPr="003F6D44" w:rsidRDefault="003F6D44" w:rsidP="003F6D44">
      <w:pPr>
        <w:pStyle w:val="pdq2pgselectionanchorcontainer"/>
        <w:spacing w:before="0" w:beforeAutospacing="0" w:after="0" w:afterAutospacing="0"/>
        <w:ind w:firstLine="720"/>
        <w:jc w:val="both"/>
      </w:pPr>
      <w:r w:rsidRPr="003F6D44">
        <w:t>The central finding of this study is that digital transformation should not be evaluated solely according to the number of technologies adopted by educational institutions. The more important question concerns what social and educational conditions are produced through technological change. A school or university may possess sophisticated digital platforms while continuing to reproduce inequalities if some students cannot access them effectively or if pedagogical practices remain exclusionary</w:t>
      </w:r>
      <w:r w:rsidR="006A3428">
        <w:t xml:space="preserve"> </w:t>
      </w:r>
      <w:r w:rsidR="006A3428">
        <w:fldChar w:fldCharType="begin" w:fldLock="1"/>
      </w:r>
      <w:r w:rsidR="006A3428">
        <w:instrText>ADDIN CSL_CITATION {"citationItems":[{"id":"ITEM-1","itemData":{"ISSN":"1989-9572","author":[{"dropping-particle":"","family":"Amilevna","given":"Alimkhanova Nigorakhon","non-dropping-particle":"","parse-names":false,"suffix":""}],"container-title":"JETT","id":"ITEM-1","issue":"2","issued":{"date-parts":[["2023"]]},"page":"578-583","publisher":"Facultad de Ciencias de la Educación","title":"Issues on the pedagogical thought and pedagogical practice of eastern thinkers","type":"article-journal","volume":"14"},"uris":["http://www.mendeley.com/documents/?uuid=11ec3881-f42b-4d99-a400-e57b2a150f74"]}],"mendeley":{"formattedCitation":"(Amilevna, 2023)","plainTextFormattedCitation":"(Amilevna, 2023)","previouslyFormattedCitation":"(Amilevna, 2023)"},"properties":{"noteIndex":0},"schema":"https://github.com/citation-style-language/schema/raw/master/csl-citation.json"}</w:instrText>
      </w:r>
      <w:r w:rsidR="006A3428">
        <w:fldChar w:fldCharType="separate"/>
      </w:r>
      <w:r w:rsidR="006A3428" w:rsidRPr="006A3428">
        <w:rPr>
          <w:noProof/>
        </w:rPr>
        <w:t>(Amilevna, 2023)</w:t>
      </w:r>
      <w:r w:rsidR="006A3428">
        <w:fldChar w:fldCharType="end"/>
      </w:r>
      <w:r w:rsidRPr="003F6D44">
        <w:t>.</w:t>
      </w:r>
    </w:p>
    <w:p w14:paraId="74FABA49" w14:textId="77777777" w:rsidR="003F6D44" w:rsidRPr="003F6D44" w:rsidRDefault="003F6D44" w:rsidP="003F6D44">
      <w:pPr>
        <w:pStyle w:val="pdq2pgselectionanchorcontainer"/>
        <w:spacing w:before="0" w:beforeAutospacing="0" w:after="0" w:afterAutospacing="0"/>
        <w:ind w:firstLine="720"/>
        <w:jc w:val="both"/>
      </w:pPr>
      <w:r w:rsidRPr="003F6D44">
        <w:t>Digital transformation becomes socially transformative when it changes the distribution of educational opportunities and enables broader participation. This requires institutions to move from a technology-centered approach toward a human-centered approach in which technological decisions are evaluated according to their contribution to equity, inclusion, participation, and empowerment. Technology should therefore be considered a means of transformation rather than the transformation itself.</w:t>
      </w:r>
    </w:p>
    <w:p w14:paraId="51C97E4D" w14:textId="7B4DE445" w:rsidR="003F6D44" w:rsidRPr="003F6D44" w:rsidRDefault="003F6D44" w:rsidP="003F6D44">
      <w:pPr>
        <w:pStyle w:val="Heading2"/>
        <w:spacing w:before="0" w:beforeAutospacing="0" w:after="0" w:afterAutospacing="0"/>
        <w:jc w:val="both"/>
        <w:rPr>
          <w:sz w:val="24"/>
          <w:szCs w:val="24"/>
        </w:rPr>
      </w:pPr>
      <w:r w:rsidRPr="003F6D44">
        <w:rPr>
          <w:sz w:val="24"/>
          <w:szCs w:val="24"/>
        </w:rPr>
        <w:t>From Access to Meaningful Digital Inclusion</w:t>
      </w:r>
    </w:p>
    <w:p w14:paraId="39FF2C83" w14:textId="3811D1F7" w:rsidR="003F6D44" w:rsidRPr="003F6D44" w:rsidRDefault="003F6D44" w:rsidP="003F6D44">
      <w:pPr>
        <w:pStyle w:val="pdq2pgselectionanchorcontainer"/>
        <w:spacing w:before="0" w:beforeAutospacing="0" w:after="0" w:afterAutospacing="0"/>
        <w:ind w:firstLine="720"/>
        <w:jc w:val="both"/>
      </w:pPr>
      <w:r w:rsidRPr="003F6D44">
        <w:t xml:space="preserve">One of the most important implications of the findings is the need to distinguish between digital access and meaningful digital inclusion. Providing devices or internet connections is necessary but does not guarantee that learners will achieve equitable outcomes. Meaningful inclusion requires students to possess the skills, confidence, support, and opportunities needed to use </w:t>
      </w:r>
      <w:r w:rsidRPr="003F6D44">
        <w:t>technology effectively for learning</w:t>
      </w:r>
      <w:r w:rsidR="006A3428">
        <w:t xml:space="preserve"> </w:t>
      </w:r>
      <w:r w:rsidR="006A3428">
        <w:fldChar w:fldCharType="begin" w:fldLock="1"/>
      </w:r>
      <w:r w:rsidR="006A3428">
        <w:instrText>ADDIN CSL_CITATION {"citationItems":[{"id":"ITEM-1","itemData":{"DOI":"https://doi.org/10.1080/10350330.2020.1836815","ISSN":"1035-0330","author":[{"dropping-particle":"","family":"Knight","given":"Janine","non-dropping-particle":"","parse-names":false,"suffix":""},{"dropping-particle":"","family":"Dooly","given":"Melinda","non-dropping-particle":"","parse-names":false,"suffix":""},{"dropping-particle":"","family":"Barberà","given":"Elena","non-dropping-particle":"","parse-names":false,"suffix":""}],"container-title":"Social Semiotics","id":"ITEM-1","issue":"2","issued":{"date-parts":[["2023"]]},"page":"326-349","publisher":"Taylor &amp; Francis","title":"Getting smart: Towards critical digital literacy pedagogies","type":"article-journal","volume":"33"},"uris":["http://www.mendeley.com/documents/?uuid=66c3b1b6-10d1-4abd-aa57-88f33be8efdc"]}],"mendeley":{"formattedCitation":"(Knight et al., 2023)","plainTextFormattedCitation":"(Knight et al., 2023)","previouslyFormattedCitation":"(Knight et al., 2023)"},"properties":{"noteIndex":0},"schema":"https://github.com/citation-style-language/schema/raw/master/csl-citation.json"}</w:instrText>
      </w:r>
      <w:r w:rsidR="006A3428">
        <w:fldChar w:fldCharType="separate"/>
      </w:r>
      <w:r w:rsidR="006A3428" w:rsidRPr="006A3428">
        <w:rPr>
          <w:noProof/>
        </w:rPr>
        <w:t>(Knight et al., 2023)</w:t>
      </w:r>
      <w:r w:rsidR="006A3428">
        <w:fldChar w:fldCharType="end"/>
      </w:r>
      <w:r w:rsidRPr="003F6D44">
        <w:t>.</w:t>
      </w:r>
    </w:p>
    <w:p w14:paraId="0D5B5D95" w14:textId="77777777" w:rsidR="003F6D44" w:rsidRPr="003F6D44" w:rsidRDefault="003F6D44" w:rsidP="003F6D44">
      <w:pPr>
        <w:pStyle w:val="pdq2pgselectionanchorcontainer"/>
        <w:spacing w:before="0" w:beforeAutospacing="0" w:after="0" w:afterAutospacing="0"/>
        <w:ind w:firstLine="720"/>
        <w:jc w:val="both"/>
      </w:pPr>
      <w:r w:rsidRPr="003F6D44">
        <w:t>This distinction suggests that digital inclusion should be conceptualized as a multidimensional process involving infrastructure, affordability, accessibility, digital competence, pedagogical support, and participation. A student who has an internet connection but lacks the ability to evaluate information or participate effectively in digital learning remains vulnerable to exclusion. Educational policies should therefore move beyond infrastructure targets toward broader measures of meaningful participation.</w:t>
      </w:r>
    </w:p>
    <w:p w14:paraId="0521D541" w14:textId="776CA44C" w:rsidR="003F6D44" w:rsidRPr="003F6D44" w:rsidRDefault="003F6D44" w:rsidP="003F6D44">
      <w:pPr>
        <w:pStyle w:val="Heading2"/>
        <w:spacing w:before="0" w:beforeAutospacing="0" w:after="0" w:afterAutospacing="0"/>
        <w:jc w:val="both"/>
        <w:rPr>
          <w:sz w:val="24"/>
          <w:szCs w:val="24"/>
        </w:rPr>
      </w:pPr>
      <w:r w:rsidRPr="003F6D44">
        <w:rPr>
          <w:sz w:val="24"/>
          <w:szCs w:val="24"/>
        </w:rPr>
        <w:t>Digital Transformation and Educational Equity</w:t>
      </w:r>
    </w:p>
    <w:p w14:paraId="7DFED3F5" w14:textId="7510A01D" w:rsidR="003F6D44" w:rsidRPr="003F6D44" w:rsidRDefault="003F6D44" w:rsidP="003F6D44">
      <w:pPr>
        <w:pStyle w:val="pdq2pgselectionanchorcontainer"/>
        <w:spacing w:before="0" w:beforeAutospacing="0" w:after="0" w:afterAutospacing="0"/>
        <w:ind w:firstLine="720"/>
        <w:jc w:val="both"/>
      </w:pPr>
      <w:r w:rsidRPr="003F6D44">
        <w:t>Digital transformation can either reduce or reproduce educational inequalities. Its impact depends on how technology is distributed and governed. When digital resources are concentrated among students and institutions that already possess advantages, technological innovation may widen existing gaps. Students with better devices, faster internet, stronger digital skills, and greater parental or institutional support may derive greater benefits from the same technology</w:t>
      </w:r>
      <w:r w:rsidR="006A3428">
        <w:t xml:space="preserve"> </w:t>
      </w:r>
      <w:r w:rsidR="006A3428">
        <w:fldChar w:fldCharType="begin" w:fldLock="1"/>
      </w:r>
      <w:r w:rsidR="006A3428">
        <w:instrText>ADDIN CSL_CITATION {"citationItems":[{"id":"ITEM-1","itemData":{"DOI":"10.1016/j.mayocpiqo.2023.12.005","ISSN":"2542-4548","author":[{"dropping-particle":"","family":"Dvir","given":"May","non-dropping-particle":"","parse-names":false,"suffix":""},{"dropping-particle":"","family":"Almhanni","given":"Ghaith","non-dropping-particle":"","parse-names":false,"suffix":""},{"dropping-particle":"","family":"Qaisar","given":"Huzaif","non-dropping-particle":"","parse-names":false,"suffix":""},{"dropping-particle":"","family":"Calvin","given":"Andrew D","non-dropping-particle":"","parse-names":false,"suffix":""},{"dropping-particle":"","family":"Tallarita","given":"Tiziano","non-dropping-particle":"","parse-names":false,"suffix":""}],"container-title":"Mayo Clinic Proceedings: Innovations, Quality &amp; Outcomes","id":"ITEM-1","issue":"1","issued":{"date-parts":[["2024"]]},"page":"53-57","publisher":"Elsevier","title":"When Occipital Artery Biopsy is Preferred to temporal biopsy for giant cell arteritis: a Step-By-Step description of the Surgical technique","type":"article-journal","volume":"8"},"uris":["http://www.mendeley.com/documents/?uuid=53cc885a-5862-420c-ae69-5ffa423388c2"]}],"mendeley":{"formattedCitation":"(Dvir et al., 2024)","plainTextFormattedCitation":"(Dvir et al., 2024)","previouslyFormattedCitation":"(Dvir et al., 2024)"},"properties":{"noteIndex":0},"schema":"https://github.com/citation-style-language/schema/raw/master/csl-citation.json"}</w:instrText>
      </w:r>
      <w:r w:rsidR="006A3428">
        <w:fldChar w:fldCharType="separate"/>
      </w:r>
      <w:r w:rsidR="006A3428" w:rsidRPr="006A3428">
        <w:rPr>
          <w:noProof/>
        </w:rPr>
        <w:t>(Dvir et al., 2024)</w:t>
      </w:r>
      <w:r w:rsidR="006A3428">
        <w:fldChar w:fldCharType="end"/>
      </w:r>
      <w:r w:rsidRPr="003F6D44">
        <w:t>.</w:t>
      </w:r>
    </w:p>
    <w:p w14:paraId="34166ACC" w14:textId="77777777" w:rsidR="003F6D44" w:rsidRPr="003F6D44" w:rsidRDefault="003F6D44" w:rsidP="003F6D44">
      <w:pPr>
        <w:pStyle w:val="pdq2pgselectionanchorcontainer"/>
        <w:spacing w:before="0" w:beforeAutospacing="0" w:after="0" w:afterAutospacing="0"/>
        <w:ind w:firstLine="720"/>
        <w:jc w:val="both"/>
      </w:pPr>
      <w:r w:rsidRPr="003F6D44">
        <w:t>Educational equity therefore requires compensatory strategies. Institutions may need to provide devices, connectivity, technical support, accessible resources, and additional learning assistance to students facing structural disadvantages. Equity does not mean providing exactly the same technological resources to everyone; rather, it means providing the conditions necessary for diverse learners to achieve meaningful participation.</w:t>
      </w:r>
    </w:p>
    <w:p w14:paraId="5B0BD346" w14:textId="6F765BE6" w:rsidR="003F6D44" w:rsidRPr="003F6D44" w:rsidRDefault="003F6D44" w:rsidP="003F6D44">
      <w:pPr>
        <w:pStyle w:val="Heading2"/>
        <w:spacing w:before="0" w:beforeAutospacing="0" w:after="0" w:afterAutospacing="0"/>
        <w:jc w:val="both"/>
        <w:rPr>
          <w:sz w:val="24"/>
          <w:szCs w:val="24"/>
        </w:rPr>
      </w:pPr>
      <w:r w:rsidRPr="003F6D44">
        <w:rPr>
          <w:sz w:val="24"/>
          <w:szCs w:val="24"/>
        </w:rPr>
        <w:lastRenderedPageBreak/>
        <w:t>Inclusive Pedagogy in Digital Learning Environments</w:t>
      </w:r>
    </w:p>
    <w:p w14:paraId="6FB502FD" w14:textId="6E057DDD" w:rsidR="003F6D44" w:rsidRPr="003F6D44" w:rsidRDefault="003F6D44" w:rsidP="003F6D44">
      <w:pPr>
        <w:pStyle w:val="pdq2pgselectionanchorcontainer"/>
        <w:spacing w:before="0" w:beforeAutospacing="0" w:after="0" w:afterAutospacing="0"/>
        <w:ind w:firstLine="720"/>
        <w:jc w:val="both"/>
      </w:pPr>
      <w:r w:rsidRPr="003F6D44">
        <w:t>The transformation of technology must be accompanied by transformation of pedagogy. Simply transferring lectures, worksheets, or examinations from physical classrooms to digital platforms does not necessarily create innovative or inclusive education. Digital learning environments provide opportunities for more flexible and participatory pedagogies, but these opportunities must be intentionally designed</w:t>
      </w:r>
      <w:r w:rsidR="006A3428">
        <w:t xml:space="preserve"> </w:t>
      </w:r>
      <w:r w:rsidR="006A3428">
        <w:fldChar w:fldCharType="begin" w:fldLock="1"/>
      </w:r>
      <w:r w:rsidR="006A3428">
        <w:instrText>ADDIN CSL_CITATION {"citationItems":[{"id":"ITEM-1","itemData":{"DOI":"https://doi.org/10.33367/jtme.v2i1.4244","ISSN":"2986-8041","author":[{"dropping-particle":"","family":"Ayyubi","given":"Ibnu Imam","non-dropping-particle":"Al","parse-names":false,"suffix":""},{"dropping-particle":"","family":"Rohmatulloh","given":"Rifqi","non-dropping-particle":"","parse-names":false,"suffix":""},{"dropping-particle":"","family":"Suryana","given":"Irfan","non-dropping-particle":"","parse-names":false,"suffix":""},{"dropping-particle":"","family":"Wijaya","given":"Tommy Tanu","non-dropping-particle":"","parse-names":false,"suffix":""}],"container-title":"Noumerico: Journal of Technology in Mathematics Education","id":"ITEM-1","issue":"1","issued":{"date-parts":[["2024"]]},"page":"23-34","title":"Improving Students’ Creative Thinking Skills Assisted by GeoGebra Software","type":"article-journal","volume":"2"},"uris":["http://www.mendeley.com/documents/?uuid=2684f87e-62ee-4210-8032-1a2c3c38e7e4"]}],"mendeley":{"formattedCitation":"(Al Ayyubi, Rohmatulloh, et al., 2024)","plainTextFormattedCitation":"(Al Ayyubi, Rohmatulloh, et al., 2024)","previouslyFormattedCitation":"(Al Ayyubi, Rohmatulloh, et al., 2024)"},"properties":{"noteIndex":0},"schema":"https://github.com/citation-style-language/schema/raw/master/csl-citation.json"}</w:instrText>
      </w:r>
      <w:r w:rsidR="006A3428">
        <w:fldChar w:fldCharType="separate"/>
      </w:r>
      <w:r w:rsidR="006A3428" w:rsidRPr="006A3428">
        <w:rPr>
          <w:noProof/>
        </w:rPr>
        <w:t>(Al Ayyubi, Rohmatulloh, et al., 2024)</w:t>
      </w:r>
      <w:r w:rsidR="006A3428">
        <w:fldChar w:fldCharType="end"/>
      </w:r>
      <w:r w:rsidRPr="003F6D44">
        <w:t>.</w:t>
      </w:r>
    </w:p>
    <w:p w14:paraId="0E408698" w14:textId="77777777" w:rsidR="003F6D44" w:rsidRPr="003F6D44" w:rsidRDefault="003F6D44" w:rsidP="003F6D44">
      <w:pPr>
        <w:pStyle w:val="pdq2pgselectionanchorcontainer"/>
        <w:spacing w:before="0" w:beforeAutospacing="0" w:after="0" w:afterAutospacing="0"/>
        <w:ind w:firstLine="720"/>
        <w:jc w:val="both"/>
      </w:pPr>
      <w:r w:rsidRPr="003F6D44">
        <w:t>Inclusive digital pedagogy can provide multiple pathways for students to engage with content and demonstrate learning. Teachers can combine written explanations, visual materials, recorded presentations, interactive activities, collaborative projects, and alternative forms of assessment. Such flexibility can support students with different learning preferences and circumstances while maintaining common educational objectives.</w:t>
      </w:r>
    </w:p>
    <w:p w14:paraId="5C78313C" w14:textId="7DC95AAE" w:rsidR="003F6D44" w:rsidRPr="003F6D44" w:rsidRDefault="003F6D44" w:rsidP="003F6D44">
      <w:pPr>
        <w:pStyle w:val="Heading2"/>
        <w:spacing w:before="0" w:beforeAutospacing="0" w:after="0" w:afterAutospacing="0"/>
        <w:jc w:val="both"/>
        <w:rPr>
          <w:sz w:val="24"/>
          <w:szCs w:val="24"/>
        </w:rPr>
      </w:pPr>
      <w:r w:rsidRPr="003F6D44">
        <w:rPr>
          <w:sz w:val="24"/>
          <w:szCs w:val="24"/>
        </w:rPr>
        <w:t>Teacher Agency and Digital Transformation</w:t>
      </w:r>
    </w:p>
    <w:p w14:paraId="0A05B799" w14:textId="3FE76943" w:rsidR="003F6D44" w:rsidRPr="003F6D44" w:rsidRDefault="003F6D44" w:rsidP="00050718">
      <w:pPr>
        <w:pStyle w:val="pdq2pgselectionanchorcontainer"/>
        <w:spacing w:before="0" w:beforeAutospacing="0" w:after="0" w:afterAutospacing="0"/>
        <w:ind w:firstLine="720"/>
        <w:jc w:val="both"/>
      </w:pPr>
      <w:r w:rsidRPr="003F6D44">
        <w:t>Teachers should be positioned as active agents of digital transformation rather than passive recipients of technological policies. Technology integration is often unsuccessful when teachers are provided with platforms without adequate professional development or opportunities to participate in decision-making</w:t>
      </w:r>
      <w:r w:rsidR="006A3428">
        <w:t xml:space="preserve"> </w:t>
      </w:r>
      <w:r w:rsidR="006A3428">
        <w:fldChar w:fldCharType="begin" w:fldLock="1"/>
      </w:r>
      <w:r w:rsidR="006A3428">
        <w:instrText>ADDIN CSL_CITATION {"citationItems":[{"id":"ITEM-1","itemData":{"DOI":"https://doi.org/10.33367/jtme.v3i1.6700","ISSN":"2986-8041","author":[{"dropping-particle":"","family":"Ayyubi","given":"Ibnu Imam","non-dropping-particle":"Al","parse-names":false,"suffix":""},{"dropping-particle":"","family":"Rahmawati","given":"Siti","non-dropping-particle":"","parse-names":false,"suffix":""},{"dropping-particle":"","family":"Trimulyati","given":"Siti Hajar","non-dropping-particle":"","parse-names":false,"suffix":""},{"dropping-particle":"","family":"Setiawati","given":"Teti","non-dropping-particle":"","parse-names":false,"suffix":""}],"container-title":"Noumerico: Journal of Technology in Mathematics Education","id":"ITEM-1","issue":"1","issued":{"date-parts":[["2025"]]},"page":"11-25","title":"The Influence of Manipulative Media Usage on Students' Understanding of Fraction Operations in Elementary Schools","type":"article-journal","volume":"3"},"uris":["http://www.mendeley.com/documents/?uuid=5ebf1bcb-39f9-45d0-9e70-6b2e0a9196af"]}],"mendeley":{"formattedCitation":"(Al Ayyubi et al., 2025)","plainTextFormattedCitation":"(Al Ayyubi et al., 2025)","previouslyFormattedCitation":"(Al Ayyubi et al., 2025)"},"properties":{"noteIndex":0},"schema":"https://github.com/citation-style-language/schema/raw/master/csl-citation.json"}</w:instrText>
      </w:r>
      <w:r w:rsidR="006A3428">
        <w:fldChar w:fldCharType="separate"/>
      </w:r>
      <w:r w:rsidR="006A3428" w:rsidRPr="006A3428">
        <w:rPr>
          <w:noProof/>
        </w:rPr>
        <w:t>(Al Ayyubi et al., 2025)</w:t>
      </w:r>
      <w:r w:rsidR="006A3428">
        <w:fldChar w:fldCharType="end"/>
      </w:r>
      <w:r w:rsidRPr="003F6D44">
        <w:t>.</w:t>
      </w:r>
    </w:p>
    <w:p w14:paraId="1861122C" w14:textId="77777777" w:rsidR="003F6D44" w:rsidRPr="003F6D44" w:rsidRDefault="003F6D44" w:rsidP="00050718">
      <w:pPr>
        <w:pStyle w:val="pdq2pgselectionanchorcontainer"/>
        <w:spacing w:before="0" w:beforeAutospacing="0" w:after="0" w:afterAutospacing="0"/>
        <w:ind w:firstLine="720"/>
        <w:jc w:val="both"/>
      </w:pPr>
      <w:r w:rsidRPr="003F6D44">
        <w:t xml:space="preserve">Teacher agency is important because educators understand the specific needs and circumstances of their students. They can identify when a technology creates barriers, when an alternative approach is needed, and when </w:t>
      </w:r>
      <w:r w:rsidRPr="003F6D44">
        <w:t>digital tools genuinely enhance learning. Professional development should therefore focus not only on how to operate technology but also on pedagogical design, accessibility, digital ethics, critical digital literacy, and inclusive practice.</w:t>
      </w:r>
    </w:p>
    <w:p w14:paraId="5F02CE31" w14:textId="111401D6" w:rsidR="003F6D44" w:rsidRPr="003F6D44" w:rsidRDefault="003F6D44" w:rsidP="003F6D44">
      <w:pPr>
        <w:pStyle w:val="Heading2"/>
        <w:spacing w:before="0" w:beforeAutospacing="0" w:after="0" w:afterAutospacing="0"/>
        <w:jc w:val="both"/>
        <w:rPr>
          <w:sz w:val="24"/>
          <w:szCs w:val="24"/>
        </w:rPr>
      </w:pPr>
      <w:r w:rsidRPr="003F6D44">
        <w:rPr>
          <w:sz w:val="24"/>
          <w:szCs w:val="24"/>
        </w:rPr>
        <w:t>Digital Literacy as Social Literacy</w:t>
      </w:r>
    </w:p>
    <w:p w14:paraId="09AD0E16" w14:textId="77777777" w:rsidR="003F6D44" w:rsidRPr="003F6D44" w:rsidRDefault="003F6D44" w:rsidP="00050718">
      <w:pPr>
        <w:pStyle w:val="pdq2pgselectionanchorcontainer"/>
        <w:spacing w:before="0" w:beforeAutospacing="0" w:after="0" w:afterAutospacing="0"/>
        <w:ind w:firstLine="720"/>
        <w:jc w:val="both"/>
      </w:pPr>
      <w:r w:rsidRPr="003F6D44">
        <w:t>The findings suggest that digital literacy should increasingly be understood as a form of social literacy. Digital environments are not simply technical spaces; they are environments in which individuals communicate, construct identities, encounter information, participate in communities, and exercise social and civic agency.</w:t>
      </w:r>
    </w:p>
    <w:p w14:paraId="4F022521" w14:textId="1F68CD3B" w:rsidR="003F6D44" w:rsidRPr="003F6D44" w:rsidRDefault="003F6D44" w:rsidP="00050718">
      <w:pPr>
        <w:pStyle w:val="pdq2pgselectionanchorcontainer"/>
        <w:spacing w:before="0" w:beforeAutospacing="0" w:after="0" w:afterAutospacing="0"/>
        <w:ind w:firstLine="720"/>
        <w:jc w:val="both"/>
      </w:pPr>
      <w:r w:rsidRPr="003F6D44">
        <w:t>Students therefore need to understand how digital systems influence social relationships and access to information. They should be able to recognize misinformation, understand algorithmic influence, protect personal data, communicate respectfully, and participate constructively in digital communities. Education can thus play a critical role in preparing citizens who are capable of participating responsibly in digital society</w:t>
      </w:r>
      <w:r w:rsidR="006A3428">
        <w:t xml:space="preserve"> </w:t>
      </w:r>
      <w:r w:rsidR="006A3428">
        <w:fldChar w:fldCharType="begin" w:fldLock="1"/>
      </w:r>
      <w:r w:rsidR="006A3428">
        <w:instrText>ADDIN CSL_CITATION {"citationItems":[{"id":"ITEM-1","itemData":{"DOI":"https://doi.org/10.1007/s10639-021-10624-x","ISSN":"1360-2357","author":[{"dropping-particle":"","family":"Farias-Gaytan","given":"Silvia","non-dropping-particle":"","parse-names":false,"suffix":""},{"dropping-particle":"","family":"Aguaded","given":"Ignacio","non-dropping-particle":"","parse-names":false,"suffix":""},{"dropping-particle":"","family":"Ramirez-Montoya","given":"Maria-Soledad","non-dropping-particle":"","parse-names":false,"suffix":""}],"container-title":"Education and Information Technologies","id":"ITEM-1","issue":"2","issued":{"date-parts":[["2022"]]},"page":"1417-1437","publisher":"Springer","title":"Transformation and digital literacy: Systematic literature mapping","type":"article-journal","volume":"27"},"uris":["http://www.mendeley.com/documents/?uuid=0ed234ca-9407-4ddb-b917-35d35df81f4d"]}],"mendeley":{"formattedCitation":"(Farias-Gaytan et al., 2022)","plainTextFormattedCitation":"(Farias-Gaytan et al., 2022)","previouslyFormattedCitation":"(Farias-Gaytan et al., 2022)"},"properties":{"noteIndex":0},"schema":"https://github.com/citation-style-language/schema/raw/master/csl-citation.json"}</w:instrText>
      </w:r>
      <w:r w:rsidR="006A3428">
        <w:fldChar w:fldCharType="separate"/>
      </w:r>
      <w:r w:rsidR="006A3428" w:rsidRPr="006A3428">
        <w:rPr>
          <w:noProof/>
        </w:rPr>
        <w:t>(Farias-Gaytan et al., 2022)</w:t>
      </w:r>
      <w:r w:rsidR="006A3428">
        <w:fldChar w:fldCharType="end"/>
      </w:r>
      <w:r w:rsidRPr="003F6D44">
        <w:t>.</w:t>
      </w:r>
    </w:p>
    <w:p w14:paraId="2057333D" w14:textId="63C6A689" w:rsidR="003F6D44" w:rsidRPr="003F6D44" w:rsidRDefault="003F6D44" w:rsidP="003F6D44">
      <w:pPr>
        <w:pStyle w:val="Heading2"/>
        <w:spacing w:before="0" w:beforeAutospacing="0" w:after="0" w:afterAutospacing="0"/>
        <w:jc w:val="both"/>
        <w:rPr>
          <w:sz w:val="24"/>
          <w:szCs w:val="24"/>
        </w:rPr>
      </w:pPr>
      <w:r w:rsidRPr="003F6D44">
        <w:rPr>
          <w:sz w:val="24"/>
          <w:szCs w:val="24"/>
        </w:rPr>
        <w:t>Accessibility as a Principle of Educational Justice</w:t>
      </w:r>
    </w:p>
    <w:p w14:paraId="4C55733E" w14:textId="77777777" w:rsidR="003F6D44" w:rsidRPr="003F6D44" w:rsidRDefault="003F6D44" w:rsidP="00050718">
      <w:pPr>
        <w:pStyle w:val="pdq2pgselectionanchorcontainer"/>
        <w:spacing w:before="0" w:beforeAutospacing="0" w:after="0" w:afterAutospacing="0"/>
        <w:ind w:firstLine="720"/>
        <w:jc w:val="both"/>
      </w:pPr>
      <w:r w:rsidRPr="003F6D44">
        <w:t>Accessibility should not be treated as a technical adjustment added after a digital system has been developed. It should be incorporated from the beginning of technological and pedagogical design. If students with disabilities cannot navigate a platform, access learning materials, or participate in assessment activities, digital transformation has created a new barrier rather than removing an existing one.</w:t>
      </w:r>
    </w:p>
    <w:p w14:paraId="0532E153" w14:textId="77777777" w:rsidR="003F6D44" w:rsidRPr="003F6D44" w:rsidRDefault="003F6D44" w:rsidP="00050718">
      <w:pPr>
        <w:pStyle w:val="pdq2pgselectionanchorcontainer"/>
        <w:spacing w:before="0" w:beforeAutospacing="0" w:after="0" w:afterAutospacing="0"/>
        <w:ind w:firstLine="720"/>
        <w:jc w:val="both"/>
      </w:pPr>
      <w:r w:rsidRPr="003F6D44">
        <w:t xml:space="preserve">This principle also applies to linguistic and cultural diversity. Digital </w:t>
      </w:r>
      <w:r w:rsidRPr="003F6D44">
        <w:lastRenderedPageBreak/>
        <w:t>education should provide learning environments in which different forms of knowledge, communication, and cultural experience can be recognized. Such an approach strengthens students' sense of belonging and supports the broader objective of inclusive education.</w:t>
      </w:r>
    </w:p>
    <w:p w14:paraId="0BFAF1CA" w14:textId="3A54FA6D" w:rsidR="003F6D44" w:rsidRPr="003F6D44" w:rsidRDefault="003F6D44" w:rsidP="003F6D44">
      <w:pPr>
        <w:pStyle w:val="Heading2"/>
        <w:spacing w:before="0" w:beforeAutospacing="0" w:after="0" w:afterAutospacing="0"/>
        <w:jc w:val="both"/>
        <w:rPr>
          <w:sz w:val="24"/>
          <w:szCs w:val="24"/>
        </w:rPr>
      </w:pPr>
      <w:r w:rsidRPr="003F6D44">
        <w:rPr>
          <w:sz w:val="24"/>
          <w:szCs w:val="24"/>
        </w:rPr>
        <w:t>Digital Transformation and Social Empowerment</w:t>
      </w:r>
    </w:p>
    <w:p w14:paraId="351A948C" w14:textId="77777777" w:rsidR="003F6D44" w:rsidRPr="003F6D44" w:rsidRDefault="003F6D44" w:rsidP="00050718">
      <w:pPr>
        <w:pStyle w:val="pdq2pgselectionanchorcontainer"/>
        <w:spacing w:before="0" w:beforeAutospacing="0" w:after="0" w:afterAutospacing="0"/>
        <w:ind w:firstLine="720"/>
        <w:jc w:val="both"/>
      </w:pPr>
      <w:r w:rsidRPr="003F6D44">
        <w:t>The ultimate social value of digital education lies in its potential to empower learners. Empowerment occurs when students acquire the knowledge, skills, confidence, and opportunities necessary to participate in decisions affecting their education and communities. Digital technologies can support this process by enabling students to create content, communicate with wider audiences, collaborate across boundaries, and access diverse sources of knowledge.</w:t>
      </w:r>
    </w:p>
    <w:p w14:paraId="57C1813F" w14:textId="77777777" w:rsidR="003F6D44" w:rsidRPr="003F6D44" w:rsidRDefault="003F6D44" w:rsidP="00050718">
      <w:pPr>
        <w:pStyle w:val="pdq2pgselectionanchorcontainer"/>
        <w:spacing w:before="0" w:beforeAutospacing="0" w:after="0" w:afterAutospacing="0"/>
        <w:ind w:firstLine="720"/>
        <w:jc w:val="both"/>
      </w:pPr>
      <w:r w:rsidRPr="003F6D44">
        <w:t>However, empowerment requires agency. If students are merely required to consume digitally delivered educational content, technological access may not lead to social transformation. Educational institutions should therefore create opportunities for students to produce knowledge, collaborate, express perspectives, solve community problems, and participate in meaningful digital projects.</w:t>
      </w:r>
    </w:p>
    <w:p w14:paraId="3588252E" w14:textId="08A07702" w:rsidR="003F6D44" w:rsidRPr="003F6D44" w:rsidRDefault="003F6D44" w:rsidP="003F6D44">
      <w:pPr>
        <w:pStyle w:val="Heading2"/>
        <w:spacing w:before="0" w:beforeAutospacing="0" w:after="0" w:afterAutospacing="0"/>
        <w:jc w:val="both"/>
        <w:rPr>
          <w:sz w:val="24"/>
          <w:szCs w:val="24"/>
        </w:rPr>
      </w:pPr>
      <w:r w:rsidRPr="003F6D44">
        <w:rPr>
          <w:sz w:val="24"/>
          <w:szCs w:val="24"/>
        </w:rPr>
        <w:t>Ethical Governance of Digital Education</w:t>
      </w:r>
    </w:p>
    <w:p w14:paraId="430720A4" w14:textId="77777777" w:rsidR="003F6D44" w:rsidRPr="003F6D44" w:rsidRDefault="003F6D44" w:rsidP="00050718">
      <w:pPr>
        <w:pStyle w:val="pdq2pgselectionanchorcontainer"/>
        <w:spacing w:before="0" w:beforeAutospacing="0" w:after="0" w:afterAutospacing="0"/>
        <w:ind w:firstLine="720"/>
        <w:jc w:val="both"/>
      </w:pPr>
      <w:r w:rsidRPr="003F6D44">
        <w:t xml:space="preserve">Digital transformation also requires stronger ethical governance. Educational institutions increasingly collect information about students through digital platforms, learning analytics, assessment systems, and AI-based technologies. These practices create potential benefits for personalization and institutional decision-making but also raise concerns </w:t>
      </w:r>
      <w:r w:rsidRPr="003F6D44">
        <w:t>concerning privacy, surveillance, data ownership, and algorithmic discrimination.</w:t>
      </w:r>
    </w:p>
    <w:p w14:paraId="0A7BB69C" w14:textId="4559902A" w:rsidR="00167B15" w:rsidRDefault="003F6D44" w:rsidP="00050718">
      <w:pPr>
        <w:pStyle w:val="pdq2pgselectionanchorcontainer"/>
        <w:spacing w:before="0" w:beforeAutospacing="0" w:after="0" w:afterAutospacing="0"/>
        <w:ind w:firstLine="720"/>
        <w:jc w:val="both"/>
      </w:pPr>
      <w:r w:rsidRPr="003F6D44">
        <w:t xml:space="preserve">An inclusive digital education system should therefore establish clear principles concerning data protection, transparency, accountability, and responsible technology use. Students and teachers should understand how their data are collected and used. Technological efficiency should never be treated as sufficient justification for practices that compromise educational rights </w:t>
      </w:r>
      <w:r>
        <w:t>or human dignity.</w:t>
      </w:r>
    </w:p>
    <w:p w14:paraId="17FC856F" w14:textId="77777777" w:rsidR="00050718" w:rsidRPr="00050718" w:rsidRDefault="00050718" w:rsidP="00050718">
      <w:pPr>
        <w:pStyle w:val="pdq2pgselectionanchorcontainer"/>
        <w:spacing w:before="0" w:beforeAutospacing="0" w:after="0" w:afterAutospacing="0"/>
        <w:jc w:val="both"/>
      </w:pPr>
    </w:p>
    <w:p w14:paraId="4719233D" w14:textId="123D8011" w:rsidR="00167B15" w:rsidRPr="00997B92" w:rsidRDefault="00997B92" w:rsidP="00167B15">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CONCLUSION</w:t>
      </w:r>
    </w:p>
    <w:p w14:paraId="4A966CD6" w14:textId="77777777" w:rsidR="00950C9E" w:rsidRDefault="00950C9E" w:rsidP="00950C9E">
      <w:pPr>
        <w:pStyle w:val="pdq2pgselectionanchorcontainer"/>
        <w:spacing w:before="0" w:beforeAutospacing="0" w:after="0" w:afterAutospacing="0"/>
        <w:ind w:firstLine="720"/>
        <w:jc w:val="both"/>
      </w:pPr>
      <w:r>
        <w:t>Digital transformation has created significant opportunities to expand access, flexibility, personalization, and participation in education, but technological innovation alone cannot guarantee educational inclusion or social equality. The findings of this library research demonstrate that digital inequality continues to emerge through differences in infrastructure, device ownership, affordability, digital competence, accessibility, and the capacity to use technology meaningfully. Consequently, educational institutions should move beyond technology-centered approaches that prioritize the adoption of platforms and devices toward human-centered strategies that place equity, accessibility, participation, and social justice at the center of digital transformation.</w:t>
      </w:r>
    </w:p>
    <w:p w14:paraId="2A69A737" w14:textId="686E6AB5" w:rsidR="00167B15" w:rsidRPr="00FD1F50" w:rsidRDefault="00950C9E" w:rsidP="00950C9E">
      <w:pPr>
        <w:pStyle w:val="pdq2pgselectionanchorcontainer"/>
        <w:spacing w:before="0" w:beforeAutospacing="0" w:after="0" w:afterAutospacing="0"/>
        <w:ind w:firstLine="720"/>
        <w:jc w:val="both"/>
      </w:pPr>
      <w:r>
        <w:t xml:space="preserve">This study proposes a conceptual framework connecting digital access, digital capability, inclusive pedagogy, meaningful participation, learner agency, social empowerment, educational equity, and social inclusion. The framework demonstrates that digital transformation becomes socially </w:t>
      </w:r>
      <w:r>
        <w:lastRenderedPageBreak/>
        <w:t>transformative when technology is accompanied by appropriate pedagogical, institutional, and ethical conditions. Teachers should be positioned as active agents who design inclusive digital learning environments, while students should be empowered as active participants and creators rather than passive consumers of digital content. The study is limited by its reliance on existing literature and therefore requires empirical validation across different educational levels, socioeconomic contexts, cultural environments, and groups of learners with diverse needs. Future research should examine how inclusive digital policies, accessible technologies, participatory pedagogies, and digital empowerment programs can contribute to measurable improvements in educational equity and social inclusion.</w:t>
      </w:r>
    </w:p>
    <w:p w14:paraId="3240AA78" w14:textId="77777777" w:rsidR="00167B15" w:rsidRPr="00E8515F" w:rsidRDefault="00167B15" w:rsidP="00167B15">
      <w:pPr>
        <w:spacing w:after="0" w:line="240" w:lineRule="auto"/>
        <w:jc w:val="both"/>
        <w:rPr>
          <w:b/>
          <w:sz w:val="24"/>
          <w:szCs w:val="24"/>
        </w:rPr>
      </w:pPr>
    </w:p>
    <w:p w14:paraId="75D88DFD" w14:textId="5B1B7F3F" w:rsidR="00167B15" w:rsidRPr="00997B92" w:rsidRDefault="00997B92" w:rsidP="00167B15">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REFERENCES</w:t>
      </w:r>
    </w:p>
    <w:p w14:paraId="0F19B8AF" w14:textId="4155C505"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sz w:val="24"/>
          <w:szCs w:val="24"/>
        </w:rPr>
        <w:fldChar w:fldCharType="begin" w:fldLock="1"/>
      </w:r>
      <w:r w:rsidRPr="006A3428">
        <w:rPr>
          <w:rFonts w:asciiTheme="majorBidi" w:hAnsiTheme="majorBidi" w:cstheme="majorBidi"/>
          <w:sz w:val="24"/>
          <w:szCs w:val="24"/>
        </w:rPr>
        <w:instrText xml:space="preserve">ADDIN Mendeley Bibliography CSL_BIBLIOGRAPHY </w:instrText>
      </w:r>
      <w:r w:rsidRPr="006A3428">
        <w:rPr>
          <w:rFonts w:asciiTheme="majorBidi" w:hAnsiTheme="majorBidi" w:cstheme="majorBidi"/>
          <w:sz w:val="24"/>
          <w:szCs w:val="24"/>
        </w:rPr>
        <w:fldChar w:fldCharType="separate"/>
      </w:r>
      <w:r w:rsidRPr="006A3428">
        <w:rPr>
          <w:rFonts w:asciiTheme="majorBidi" w:hAnsiTheme="majorBidi" w:cstheme="majorBidi"/>
          <w:noProof/>
          <w:sz w:val="24"/>
          <w:szCs w:val="24"/>
        </w:rPr>
        <w:t xml:space="preserve">Al Ayyubi, I. I., Rahmawati, S., Trimulyati, S. H., &amp; Setiawati, T. (2025). The Influence of Manipulative Media Usage on Students’ Understanding of Fraction Operations in Elementary Schools. </w:t>
      </w:r>
      <w:r w:rsidRPr="006A3428">
        <w:rPr>
          <w:rFonts w:asciiTheme="majorBidi" w:hAnsiTheme="majorBidi" w:cstheme="majorBidi"/>
          <w:i/>
          <w:iCs/>
          <w:noProof/>
          <w:sz w:val="24"/>
          <w:szCs w:val="24"/>
        </w:rPr>
        <w:t>Noumerico: Journal of Technology in Mathematics Education</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3</w:t>
      </w:r>
      <w:r w:rsidRPr="006A3428">
        <w:rPr>
          <w:rFonts w:asciiTheme="majorBidi" w:hAnsiTheme="majorBidi" w:cstheme="majorBidi"/>
          <w:noProof/>
          <w:sz w:val="24"/>
          <w:szCs w:val="24"/>
        </w:rPr>
        <w:t>(1), 11–25. https://doi.org/https://doi.org/10.33367/jtme.v3i1.6700</w:t>
      </w:r>
    </w:p>
    <w:p w14:paraId="68CECE57"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Al Ayyubi, I. I., Rohmatulloh, R., Suryana, I., &amp; Wijaya, T. T. (2024). Improving Students’ Creative Thinking Skills Assisted by GeoGebra Software. </w:t>
      </w:r>
      <w:r w:rsidRPr="006A3428">
        <w:rPr>
          <w:rFonts w:asciiTheme="majorBidi" w:hAnsiTheme="majorBidi" w:cstheme="majorBidi"/>
          <w:i/>
          <w:iCs/>
          <w:noProof/>
          <w:sz w:val="24"/>
          <w:szCs w:val="24"/>
        </w:rPr>
        <w:t>Noumerico: Journal of Technology in Mathematics Education</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2</w:t>
      </w:r>
      <w:r w:rsidRPr="006A3428">
        <w:rPr>
          <w:rFonts w:asciiTheme="majorBidi" w:hAnsiTheme="majorBidi" w:cstheme="majorBidi"/>
          <w:noProof/>
          <w:sz w:val="24"/>
          <w:szCs w:val="24"/>
        </w:rPr>
        <w:t>(1), 23–34. https://doi.org/https://doi.org/10.33367/jtme.v2i1.4244</w:t>
      </w:r>
    </w:p>
    <w:p w14:paraId="60CEC55B"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Al Ayyubi, I. I., Suryana, I., Andirani, A., Masfuroh, A. S., &amp; Noerzanah, F. (2024). The Existence of Nahdlatul Ulama Da’wah in the Era of Digitalization and Disruption. </w:t>
      </w:r>
      <w:r w:rsidRPr="006A3428">
        <w:rPr>
          <w:rFonts w:asciiTheme="majorBidi" w:hAnsiTheme="majorBidi" w:cstheme="majorBidi"/>
          <w:i/>
          <w:iCs/>
          <w:noProof/>
          <w:sz w:val="24"/>
          <w:szCs w:val="24"/>
        </w:rPr>
        <w:t>Wasilatuna: Jurnal Komunikasi Dan Penyiaran Islam</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7</w:t>
      </w:r>
      <w:r w:rsidRPr="006A3428">
        <w:rPr>
          <w:rFonts w:asciiTheme="majorBidi" w:hAnsiTheme="majorBidi" w:cstheme="majorBidi"/>
          <w:noProof/>
          <w:sz w:val="24"/>
          <w:szCs w:val="24"/>
        </w:rPr>
        <w:t>(1), 112–127. https://doi.org/https://doi.org/10.38073/wasilatuna.v7i01.1468</w:t>
      </w:r>
    </w:p>
    <w:p w14:paraId="77762785"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Amilevna, A. N. (2023). Issues on the pedagogical thought and pedagogical practice of eastern thinkers. </w:t>
      </w:r>
      <w:r w:rsidRPr="006A3428">
        <w:rPr>
          <w:rFonts w:asciiTheme="majorBidi" w:hAnsiTheme="majorBidi" w:cstheme="majorBidi"/>
          <w:i/>
          <w:iCs/>
          <w:noProof/>
          <w:sz w:val="24"/>
          <w:szCs w:val="24"/>
        </w:rPr>
        <w:t>JETT</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14</w:t>
      </w:r>
      <w:r w:rsidRPr="006A3428">
        <w:rPr>
          <w:rFonts w:asciiTheme="majorBidi" w:hAnsiTheme="majorBidi" w:cstheme="majorBidi"/>
          <w:noProof/>
          <w:sz w:val="24"/>
          <w:szCs w:val="24"/>
        </w:rPr>
        <w:t>(2), 578–583. https://dialnet.unirioja.es/servlet/articulo?codigo=8932196</w:t>
      </w:r>
    </w:p>
    <w:p w14:paraId="0AD71600"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Arfadila, A., Aulia, E. R. N., Nugraha, R. W., &amp; Humaeroh, S. (2022). Penerapan e-learning dalam inovasi pendidikan untuk meningkatkan kemampuan literasi digital siswa. </w:t>
      </w:r>
      <w:r w:rsidRPr="006A3428">
        <w:rPr>
          <w:rFonts w:asciiTheme="majorBidi" w:hAnsiTheme="majorBidi" w:cstheme="majorBidi"/>
          <w:i/>
          <w:iCs/>
          <w:noProof/>
          <w:sz w:val="24"/>
          <w:szCs w:val="24"/>
        </w:rPr>
        <w:t>Jurnal Pendidikan Sosiologi Dan Humaniora</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13</w:t>
      </w:r>
      <w:r w:rsidRPr="006A3428">
        <w:rPr>
          <w:rFonts w:asciiTheme="majorBidi" w:hAnsiTheme="majorBidi" w:cstheme="majorBidi"/>
          <w:noProof/>
          <w:sz w:val="24"/>
          <w:szCs w:val="24"/>
        </w:rPr>
        <w:t>(2), 392–399. https://doi.org/http://dx.doi.org/10.26418/j-psh.v13i2.54771</w:t>
      </w:r>
    </w:p>
    <w:p w14:paraId="7873BB10"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Creswell, J. W., &amp; Creswell, J. D. (2017). </w:t>
      </w:r>
      <w:r w:rsidRPr="006A3428">
        <w:rPr>
          <w:rFonts w:asciiTheme="majorBidi" w:hAnsiTheme="majorBidi" w:cstheme="majorBidi"/>
          <w:i/>
          <w:iCs/>
          <w:noProof/>
          <w:sz w:val="24"/>
          <w:szCs w:val="24"/>
        </w:rPr>
        <w:t>Research design: Qualitative, quantitative, and mixed methods approaches</w:t>
      </w:r>
      <w:r w:rsidRPr="006A3428">
        <w:rPr>
          <w:rFonts w:asciiTheme="majorBidi" w:hAnsiTheme="majorBidi" w:cstheme="majorBidi"/>
          <w:noProof/>
          <w:sz w:val="24"/>
          <w:szCs w:val="24"/>
        </w:rPr>
        <w:t>. Sage publications.</w:t>
      </w:r>
    </w:p>
    <w:p w14:paraId="0ADC5671"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da Silva, M. L. F., &amp; da Silva Rodrigues, A. J. (2018). A new digital method to recover the state of art: systematic literature review (SLR). </w:t>
      </w:r>
      <w:r w:rsidRPr="006A3428">
        <w:rPr>
          <w:rFonts w:asciiTheme="majorBidi" w:hAnsiTheme="majorBidi" w:cstheme="majorBidi"/>
          <w:i/>
          <w:iCs/>
          <w:noProof/>
          <w:sz w:val="24"/>
          <w:szCs w:val="24"/>
        </w:rPr>
        <w:t>Revista Inclusiones</w:t>
      </w:r>
      <w:r w:rsidRPr="006A3428">
        <w:rPr>
          <w:rFonts w:asciiTheme="majorBidi" w:hAnsiTheme="majorBidi" w:cstheme="majorBidi"/>
          <w:noProof/>
          <w:sz w:val="24"/>
          <w:szCs w:val="24"/>
        </w:rPr>
        <w:t>, 12–31.</w:t>
      </w:r>
    </w:p>
    <w:p w14:paraId="41ECE9D1"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Dvir, M., Almhanni, G., Qaisar, H., Calvin, A. D., &amp; Tallarita, T. (2024). When Occipital Artery Biopsy is Preferred to temporal biopsy for giant cell arteritis: a Step-By-Step description of the Surgical technique. </w:t>
      </w:r>
      <w:r w:rsidRPr="006A3428">
        <w:rPr>
          <w:rFonts w:asciiTheme="majorBidi" w:hAnsiTheme="majorBidi" w:cstheme="majorBidi"/>
          <w:i/>
          <w:iCs/>
          <w:noProof/>
          <w:sz w:val="24"/>
          <w:szCs w:val="24"/>
        </w:rPr>
        <w:t>Mayo Clinic Proceedings: Innovations, Quality &amp; Outcomes</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8</w:t>
      </w:r>
      <w:r w:rsidRPr="006A3428">
        <w:rPr>
          <w:rFonts w:asciiTheme="majorBidi" w:hAnsiTheme="majorBidi" w:cstheme="majorBidi"/>
          <w:noProof/>
          <w:sz w:val="24"/>
          <w:szCs w:val="24"/>
        </w:rPr>
        <w:t>(1), 53–57. https://doi.org/10.1016/j.mayocpiq</w:t>
      </w:r>
      <w:r w:rsidRPr="006A3428">
        <w:rPr>
          <w:rFonts w:asciiTheme="majorBidi" w:hAnsiTheme="majorBidi" w:cstheme="majorBidi"/>
          <w:noProof/>
          <w:sz w:val="24"/>
          <w:szCs w:val="24"/>
        </w:rPr>
        <w:lastRenderedPageBreak/>
        <w:t>o.2023.12.005</w:t>
      </w:r>
    </w:p>
    <w:p w14:paraId="38D2DCAE"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Farias-Gaytan, S., Aguaded, I., &amp; Ramirez-Montoya, M.-S. (2022). Transformation and digital literacy: Systematic literature mapping. </w:t>
      </w:r>
      <w:r w:rsidRPr="006A3428">
        <w:rPr>
          <w:rFonts w:asciiTheme="majorBidi" w:hAnsiTheme="majorBidi" w:cstheme="majorBidi"/>
          <w:i/>
          <w:iCs/>
          <w:noProof/>
          <w:sz w:val="24"/>
          <w:szCs w:val="24"/>
        </w:rPr>
        <w:t>Education and Information Technologies</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27</w:t>
      </w:r>
      <w:r w:rsidRPr="006A3428">
        <w:rPr>
          <w:rFonts w:asciiTheme="majorBidi" w:hAnsiTheme="majorBidi" w:cstheme="majorBidi"/>
          <w:noProof/>
          <w:sz w:val="24"/>
          <w:szCs w:val="24"/>
        </w:rPr>
        <w:t>(2), 1417–1437. https://doi.org/https://doi.org/10.1007/s10639-021-10624-x</w:t>
      </w:r>
    </w:p>
    <w:p w14:paraId="0C68CC51"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Fauzi, H. A. H., Hidayat, W., Al Ayyubi, I. I., Nurhikmah, &amp; Al-Ghatnaini, R. A. S. (2025). Work Stress Levels At Madrasah Tsanawiyah Arrukhshatul’ulum: The Challenges of Digitalization in Developing Islamic Educational Institutions. </w:t>
      </w:r>
      <w:r w:rsidRPr="006A3428">
        <w:rPr>
          <w:rFonts w:asciiTheme="majorBidi" w:hAnsiTheme="majorBidi" w:cstheme="majorBidi"/>
          <w:i/>
          <w:iCs/>
          <w:noProof/>
          <w:sz w:val="24"/>
          <w:szCs w:val="24"/>
        </w:rPr>
        <w:t>Mudir: Jurnal Manajemen Pendidikan</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7</w:t>
      </w:r>
      <w:r w:rsidRPr="006A3428">
        <w:rPr>
          <w:rFonts w:asciiTheme="majorBidi" w:hAnsiTheme="majorBidi" w:cstheme="majorBidi"/>
          <w:noProof/>
          <w:sz w:val="24"/>
          <w:szCs w:val="24"/>
        </w:rPr>
        <w:t>(1), 19–27. https://doi.org/https://doi.org/10.55352/mudir.v7i1.1469</w:t>
      </w:r>
    </w:p>
    <w:p w14:paraId="2B72EF62"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Karisna, N. N. (2022). Ontologi, Epistimologi, dan Aksiologi dalam Perspektif Filsafat Ilmu Dakwah di Era Komunikasi Digital. </w:t>
      </w:r>
      <w:r w:rsidRPr="006A3428">
        <w:rPr>
          <w:rFonts w:asciiTheme="majorBidi" w:hAnsiTheme="majorBidi" w:cstheme="majorBidi"/>
          <w:i/>
          <w:iCs/>
          <w:noProof/>
          <w:sz w:val="24"/>
          <w:szCs w:val="24"/>
        </w:rPr>
        <w:t>JISAP Journal of Islamic Communication and Broadcasting</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2</w:t>
      </w:r>
      <w:r w:rsidRPr="006A3428">
        <w:rPr>
          <w:rFonts w:asciiTheme="majorBidi" w:hAnsiTheme="majorBidi" w:cstheme="majorBidi"/>
          <w:noProof/>
          <w:sz w:val="24"/>
          <w:szCs w:val="24"/>
        </w:rPr>
        <w:t>(1), 66–81. https://doi.org/https://doi.org/10.53515/jisab.v2i1.17</w:t>
      </w:r>
    </w:p>
    <w:p w14:paraId="73563FAA"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Khoirroni, I. A., Patinasarani, R., Hermayanti, N. I., &amp; Santoso, G. (2023). Pendidikan Karakter: Tingkat Anak Sekolah Dasar di Era Digital. </w:t>
      </w:r>
      <w:r w:rsidRPr="006A3428">
        <w:rPr>
          <w:rFonts w:asciiTheme="majorBidi" w:hAnsiTheme="majorBidi" w:cstheme="majorBidi"/>
          <w:i/>
          <w:iCs/>
          <w:noProof/>
          <w:sz w:val="24"/>
          <w:szCs w:val="24"/>
        </w:rPr>
        <w:t>Jurnal Pendidikan Transformatif</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2</w:t>
      </w:r>
      <w:r w:rsidRPr="006A3428">
        <w:rPr>
          <w:rFonts w:asciiTheme="majorBidi" w:hAnsiTheme="majorBidi" w:cstheme="majorBidi"/>
          <w:noProof/>
          <w:sz w:val="24"/>
          <w:szCs w:val="24"/>
        </w:rPr>
        <w:t>(2), 269–279. https://doi.org/https://doi.org/10.9000/jpt.v2i2.372</w:t>
      </w:r>
    </w:p>
    <w:p w14:paraId="4ED55E62"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Knight, J., Dooly, M., &amp; Barberà, E. (2023). Getting smart: Towards critical digital literacy pedagogies. </w:t>
      </w:r>
      <w:r w:rsidRPr="006A3428">
        <w:rPr>
          <w:rFonts w:asciiTheme="majorBidi" w:hAnsiTheme="majorBidi" w:cstheme="majorBidi"/>
          <w:i/>
          <w:iCs/>
          <w:noProof/>
          <w:sz w:val="24"/>
          <w:szCs w:val="24"/>
        </w:rPr>
        <w:t>Social Semiotics</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33</w:t>
      </w:r>
      <w:r w:rsidRPr="006A3428">
        <w:rPr>
          <w:rFonts w:asciiTheme="majorBidi" w:hAnsiTheme="majorBidi" w:cstheme="majorBidi"/>
          <w:noProof/>
          <w:sz w:val="24"/>
          <w:szCs w:val="24"/>
        </w:rPr>
        <w:t>(2), 326–349. https://doi.org/https://doi.org/10.1080/10350330.2020.1836815</w:t>
      </w:r>
    </w:p>
    <w:p w14:paraId="6A92B8BB"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Tinmaz, H., Fanea-Ivanovici, M., &amp; Baber, H. (2023). A snapshot of </w:t>
      </w:r>
      <w:r w:rsidRPr="006A3428">
        <w:rPr>
          <w:rFonts w:asciiTheme="majorBidi" w:hAnsiTheme="majorBidi" w:cstheme="majorBidi"/>
          <w:noProof/>
          <w:sz w:val="24"/>
          <w:szCs w:val="24"/>
        </w:rPr>
        <w:t xml:space="preserve">digital literacy. </w:t>
      </w:r>
      <w:r w:rsidRPr="006A3428">
        <w:rPr>
          <w:rFonts w:asciiTheme="majorBidi" w:hAnsiTheme="majorBidi" w:cstheme="majorBidi"/>
          <w:i/>
          <w:iCs/>
          <w:noProof/>
          <w:sz w:val="24"/>
          <w:szCs w:val="24"/>
        </w:rPr>
        <w:t>Library Hi Tech News</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40</w:t>
      </w:r>
      <w:r w:rsidRPr="006A3428">
        <w:rPr>
          <w:rFonts w:asciiTheme="majorBidi" w:hAnsiTheme="majorBidi" w:cstheme="majorBidi"/>
          <w:noProof/>
          <w:sz w:val="24"/>
          <w:szCs w:val="24"/>
        </w:rPr>
        <w:t>(1), 20–23. https://doi.org/https://doi.org/10.1108/LHTN-12-2021-0095</w:t>
      </w:r>
    </w:p>
    <w:p w14:paraId="19C5C3B0" w14:textId="77777777" w:rsidR="006A3428" w:rsidRPr="006A3428" w:rsidRDefault="006A3428" w:rsidP="006A3428">
      <w:pPr>
        <w:widowControl w:val="0"/>
        <w:autoSpaceDE w:val="0"/>
        <w:autoSpaceDN w:val="0"/>
        <w:adjustRightInd w:val="0"/>
        <w:spacing w:after="0" w:line="240" w:lineRule="auto"/>
        <w:ind w:left="480" w:hanging="480"/>
        <w:jc w:val="both"/>
        <w:rPr>
          <w:rFonts w:asciiTheme="majorBidi" w:hAnsiTheme="majorBidi" w:cstheme="majorBidi"/>
          <w:noProof/>
          <w:sz w:val="24"/>
          <w:szCs w:val="24"/>
        </w:rPr>
      </w:pPr>
      <w:r w:rsidRPr="006A3428">
        <w:rPr>
          <w:rFonts w:asciiTheme="majorBidi" w:hAnsiTheme="majorBidi" w:cstheme="majorBidi"/>
          <w:noProof/>
          <w:sz w:val="24"/>
          <w:szCs w:val="24"/>
        </w:rPr>
        <w:t xml:space="preserve">Windari, M. R., Prihatin, J., &amp; Fikri, K. (2023). The Effectiveness of Digital Textbooks on Brain-based Learning assisted by Animated Videos and Maze Chase-Wordwall on Science Literacy Skills and Student Learning Outcomes. </w:t>
      </w:r>
      <w:r w:rsidRPr="006A3428">
        <w:rPr>
          <w:rFonts w:asciiTheme="majorBidi" w:hAnsiTheme="majorBidi" w:cstheme="majorBidi"/>
          <w:i/>
          <w:iCs/>
          <w:noProof/>
          <w:sz w:val="24"/>
          <w:szCs w:val="24"/>
        </w:rPr>
        <w:t>Biosfer: Jurnal Tadris Biologi</w:t>
      </w:r>
      <w:r w:rsidRPr="006A3428">
        <w:rPr>
          <w:rFonts w:asciiTheme="majorBidi" w:hAnsiTheme="majorBidi" w:cstheme="majorBidi"/>
          <w:noProof/>
          <w:sz w:val="24"/>
          <w:szCs w:val="24"/>
        </w:rPr>
        <w:t xml:space="preserve">, </w:t>
      </w:r>
      <w:r w:rsidRPr="006A3428">
        <w:rPr>
          <w:rFonts w:asciiTheme="majorBidi" w:hAnsiTheme="majorBidi" w:cstheme="majorBidi"/>
          <w:i/>
          <w:iCs/>
          <w:noProof/>
          <w:sz w:val="24"/>
          <w:szCs w:val="24"/>
        </w:rPr>
        <w:t>14</w:t>
      </w:r>
      <w:r w:rsidRPr="006A3428">
        <w:rPr>
          <w:rFonts w:asciiTheme="majorBidi" w:hAnsiTheme="majorBidi" w:cstheme="majorBidi"/>
          <w:noProof/>
          <w:sz w:val="24"/>
          <w:szCs w:val="24"/>
        </w:rPr>
        <w:t>(1), 79–88. https://doi.org/http://dx.doi.org/10.24042/biosfer.v14i1.16891</w:t>
      </w:r>
    </w:p>
    <w:p w14:paraId="10903B18" w14:textId="1B3452B6" w:rsidR="009121CD" w:rsidRDefault="006A3428" w:rsidP="006A3428">
      <w:pPr>
        <w:spacing w:after="0" w:line="240" w:lineRule="auto"/>
        <w:jc w:val="both"/>
      </w:pPr>
      <w:r w:rsidRPr="006A3428">
        <w:rPr>
          <w:rFonts w:asciiTheme="majorBidi" w:hAnsiTheme="majorBidi" w:cstheme="majorBidi"/>
          <w:sz w:val="24"/>
          <w:szCs w:val="24"/>
        </w:rPr>
        <w:fldChar w:fldCharType="end"/>
      </w:r>
    </w:p>
    <w:p w14:paraId="3D3ACBBA" w14:textId="13A66A1A" w:rsidR="008A0B68" w:rsidRDefault="008A0B68" w:rsidP="00EA5C5F">
      <w:pPr>
        <w:spacing w:after="0" w:line="240" w:lineRule="auto"/>
      </w:pPr>
    </w:p>
    <w:p w14:paraId="72411E84" w14:textId="473C9B33" w:rsidR="008A0B68" w:rsidRDefault="008A0B68" w:rsidP="00EA5C5F">
      <w:pPr>
        <w:spacing w:after="0" w:line="240" w:lineRule="auto"/>
      </w:pPr>
    </w:p>
    <w:p w14:paraId="0B7F8577" w14:textId="362FDCDB" w:rsidR="008A0B68" w:rsidRDefault="008A0B68" w:rsidP="00EA5C5F">
      <w:pPr>
        <w:spacing w:after="0" w:line="240" w:lineRule="auto"/>
      </w:pPr>
    </w:p>
    <w:p w14:paraId="653880FE" w14:textId="43B97C65" w:rsidR="008A0B68" w:rsidRDefault="008A0B68" w:rsidP="00EA5C5F">
      <w:pPr>
        <w:spacing w:after="0" w:line="240" w:lineRule="auto"/>
      </w:pPr>
    </w:p>
    <w:p w14:paraId="3DE60CA7" w14:textId="3D8033F7" w:rsidR="008A0B68" w:rsidRDefault="008A0B68" w:rsidP="00EA5C5F">
      <w:pPr>
        <w:spacing w:after="0" w:line="240" w:lineRule="auto"/>
      </w:pPr>
    </w:p>
    <w:p w14:paraId="7A5667A3" w14:textId="5FD2E168" w:rsidR="008A0B68" w:rsidRDefault="008A0B68" w:rsidP="00EA5C5F">
      <w:pPr>
        <w:spacing w:after="0" w:line="240" w:lineRule="auto"/>
      </w:pPr>
    </w:p>
    <w:p w14:paraId="381E4319" w14:textId="77777777" w:rsidR="008A0B68" w:rsidRPr="00EA5C5F" w:rsidRDefault="008A0B68" w:rsidP="00EA5C5F">
      <w:pPr>
        <w:spacing w:after="0" w:line="240" w:lineRule="auto"/>
      </w:pPr>
    </w:p>
    <w:sectPr w:rsidR="008A0B68" w:rsidRPr="00EA5C5F" w:rsidSect="00122333">
      <w:headerReference w:type="even" r:id="rId11"/>
      <w:headerReference w:type="default" r:id="rId12"/>
      <w:footerReference w:type="even" r:id="rId13"/>
      <w:type w:val="continuous"/>
      <w:pgSz w:w="11907" w:h="16839"/>
      <w:pgMar w:top="1701" w:right="1701" w:bottom="1701" w:left="1701" w:header="708" w:footer="708" w:gutter="0"/>
      <w:cols w:num="2" w:space="720" w:equalWidth="0">
        <w:col w:w="3898" w:space="708"/>
        <w:col w:w="389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2F68F" w14:textId="77777777" w:rsidR="00F070E9" w:rsidRDefault="00F070E9">
      <w:pPr>
        <w:spacing w:after="0" w:line="240" w:lineRule="auto"/>
      </w:pPr>
      <w:r>
        <w:separator/>
      </w:r>
    </w:p>
  </w:endnote>
  <w:endnote w:type="continuationSeparator" w:id="0">
    <w:p w14:paraId="57C13CEE" w14:textId="77777777" w:rsidR="00F070E9" w:rsidRDefault="00F07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D95B" w14:textId="77777777"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r>
      <w:rPr>
        <w:b/>
        <w:color w:val="000000"/>
      </w:rPr>
      <w:t xml:space="preserve"> </w:t>
    </w:r>
    <w:r>
      <w:rPr>
        <w:b/>
        <w:color w:val="000000"/>
      </w:rPr>
      <w:t xml:space="preserve">| </w:t>
    </w:r>
    <w:r>
      <w:rPr>
        <w:rFonts w:ascii="Times New Roman" w:eastAsia="Times New Roman" w:hAnsi="Times New Roman" w:cs="Times New Roman"/>
        <w:color w:val="000000"/>
        <w:sz w:val="20"/>
        <w:szCs w:val="20"/>
      </w:rPr>
      <w:t>Aksioma</w:t>
    </w:r>
  </w:p>
  <w:p w14:paraId="5F7E606F" w14:textId="77777777" w:rsidR="00EA5C5F" w:rsidRDefault="00EA5C5F">
    <w:pPr>
      <w:pBdr>
        <w:top w:val="nil"/>
        <w:left w:val="nil"/>
        <w:bottom w:val="nil"/>
        <w:right w:val="nil"/>
        <w:between w:val="nil"/>
      </w:pBdr>
      <w:tabs>
        <w:tab w:val="center" w:pos="4680"/>
        <w:tab w:val="right" w:pos="9360"/>
      </w:tabs>
      <w:spacing w:after="0" w:line="240" w:lineRule="auto"/>
      <w:ind w:left="426" w:hanging="42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Jurnal Pendidikan Matematika FKIP </w:t>
    </w:r>
    <w:proofErr w:type="spellStart"/>
    <w:r>
      <w:rPr>
        <w:rFonts w:ascii="Times New Roman" w:eastAsia="Times New Roman" w:hAnsi="Times New Roman" w:cs="Times New Roman"/>
        <w:color w:val="000000"/>
        <w:sz w:val="18"/>
        <w:szCs w:val="18"/>
      </w:rPr>
      <w:t>Univ</w:t>
    </w:r>
    <w:proofErr w:type="spellEnd"/>
    <w:r>
      <w:rPr>
        <w:rFonts w:ascii="Times New Roman" w:eastAsia="Times New Roman" w:hAnsi="Times New Roman" w:cs="Times New Roman"/>
        <w:color w:val="000000"/>
        <w:sz w:val="18"/>
        <w:szCs w:val="18"/>
      </w:rPr>
      <w:t>. Muhammadiyah Metro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680A" w14:textId="77777777" w:rsidR="00D90AF4" w:rsidRDefault="003D4D3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end"/>
    </w:r>
    <w:r>
      <w:rPr>
        <w:b/>
        <w:color w:val="000000"/>
      </w:rPr>
      <w:t xml:space="preserve"> </w:t>
    </w:r>
    <w:r>
      <w:rPr>
        <w:b/>
        <w:color w:val="000000"/>
      </w:rPr>
      <w:t xml:space="preserve">| </w:t>
    </w:r>
    <w:r>
      <w:rPr>
        <w:rFonts w:ascii="Times New Roman" w:eastAsia="Times New Roman" w:hAnsi="Times New Roman" w:cs="Times New Roman"/>
        <w:color w:val="000000"/>
        <w:sz w:val="20"/>
        <w:szCs w:val="20"/>
      </w:rPr>
      <w:t>Aksioma</w:t>
    </w:r>
  </w:p>
  <w:p w14:paraId="26BC4AD6" w14:textId="77777777" w:rsidR="00D90AF4" w:rsidRDefault="003D4D3E">
    <w:pPr>
      <w:pBdr>
        <w:top w:val="nil"/>
        <w:left w:val="nil"/>
        <w:bottom w:val="nil"/>
        <w:right w:val="nil"/>
        <w:between w:val="nil"/>
      </w:pBdr>
      <w:tabs>
        <w:tab w:val="center" w:pos="4680"/>
        <w:tab w:val="right" w:pos="9360"/>
      </w:tabs>
      <w:spacing w:after="0" w:line="240" w:lineRule="auto"/>
      <w:ind w:left="426" w:hanging="42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Jurnal Pendidikan Matematika FKIP </w:t>
    </w:r>
    <w:proofErr w:type="spellStart"/>
    <w:r>
      <w:rPr>
        <w:rFonts w:ascii="Times New Roman" w:eastAsia="Times New Roman" w:hAnsi="Times New Roman" w:cs="Times New Roman"/>
        <w:color w:val="000000"/>
        <w:sz w:val="18"/>
        <w:szCs w:val="18"/>
      </w:rPr>
      <w:t>Univ</w:t>
    </w:r>
    <w:proofErr w:type="spellEnd"/>
    <w:r>
      <w:rPr>
        <w:rFonts w:ascii="Times New Roman" w:eastAsia="Times New Roman" w:hAnsi="Times New Roman" w:cs="Times New Roman"/>
        <w:color w:val="000000"/>
        <w:sz w:val="18"/>
        <w:szCs w:val="18"/>
      </w:rPr>
      <w:t>. Muhammadiyah Metro</w:t>
    </w:r>
  </w:p>
  <w:p w14:paraId="272686D4" w14:textId="77777777" w:rsidR="005D2DDA" w:rsidRDefault="005D2D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29077" w14:textId="77777777" w:rsidR="00F070E9" w:rsidRDefault="00F070E9">
      <w:pPr>
        <w:spacing w:after="0" w:line="240" w:lineRule="auto"/>
      </w:pPr>
      <w:r>
        <w:separator/>
      </w:r>
    </w:p>
  </w:footnote>
  <w:footnote w:type="continuationSeparator" w:id="0">
    <w:p w14:paraId="0328CF3C" w14:textId="77777777" w:rsidR="00F070E9" w:rsidRDefault="00F07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5436" w14:textId="77777777" w:rsidR="00EA5C5F" w:rsidRDefault="00EA5C5F">
    <w:pPr>
      <w:pBdr>
        <w:top w:val="nil"/>
        <w:left w:val="nil"/>
        <w:bottom w:val="nil"/>
        <w:right w:val="nil"/>
        <w:between w:val="nil"/>
      </w:pBdr>
      <w:tabs>
        <w:tab w:val="center" w:pos="4680"/>
        <w:tab w:val="right" w:pos="9360"/>
        <w:tab w:val="left" w:pos="5515"/>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ISSN 2089-8703 Vol. 4, No. 1 (2015) 92-94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828F" w14:textId="635C3A23"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noProof/>
      </w:rPr>
      <w:drawing>
        <wp:anchor distT="0" distB="0" distL="114300" distR="114300" simplePos="0" relativeHeight="251658240" behindDoc="0" locked="0" layoutInCell="1" allowOverlap="1" wp14:anchorId="6E4C7890" wp14:editId="06396820">
          <wp:simplePos x="0" y="0"/>
          <wp:positionH relativeFrom="column">
            <wp:posOffset>-3810</wp:posOffset>
          </wp:positionH>
          <wp:positionV relativeFrom="paragraph">
            <wp:posOffset>-174625</wp:posOffset>
          </wp:positionV>
          <wp:extent cx="1162050" cy="581093"/>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58109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Print</w:t>
    </w:r>
    <w:proofErr w:type="spellEnd"/>
    <w:r>
      <w:rPr>
        <w:rFonts w:ascii="Times New Roman" w:eastAsia="Times New Roman" w:hAnsi="Times New Roman" w:cs="Times New Roman"/>
        <w:sz w:val="20"/>
        <w:szCs w:val="20"/>
      </w:rPr>
      <w:t xml:space="preserve">)   </w:t>
    </w:r>
  </w:p>
  <w:p w14:paraId="59057F3D"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(Online)</w:t>
    </w:r>
  </w:p>
  <w:p w14:paraId="1980CA91" w14:textId="42EF3874" w:rsidR="00EA5C5F" w:rsidRPr="002B14A0" w:rsidRDefault="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sz w:val="23"/>
        <w:szCs w:val="23"/>
      </w:rPr>
    </w:pPr>
    <w:r>
      <w:rPr>
        <w:rFonts w:ascii="Times New Roman" w:eastAsia="Times New Roman" w:hAnsi="Times New Roman" w:cs="Times New Roman"/>
        <w:sz w:val="20"/>
        <w:szCs w:val="20"/>
      </w:rPr>
      <w:tab/>
    </w:r>
    <w:r w:rsidR="00EA5C5F">
      <w:rPr>
        <w:rFonts w:ascii="Times New Roman" w:eastAsia="Times New Roman" w:hAnsi="Times New Roman" w:cs="Times New Roman"/>
        <w:sz w:val="20"/>
        <w:szCs w:val="20"/>
      </w:rPr>
      <w:t xml:space="preserve"> </w:t>
    </w:r>
  </w:p>
  <w:p w14:paraId="23227C69" w14:textId="77777777" w:rsidR="002B14A0" w:rsidRPr="002B14A0" w:rsidRDefault="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bCs/>
        <w:sz w:val="20"/>
        <w:szCs w:val="20"/>
      </w:rPr>
    </w:pPr>
    <w:r w:rsidRPr="002B14A0">
      <w:rPr>
        <w:rFonts w:ascii="Times New Roman" w:eastAsia="Times New Roman" w:hAnsi="Times New Roman" w:cs="Times New Roman"/>
        <w:b/>
        <w:bCs/>
        <w:sz w:val="20"/>
        <w:szCs w:val="20"/>
      </w:rPr>
      <w:t>Jurnal Pendidikan, Sains, Teknologi, Sosial, dan Ekonomi Madani (JPSTEM)</w:t>
    </w:r>
  </w:p>
  <w:p w14:paraId="5D5F97DA" w14:textId="77777777" w:rsidR="002B14A0" w:rsidRDefault="00EA5C5F">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Volume 0, No. 0, 20xx, 00-00</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43422962" w14:textId="7FF0259C"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DOI:</w:t>
    </w:r>
    <w:r>
      <w:rPr>
        <w:rFonts w:ascii="Times New Roman" w:eastAsia="Times New Roman" w:hAnsi="Times New Roman" w:cs="Times New Roman"/>
        <w:b/>
        <w:color w:val="000000"/>
        <w:sz w:val="20"/>
        <w:szCs w:val="20"/>
      </w:rPr>
      <w:t xml:space="preserve"> </w:t>
    </w:r>
  </w:p>
  <w:p w14:paraId="5C3A6453" w14:textId="77777777" w:rsidR="00EA5C5F" w:rsidRDefault="00EA5C5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71FA" w14:textId="77777777" w:rsidR="00D90AF4" w:rsidRDefault="003D4D3E">
    <w:pPr>
      <w:pBdr>
        <w:top w:val="nil"/>
        <w:left w:val="nil"/>
        <w:bottom w:val="nil"/>
        <w:right w:val="nil"/>
        <w:between w:val="nil"/>
      </w:pBdr>
      <w:tabs>
        <w:tab w:val="center" w:pos="4680"/>
        <w:tab w:val="right" w:pos="9360"/>
        <w:tab w:val="left" w:pos="5515"/>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ISSN 2089-8703 Vol. 4, No. 1 (2015) 92-94</w:t>
    </w:r>
  </w:p>
  <w:p w14:paraId="063ED5E8" w14:textId="77777777" w:rsidR="005D2DDA" w:rsidRDefault="005D2DD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487C"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noProof/>
      </w:rPr>
      <w:drawing>
        <wp:anchor distT="0" distB="0" distL="114300" distR="114300" simplePos="0" relativeHeight="251660288" behindDoc="0" locked="0" layoutInCell="1" allowOverlap="1" wp14:anchorId="5BB367DD" wp14:editId="0CA46AFF">
          <wp:simplePos x="0" y="0"/>
          <wp:positionH relativeFrom="column">
            <wp:posOffset>-3810</wp:posOffset>
          </wp:positionH>
          <wp:positionV relativeFrom="paragraph">
            <wp:posOffset>-174625</wp:posOffset>
          </wp:positionV>
          <wp:extent cx="1162050" cy="581093"/>
          <wp:effectExtent l="0" t="0" r="0" b="0"/>
          <wp:wrapNone/>
          <wp:docPr id="148546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58109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Print</w:t>
    </w:r>
    <w:proofErr w:type="spellEnd"/>
    <w:r>
      <w:rPr>
        <w:rFonts w:ascii="Times New Roman" w:eastAsia="Times New Roman" w:hAnsi="Times New Roman" w:cs="Times New Roman"/>
        <w:sz w:val="20"/>
        <w:szCs w:val="20"/>
      </w:rPr>
      <w:t xml:space="preserve">)   </w:t>
    </w:r>
  </w:p>
  <w:p w14:paraId="65359250" w14:textId="77777777" w:rsidR="002B14A0" w:rsidRDefault="002B14A0" w:rsidP="002B14A0">
    <w:pPr>
      <w:tabs>
        <w:tab w:val="left" w:pos="1276"/>
        <w:tab w:val="center" w:pos="4513"/>
        <w:tab w:val="left" w:pos="5515"/>
        <w:tab w:val="left" w:pos="6379"/>
        <w:tab w:val="right" w:pos="9026"/>
      </w:tabs>
      <w:spacing w:after="0" w:line="240" w:lineRule="auto"/>
      <w:ind w:left="6379"/>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ISSN </w:t>
    </w:r>
    <w:proofErr w:type="spellStart"/>
    <w:r>
      <w:rPr>
        <w:rFonts w:ascii="Times New Roman" w:eastAsia="Times New Roman" w:hAnsi="Times New Roman" w:cs="Times New Roman"/>
        <w:sz w:val="20"/>
        <w:szCs w:val="20"/>
      </w:rPr>
      <w:t>xxxx-xxxx</w:t>
    </w:r>
    <w:proofErr w:type="spellEnd"/>
    <w:r>
      <w:rPr>
        <w:rFonts w:ascii="Times New Roman" w:eastAsia="Times New Roman" w:hAnsi="Times New Roman" w:cs="Times New Roman"/>
        <w:sz w:val="20"/>
        <w:szCs w:val="20"/>
      </w:rPr>
      <w:t xml:space="preserve"> (Online)</w:t>
    </w:r>
  </w:p>
  <w:p w14:paraId="533AFC06" w14:textId="77777777" w:rsidR="002B14A0" w:rsidRP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sz w:val="23"/>
        <w:szCs w:val="23"/>
      </w:rPr>
    </w:pPr>
    <w:r>
      <w:rPr>
        <w:rFonts w:ascii="Times New Roman" w:eastAsia="Times New Roman" w:hAnsi="Times New Roman" w:cs="Times New Roman"/>
        <w:sz w:val="20"/>
        <w:szCs w:val="20"/>
      </w:rPr>
      <w:tab/>
      <w:t xml:space="preserve"> </w:t>
    </w:r>
  </w:p>
  <w:p w14:paraId="18E360C7" w14:textId="77777777" w:rsidR="002B14A0" w:rsidRP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b/>
        <w:bCs/>
        <w:sz w:val="20"/>
        <w:szCs w:val="20"/>
      </w:rPr>
    </w:pPr>
    <w:r w:rsidRPr="002B14A0">
      <w:rPr>
        <w:rFonts w:ascii="Times New Roman" w:eastAsia="Times New Roman" w:hAnsi="Times New Roman" w:cs="Times New Roman"/>
        <w:b/>
        <w:bCs/>
        <w:sz w:val="20"/>
        <w:szCs w:val="20"/>
      </w:rPr>
      <w:t>Jurnal Pendidikan, Sains, Teknologi, Sosial, dan Ekonomi Madani (JPSTEM)</w:t>
    </w:r>
  </w:p>
  <w:p w14:paraId="660469AA" w14:textId="77777777" w:rsidR="002B14A0" w:rsidRDefault="002B14A0" w:rsidP="002B14A0">
    <w:pPr>
      <w:tabs>
        <w:tab w:val="left" w:pos="1276"/>
        <w:tab w:val="center" w:pos="4513"/>
        <w:tab w:val="left" w:pos="5515"/>
        <w:tab w:val="left" w:pos="6379"/>
        <w:tab w:val="right" w:pos="9026"/>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Volume 0, No. 0, 20xx, 00-00</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5F30FC62" w14:textId="52568183" w:rsidR="00D90AF4" w:rsidRDefault="002B14A0" w:rsidP="002B14A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DOI:</w:t>
    </w:r>
  </w:p>
  <w:p w14:paraId="5DEE7848" w14:textId="77777777" w:rsidR="005D2DDA" w:rsidRDefault="005D2D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01750"/>
    <w:multiLevelType w:val="multilevel"/>
    <w:tmpl w:val="3CA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A30A2"/>
    <w:multiLevelType w:val="multilevel"/>
    <w:tmpl w:val="F35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703D4"/>
    <w:multiLevelType w:val="multilevel"/>
    <w:tmpl w:val="170C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DF2D96"/>
    <w:multiLevelType w:val="multilevel"/>
    <w:tmpl w:val="0228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21C1A"/>
    <w:multiLevelType w:val="multilevel"/>
    <w:tmpl w:val="9ED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A72C8"/>
    <w:multiLevelType w:val="multilevel"/>
    <w:tmpl w:val="64EE5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DD3F8E"/>
    <w:multiLevelType w:val="multilevel"/>
    <w:tmpl w:val="CCC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746A7"/>
    <w:multiLevelType w:val="multilevel"/>
    <w:tmpl w:val="93F8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446BB0"/>
    <w:multiLevelType w:val="multilevel"/>
    <w:tmpl w:val="0D2E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0C73E2"/>
    <w:multiLevelType w:val="multilevel"/>
    <w:tmpl w:val="FC44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673650">
    <w:abstractNumId w:val="7"/>
  </w:num>
  <w:num w:numId="2" w16cid:durableId="1906527528">
    <w:abstractNumId w:val="3"/>
  </w:num>
  <w:num w:numId="3" w16cid:durableId="1743215511">
    <w:abstractNumId w:val="4"/>
  </w:num>
  <w:num w:numId="4" w16cid:durableId="2011984839">
    <w:abstractNumId w:val="8"/>
  </w:num>
  <w:num w:numId="5" w16cid:durableId="517350744">
    <w:abstractNumId w:val="0"/>
  </w:num>
  <w:num w:numId="6" w16cid:durableId="1308432437">
    <w:abstractNumId w:val="9"/>
  </w:num>
  <w:num w:numId="7" w16cid:durableId="1288899798">
    <w:abstractNumId w:val="5"/>
  </w:num>
  <w:num w:numId="8" w16cid:durableId="1875341328">
    <w:abstractNumId w:val="6"/>
  </w:num>
  <w:num w:numId="9" w16cid:durableId="151333906">
    <w:abstractNumId w:val="2"/>
  </w:num>
  <w:num w:numId="10" w16cid:durableId="197399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45"/>
    <w:rsid w:val="00044C6F"/>
    <w:rsid w:val="00050718"/>
    <w:rsid w:val="00112D31"/>
    <w:rsid w:val="00122333"/>
    <w:rsid w:val="00167B15"/>
    <w:rsid w:val="00177367"/>
    <w:rsid w:val="001A7959"/>
    <w:rsid w:val="001E0867"/>
    <w:rsid w:val="002B14A0"/>
    <w:rsid w:val="00375D45"/>
    <w:rsid w:val="003D4D3E"/>
    <w:rsid w:val="003F6D44"/>
    <w:rsid w:val="00422EC8"/>
    <w:rsid w:val="004A4D70"/>
    <w:rsid w:val="005616E7"/>
    <w:rsid w:val="00563095"/>
    <w:rsid w:val="00573F45"/>
    <w:rsid w:val="005D2DDA"/>
    <w:rsid w:val="005F2234"/>
    <w:rsid w:val="0062466E"/>
    <w:rsid w:val="006869C1"/>
    <w:rsid w:val="006A3428"/>
    <w:rsid w:val="006B51FC"/>
    <w:rsid w:val="006D57D0"/>
    <w:rsid w:val="00707543"/>
    <w:rsid w:val="007234DB"/>
    <w:rsid w:val="007E6A6F"/>
    <w:rsid w:val="00861638"/>
    <w:rsid w:val="008A0B68"/>
    <w:rsid w:val="0090453F"/>
    <w:rsid w:val="009121CD"/>
    <w:rsid w:val="00950C9E"/>
    <w:rsid w:val="00997B92"/>
    <w:rsid w:val="009B2838"/>
    <w:rsid w:val="009E2DA1"/>
    <w:rsid w:val="00A136E2"/>
    <w:rsid w:val="00A505C1"/>
    <w:rsid w:val="00A5277C"/>
    <w:rsid w:val="00A96B70"/>
    <w:rsid w:val="00B30636"/>
    <w:rsid w:val="00B33E9C"/>
    <w:rsid w:val="00B34036"/>
    <w:rsid w:val="00B55EC4"/>
    <w:rsid w:val="00C5415A"/>
    <w:rsid w:val="00C545C1"/>
    <w:rsid w:val="00CC7776"/>
    <w:rsid w:val="00D16E4C"/>
    <w:rsid w:val="00D90AF4"/>
    <w:rsid w:val="00D95D16"/>
    <w:rsid w:val="00DB0400"/>
    <w:rsid w:val="00E219FF"/>
    <w:rsid w:val="00E42CBA"/>
    <w:rsid w:val="00EA5C5F"/>
    <w:rsid w:val="00EC1129"/>
    <w:rsid w:val="00F070E9"/>
    <w:rsid w:val="00F27551"/>
    <w:rsid w:val="00F76453"/>
    <w:rsid w:val="00FF3E0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8AF2"/>
  <w15:chartTrackingRefBased/>
  <w15:docId w15:val="{597CB0BF-F252-4D3D-BC00-20C77195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333"/>
    <w:pPr>
      <w:spacing w:after="200" w:line="276" w:lineRule="auto"/>
    </w:pPr>
    <w:rPr>
      <w:rFonts w:ascii="Calibri" w:eastAsia="Calibri" w:hAnsi="Calibri" w:cs="Calibri"/>
      <w:kern w:val="0"/>
      <w:lang w:eastAsia="id-ID"/>
    </w:rPr>
  </w:style>
  <w:style w:type="paragraph" w:styleId="Heading2">
    <w:name w:val="heading 2"/>
    <w:basedOn w:val="Normal"/>
    <w:link w:val="Heading2Char"/>
    <w:uiPriority w:val="9"/>
    <w:qFormat/>
    <w:rsid w:val="006B51FC"/>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277C"/>
    <w:rPr>
      <w:color w:val="0563C1" w:themeColor="hyperlink"/>
      <w:u w:val="single"/>
    </w:rPr>
  </w:style>
  <w:style w:type="character" w:styleId="UnresolvedMention">
    <w:name w:val="Unresolved Mention"/>
    <w:basedOn w:val="DefaultParagraphFont"/>
    <w:uiPriority w:val="99"/>
    <w:semiHidden/>
    <w:unhideWhenUsed/>
    <w:rsid w:val="00A5277C"/>
    <w:rPr>
      <w:color w:val="605E5C"/>
      <w:shd w:val="clear" w:color="auto" w:fill="E1DFDD"/>
    </w:rPr>
  </w:style>
  <w:style w:type="paragraph" w:styleId="Footer">
    <w:name w:val="footer"/>
    <w:basedOn w:val="Normal"/>
    <w:link w:val="FooterChar"/>
    <w:uiPriority w:val="99"/>
    <w:unhideWhenUsed/>
    <w:rsid w:val="00B33E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E9C"/>
    <w:rPr>
      <w:rFonts w:ascii="Calibri" w:eastAsia="Calibri" w:hAnsi="Calibri" w:cs="Calibri"/>
      <w:kern w:val="0"/>
      <w:lang w:eastAsia="id-ID"/>
    </w:rPr>
  </w:style>
  <w:style w:type="paragraph" w:styleId="Header">
    <w:name w:val="header"/>
    <w:basedOn w:val="Normal"/>
    <w:link w:val="HeaderChar"/>
    <w:uiPriority w:val="99"/>
    <w:unhideWhenUsed/>
    <w:rsid w:val="00B33E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E9C"/>
    <w:rPr>
      <w:rFonts w:ascii="Calibri" w:eastAsia="Calibri" w:hAnsi="Calibri" w:cs="Calibri"/>
      <w:kern w:val="0"/>
      <w:lang w:eastAsia="id-ID"/>
    </w:rPr>
  </w:style>
  <w:style w:type="paragraph" w:customStyle="1" w:styleId="pdq2pgselectionanchorcontainer">
    <w:name w:val="pdq2pg_selectionanchorcontainer"/>
    <w:basedOn w:val="Normal"/>
    <w:rsid w:val="00DB0400"/>
    <w:pPr>
      <w:spacing w:before="100" w:beforeAutospacing="1" w:after="100" w:afterAutospacing="1" w:line="240" w:lineRule="auto"/>
    </w:pPr>
    <w:rPr>
      <w:rFonts w:ascii="Times New Roman" w:eastAsia="Times New Roman" w:hAnsi="Times New Roman" w:cs="Times New Roman"/>
      <w:sz w:val="24"/>
      <w:szCs w:val="24"/>
      <w:lang w:val="en-US" w:eastAsia="en-US"/>
      <w14:ligatures w14:val="none"/>
    </w:rPr>
  </w:style>
  <w:style w:type="paragraph" w:styleId="NormalWeb">
    <w:name w:val="Normal (Web)"/>
    <w:basedOn w:val="Normal"/>
    <w:uiPriority w:val="99"/>
    <w:semiHidden/>
    <w:unhideWhenUsed/>
    <w:rsid w:val="00DB0400"/>
    <w:pPr>
      <w:spacing w:before="100" w:beforeAutospacing="1" w:after="100" w:afterAutospacing="1" w:line="240" w:lineRule="auto"/>
    </w:pPr>
    <w:rPr>
      <w:rFonts w:ascii="Times New Roman" w:eastAsia="Times New Roman" w:hAnsi="Times New Roman" w:cs="Times New Roman"/>
      <w:sz w:val="24"/>
      <w:szCs w:val="24"/>
      <w:lang w:val="en-US" w:eastAsia="en-US"/>
      <w14:ligatures w14:val="none"/>
    </w:rPr>
  </w:style>
  <w:style w:type="character" w:customStyle="1" w:styleId="Heading2Char">
    <w:name w:val="Heading 2 Char"/>
    <w:basedOn w:val="DefaultParagraphFont"/>
    <w:link w:val="Heading2"/>
    <w:uiPriority w:val="9"/>
    <w:rsid w:val="006B51FC"/>
    <w:rPr>
      <w:rFonts w:ascii="Times New Roman" w:eastAsia="Times New Roman" w:hAnsi="Times New Roman" w:cs="Times New Roman"/>
      <w:b/>
      <w:bCs/>
      <w:kern w:val="0"/>
      <w:sz w:val="36"/>
      <w:szCs w:val="36"/>
      <w:lang w:val="en-US"/>
      <w14:ligatures w14:val="none"/>
    </w:rPr>
  </w:style>
  <w:style w:type="character" w:styleId="Strong">
    <w:name w:val="Strong"/>
    <w:basedOn w:val="DefaultParagraphFont"/>
    <w:uiPriority w:val="22"/>
    <w:qFormat/>
    <w:rsid w:val="003F6D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237613">
      <w:bodyDiv w:val="1"/>
      <w:marLeft w:val="0"/>
      <w:marRight w:val="0"/>
      <w:marTop w:val="0"/>
      <w:marBottom w:val="0"/>
      <w:divBdr>
        <w:top w:val="none" w:sz="0" w:space="0" w:color="auto"/>
        <w:left w:val="none" w:sz="0" w:space="0" w:color="auto"/>
        <w:bottom w:val="none" w:sz="0" w:space="0" w:color="auto"/>
        <w:right w:val="none" w:sz="0" w:space="0" w:color="auto"/>
      </w:divBdr>
    </w:div>
    <w:div w:id="1233781220">
      <w:bodyDiv w:val="1"/>
      <w:marLeft w:val="0"/>
      <w:marRight w:val="0"/>
      <w:marTop w:val="0"/>
      <w:marBottom w:val="0"/>
      <w:divBdr>
        <w:top w:val="none" w:sz="0" w:space="0" w:color="auto"/>
        <w:left w:val="none" w:sz="0" w:space="0" w:color="auto"/>
        <w:bottom w:val="none" w:sz="0" w:space="0" w:color="auto"/>
        <w:right w:val="none" w:sz="0" w:space="0" w:color="auto"/>
      </w:divBdr>
    </w:div>
    <w:div w:id="1322778773">
      <w:bodyDiv w:val="1"/>
      <w:marLeft w:val="0"/>
      <w:marRight w:val="0"/>
      <w:marTop w:val="0"/>
      <w:marBottom w:val="0"/>
      <w:divBdr>
        <w:top w:val="none" w:sz="0" w:space="0" w:color="auto"/>
        <w:left w:val="none" w:sz="0" w:space="0" w:color="auto"/>
        <w:bottom w:val="none" w:sz="0" w:space="0" w:color="auto"/>
        <w:right w:val="none" w:sz="0" w:space="0" w:color="auto"/>
      </w:divBdr>
    </w:div>
    <w:div w:id="1527718271">
      <w:bodyDiv w:val="1"/>
      <w:marLeft w:val="0"/>
      <w:marRight w:val="0"/>
      <w:marTop w:val="0"/>
      <w:marBottom w:val="0"/>
      <w:divBdr>
        <w:top w:val="none" w:sz="0" w:space="0" w:color="auto"/>
        <w:left w:val="none" w:sz="0" w:space="0" w:color="auto"/>
        <w:bottom w:val="none" w:sz="0" w:space="0" w:color="auto"/>
        <w:right w:val="none" w:sz="0" w:space="0" w:color="auto"/>
      </w:divBdr>
    </w:div>
    <w:div w:id="200273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namiyahfitriani@gmail.com" TargetMode="Externa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7665</Words>
  <Characters>43691</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Ibnu imam Al Ayyubi</cp:lastModifiedBy>
  <cp:revision>15</cp:revision>
  <dcterms:created xsi:type="dcterms:W3CDTF">2026-07-21T00:18:00Z</dcterms:created>
  <dcterms:modified xsi:type="dcterms:W3CDTF">2026-08-29T16:46:00Z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49d80101-07b8-3995-8ce4-1be8b4b9a862</vt:lpwstr>
  </property>
  <property fmtid="{D5CDD505-2E9C-101B-9397-08002B2CF9AE}" pid="4" name="Mendeley Citation Style_1">
    <vt:lpwstr>http://www.zotero.org/styles/apa</vt:lpwstr>
  </property>
</Properties>
</file>