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FF" w14:textId="7F4C092D" w:rsidR="00167B15" w:rsidRPr="00762F8E" w:rsidRDefault="00762F8E" w:rsidP="00167B15">
      <w:pPr>
        <w:spacing w:after="0" w:line="240" w:lineRule="auto"/>
        <w:jc w:val="center"/>
        <w:rPr>
          <w:rFonts w:ascii="Times New Roman" w:eastAsia="Times New Roman" w:hAnsi="Times New Roman" w:cs="Times New Roman"/>
          <w:b/>
          <w:bCs/>
          <w:sz w:val="24"/>
          <w:szCs w:val="24"/>
        </w:rPr>
      </w:pPr>
      <w:r w:rsidRPr="00762F8E">
        <w:rPr>
          <w:rFonts w:ascii="Times New Roman" w:eastAsia="Times New Roman" w:hAnsi="Times New Roman" w:cs="Times New Roman"/>
          <w:b/>
          <w:bCs/>
          <w:sz w:val="24"/>
          <w:szCs w:val="24"/>
        </w:rPr>
        <w:t>FROM ALGORITHMS TO LEARNING: RETHINKING MATHEMATICS EDUCATION IN THE AGE OF ARTIFICIAL INTELLIGENCE</w:t>
      </w:r>
    </w:p>
    <w:p w14:paraId="69517FF7" w14:textId="77777777" w:rsidR="00167B15" w:rsidRDefault="00167B15" w:rsidP="00167B15">
      <w:pPr>
        <w:spacing w:after="0" w:line="240" w:lineRule="auto"/>
        <w:jc w:val="center"/>
        <w:rPr>
          <w:rFonts w:ascii="Times New Roman" w:eastAsia="Times New Roman" w:hAnsi="Times New Roman" w:cs="Times New Roman"/>
          <w:b/>
        </w:rPr>
      </w:pPr>
    </w:p>
    <w:p w14:paraId="76A72655" w14:textId="6ADD5C80" w:rsidR="00167B15" w:rsidRPr="00881D94" w:rsidRDefault="00861F3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Ibnu Imam Al Ayyubi</w:t>
      </w:r>
      <w:r w:rsidR="00167B15">
        <w:rPr>
          <w:rFonts w:ascii="Times New Roman" w:eastAsia="Times New Roman" w:hAnsi="Times New Roman" w:cs="Times New Roman"/>
          <w:b/>
          <w:color w:val="000000"/>
          <w:sz w:val="24"/>
          <w:szCs w:val="24"/>
          <w:vertAlign w:val="superscript"/>
        </w:rPr>
        <w:t>1*</w:t>
      </w:r>
      <w:r w:rsidR="00881D94">
        <w:rPr>
          <w:rFonts w:ascii="Times New Roman" w:eastAsia="Times New Roman" w:hAnsi="Times New Roman" w:cs="Times New Roman"/>
          <w:b/>
          <w:color w:val="000000"/>
          <w:sz w:val="24"/>
          <w:szCs w:val="24"/>
        </w:rPr>
        <w:t xml:space="preserve">, Ari </w:t>
      </w:r>
      <w:proofErr w:type="spellStart"/>
      <w:r w:rsidR="00881D94">
        <w:rPr>
          <w:rFonts w:ascii="Times New Roman" w:eastAsia="Times New Roman" w:hAnsi="Times New Roman" w:cs="Times New Roman"/>
          <w:b/>
          <w:color w:val="000000"/>
          <w:sz w:val="24"/>
          <w:szCs w:val="24"/>
        </w:rPr>
        <w:t>Limay</w:t>
      </w:r>
      <w:proofErr w:type="spellEnd"/>
      <w:r w:rsidR="00881D94">
        <w:rPr>
          <w:rFonts w:ascii="Times New Roman" w:eastAsia="Times New Roman" w:hAnsi="Times New Roman" w:cs="Times New Roman"/>
          <w:b/>
          <w:color w:val="000000"/>
          <w:sz w:val="24"/>
          <w:szCs w:val="24"/>
        </w:rPr>
        <w:t xml:space="preserve"> Trisno Putra</w:t>
      </w:r>
      <w:r w:rsidR="00881D94" w:rsidRPr="00881D94">
        <w:rPr>
          <w:rFonts w:ascii="Times New Roman" w:eastAsia="Times New Roman" w:hAnsi="Times New Roman" w:cs="Times New Roman"/>
          <w:b/>
          <w:color w:val="000000"/>
          <w:sz w:val="24"/>
          <w:szCs w:val="24"/>
          <w:vertAlign w:val="superscript"/>
        </w:rPr>
        <w:t>2</w:t>
      </w:r>
    </w:p>
    <w:p w14:paraId="05767189" w14:textId="77777777" w:rsidR="00167B15" w:rsidRDefault="00167B15" w:rsidP="00167B15">
      <w:pPr>
        <w:tabs>
          <w:tab w:val="left" w:pos="3119"/>
        </w:tabs>
        <w:spacing w:after="0" w:line="240" w:lineRule="auto"/>
        <w:jc w:val="center"/>
        <w:rPr>
          <w:rFonts w:ascii="Times New Roman" w:eastAsia="Times New Roman" w:hAnsi="Times New Roman" w:cs="Times New Roman"/>
          <w:b/>
          <w:color w:val="000000"/>
          <w:sz w:val="24"/>
          <w:szCs w:val="24"/>
          <w:vertAlign w:val="superscript"/>
        </w:rPr>
      </w:pPr>
    </w:p>
    <w:p w14:paraId="2BEE428D" w14:textId="6936920A"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 xml:space="preserve">1 </w:t>
      </w:r>
      <w:r w:rsidR="00861F35">
        <w:rPr>
          <w:rFonts w:ascii="Times New Roman" w:eastAsia="Times New Roman" w:hAnsi="Times New Roman" w:cs="Times New Roman"/>
          <w:color w:val="000000"/>
          <w:sz w:val="24"/>
          <w:szCs w:val="24"/>
        </w:rPr>
        <w:t xml:space="preserve">Institut Darul Falah Bandung Barat, </w:t>
      </w:r>
      <w:r w:rsidR="00881D94">
        <w:rPr>
          <w:rFonts w:ascii="Times New Roman" w:eastAsia="Times New Roman" w:hAnsi="Times New Roman" w:cs="Times New Roman"/>
          <w:color w:val="000000"/>
          <w:sz w:val="24"/>
          <w:szCs w:val="24"/>
        </w:rPr>
        <w:t>Indonesia</w:t>
      </w:r>
    </w:p>
    <w:p w14:paraId="345A693E" w14:textId="29590E07" w:rsidR="00881D94" w:rsidRDefault="00881D94" w:rsidP="00167B15">
      <w:pPr>
        <w:tabs>
          <w:tab w:val="left" w:pos="3119"/>
        </w:tabs>
        <w:spacing w:after="0" w:line="240" w:lineRule="auto"/>
        <w:jc w:val="center"/>
        <w:rPr>
          <w:rFonts w:ascii="Times New Roman" w:eastAsia="Times New Roman" w:hAnsi="Times New Roman" w:cs="Times New Roman"/>
          <w:color w:val="000000"/>
          <w:sz w:val="24"/>
          <w:szCs w:val="24"/>
        </w:rPr>
      </w:pPr>
      <w:r w:rsidRPr="00881D94">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sidRPr="00881D94">
        <w:rPr>
          <w:rFonts w:ascii="Times New Roman" w:eastAsia="Times New Roman" w:hAnsi="Times New Roman" w:cs="Times New Roman"/>
          <w:color w:val="000000"/>
          <w:sz w:val="24"/>
          <w:szCs w:val="24"/>
        </w:rPr>
        <w:t xml:space="preserve">Universitas </w:t>
      </w:r>
      <w:proofErr w:type="spellStart"/>
      <w:r w:rsidRPr="00881D94">
        <w:rPr>
          <w:rFonts w:ascii="Times New Roman" w:eastAsia="Times New Roman" w:hAnsi="Times New Roman" w:cs="Times New Roman"/>
          <w:color w:val="000000"/>
          <w:sz w:val="24"/>
          <w:szCs w:val="24"/>
        </w:rPr>
        <w:t>Nahdlatul</w:t>
      </w:r>
      <w:proofErr w:type="spellEnd"/>
      <w:r w:rsidRPr="00881D94">
        <w:rPr>
          <w:rFonts w:ascii="Times New Roman" w:eastAsia="Times New Roman" w:hAnsi="Times New Roman" w:cs="Times New Roman"/>
          <w:color w:val="000000"/>
          <w:sz w:val="24"/>
          <w:szCs w:val="24"/>
        </w:rPr>
        <w:t xml:space="preserve"> Ulama Sumatera Barat</w:t>
      </w:r>
      <w:r>
        <w:rPr>
          <w:rFonts w:ascii="Times New Roman" w:eastAsia="Times New Roman" w:hAnsi="Times New Roman" w:cs="Times New Roman"/>
          <w:color w:val="000000"/>
          <w:sz w:val="24"/>
          <w:szCs w:val="24"/>
        </w:rPr>
        <w:t>, Indonesia</w:t>
      </w:r>
    </w:p>
    <w:p w14:paraId="6E7BF463" w14:textId="2803F01E" w:rsidR="00167B15" w:rsidRPr="00A5277C" w:rsidRDefault="00167B15" w:rsidP="00167B15">
      <w:pPr>
        <w:tabs>
          <w:tab w:val="left" w:pos="3119"/>
        </w:tabs>
        <w:spacing w:after="0" w:line="240" w:lineRule="auto"/>
        <w:jc w:val="center"/>
        <w:rPr>
          <w:rFonts w:ascii="Times New Roman" w:eastAsia="Times New Roman" w:hAnsi="Times New Roman" w:cs="Times New Roman"/>
          <w:color w:val="000000"/>
          <w:sz w:val="20"/>
          <w:szCs w:val="20"/>
        </w:rPr>
      </w:pPr>
      <w:r w:rsidRPr="00A5277C">
        <w:rPr>
          <w:sz w:val="20"/>
          <w:szCs w:val="20"/>
        </w:rPr>
        <w:t xml:space="preserve"> *</w:t>
      </w:r>
      <w:r w:rsidRPr="00A5277C">
        <w:rPr>
          <w:rFonts w:ascii="Times New Roman" w:eastAsia="Times New Roman" w:hAnsi="Times New Roman" w:cs="Times New Roman"/>
          <w:i/>
          <w:sz w:val="20"/>
          <w:szCs w:val="20"/>
        </w:rPr>
        <w:t xml:space="preserve">Corresponding author: </w:t>
      </w:r>
      <w:hyperlink r:id="rId8" w:history="1">
        <w:r w:rsidR="004A1FE0" w:rsidRPr="003D4478">
          <w:rPr>
            <w:rStyle w:val="Hyperlink"/>
            <w:rFonts w:ascii="Times New Roman" w:eastAsia="Times New Roman" w:hAnsi="Times New Roman" w:cs="Times New Roman"/>
            <w:i/>
            <w:sz w:val="20"/>
            <w:szCs w:val="20"/>
          </w:rPr>
          <w:t>ibnuimamalayyubi@indaf.ac.id</w:t>
        </w:r>
      </w:hyperlink>
    </w:p>
    <w:p w14:paraId="245B59A6"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5F8B0D7E"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sz w:val="18"/>
          <w:szCs w:val="18"/>
        </w:rPr>
        <w:t>Received dd Month yyyy; Revised dd Month yyyy; Accepted dd Month yyyy  (9pt)</w:t>
      </w:r>
    </w:p>
    <w:p w14:paraId="749192F5"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46725FBD" w14:textId="77777777" w:rsidR="00167B15" w:rsidRDefault="00167B15"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CFB160" w14:textId="77777777" w:rsidR="00167B15" w:rsidRPr="00A5277C" w:rsidRDefault="00167B15" w:rsidP="00167B15">
      <w:pPr>
        <w:spacing w:after="0" w:line="240" w:lineRule="auto"/>
        <w:jc w:val="center"/>
        <w:rPr>
          <w:rFonts w:ascii="Times New Roman" w:eastAsia="Times New Roman" w:hAnsi="Times New Roman" w:cs="Times New Roman"/>
          <w:i/>
          <w:sz w:val="20"/>
          <w:szCs w:val="20"/>
        </w:rPr>
      </w:pPr>
      <w:r w:rsidRPr="00A5277C">
        <w:rPr>
          <w:rFonts w:ascii="Times New Roman" w:eastAsia="Times New Roman" w:hAnsi="Times New Roman" w:cs="Times New Roman"/>
          <w:b/>
          <w:i/>
          <w:sz w:val="20"/>
          <w:szCs w:val="20"/>
        </w:rPr>
        <w:t>Abstract</w:t>
      </w:r>
    </w:p>
    <w:p w14:paraId="36D46FF1" w14:textId="04C2A1E2" w:rsidR="00167B15" w:rsidRDefault="00BF6C3D" w:rsidP="00BF6C3D">
      <w:pPr>
        <w:spacing w:after="0" w:line="240" w:lineRule="auto"/>
        <w:jc w:val="both"/>
        <w:rPr>
          <w:rFonts w:ascii="Times New Roman" w:eastAsia="Times New Roman" w:hAnsi="Times New Roman" w:cs="Times New Roman"/>
          <w:i/>
          <w:sz w:val="20"/>
          <w:szCs w:val="20"/>
        </w:rPr>
      </w:pPr>
      <w:r w:rsidRPr="00BF6C3D">
        <w:rPr>
          <w:rFonts w:ascii="Times New Roman" w:eastAsia="Times New Roman" w:hAnsi="Times New Roman" w:cs="Times New Roman"/>
          <w:i/>
          <w:sz w:val="20"/>
          <w:szCs w:val="20"/>
        </w:rPr>
        <w:t>Artificial intelligence (AI) has increasingly transformed the landscape of mathematics education by enabling machines to perform calculations, generate mathematical solutions, recognize patterns, provide explanations, and deliver automated feedback. These developments offer substantial opportunities for improving learning experiences while simultaneously challenging traditional assumptions regarding mathematical competence and the purpose of learning mathematics. This study aims to critically examine how the emergence of AI changes the nature of mathematical learning and to reconsider the roles of reasoning, conceptual understanding, problem solving, assessment, teachers, and students in AI-mediated learning environments. This study employs a qualitative library research approach by analyzing scholarly literature concerning artificial intelligence, mathematics education, mathematical reasoning, problem solving, computational thinking, AI literacy, and technology-enhanced learning. The findings indicate that AI can facilitate personalized learning, provide immediate feedback, generate alternative solution strategies, support mathematical visualization, and increase access to mathematical resources. Nevertheless, excessive dependence on AI may encourage answer-oriented learning, reduce productive struggle, weaken students' independent reasoning, and create difficulties in assessing authentic mathematical understanding. The study argues that mathematics education should shift from an emphasis on algorithmic answer production toward conceptual understanding, mathematical reasoning, problem formulation, critical evaluation, communication, and mathematical agency. AI should therefore be positioned as a learning support and an object of critical inquiry rather than a substitute for students' mathematical thinking. The study proposes a human-centered framework in which AI supports learning while teachers remain responsible for designing meaningful mathematical experiences and students retain intellectual responsibility for understanding, evaluating, and communicating mathematical knowledge.</w:t>
      </w:r>
    </w:p>
    <w:p w14:paraId="0ED72FA5" w14:textId="77777777" w:rsidR="00167B15" w:rsidRDefault="00167B15" w:rsidP="00167B15">
      <w:pPr>
        <w:spacing w:after="0" w:line="240" w:lineRule="auto"/>
        <w:jc w:val="both"/>
        <w:rPr>
          <w:rFonts w:ascii="Times New Roman" w:eastAsia="Times New Roman" w:hAnsi="Times New Roman" w:cs="Times New Roman"/>
          <w:i/>
          <w:sz w:val="20"/>
          <w:szCs w:val="20"/>
        </w:rPr>
      </w:pPr>
    </w:p>
    <w:p w14:paraId="1360559E" w14:textId="1AD716C6" w:rsidR="00EA5C5F" w:rsidRDefault="00167B15" w:rsidP="00020A4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i/>
          <w:sz w:val="20"/>
          <w:szCs w:val="20"/>
        </w:rPr>
        <w:t>Keywords</w:t>
      </w:r>
      <w:r>
        <w:rPr>
          <w:rFonts w:ascii="Times New Roman" w:eastAsia="Times New Roman" w:hAnsi="Times New Roman" w:cs="Times New Roman"/>
          <w:i/>
          <w:sz w:val="20"/>
          <w:szCs w:val="20"/>
        </w:rPr>
        <w:t xml:space="preserve">: </w:t>
      </w:r>
      <w:r w:rsidR="00020A40" w:rsidRPr="00020A40">
        <w:rPr>
          <w:rFonts w:ascii="Times New Roman" w:eastAsia="Times New Roman" w:hAnsi="Times New Roman" w:cs="Times New Roman"/>
          <w:i/>
          <w:sz w:val="20"/>
          <w:szCs w:val="20"/>
        </w:rPr>
        <w:t>Artificial Intelligence; Mathematics Education; Mathematical Reasoning; Problem Solving</w:t>
      </w:r>
    </w:p>
    <w:p w14:paraId="36832249" w14:textId="77777777" w:rsidR="00EA5C5F" w:rsidRDefault="00EA5C5F" w:rsidP="00EA5C5F">
      <w:pPr>
        <w:spacing w:after="0" w:line="240" w:lineRule="auto"/>
        <w:rPr>
          <w:rFonts w:ascii="Times New Roman" w:eastAsia="Times New Roman" w:hAnsi="Times New Roman" w:cs="Times New Roman"/>
          <w:sz w:val="24"/>
          <w:szCs w:val="24"/>
        </w:rPr>
      </w:pPr>
    </w:p>
    <w:p w14:paraId="5FC71CCA" w14:textId="77777777" w:rsidR="00EA5C5F" w:rsidRDefault="00EA5C5F" w:rsidP="00EA5C5F">
      <w:pPr>
        <w:spacing w:after="0" w:line="240" w:lineRule="auto"/>
        <w:rPr>
          <w:rFonts w:ascii="Times New Roman" w:eastAsia="Times New Roman" w:hAnsi="Times New Roman" w:cs="Times New Roman"/>
          <w:sz w:val="24"/>
          <w:szCs w:val="24"/>
        </w:rPr>
        <w:sectPr w:rsidR="00EA5C5F" w:rsidSect="00EA5C5F">
          <w:headerReference w:type="even" r:id="rId9"/>
          <w:headerReference w:type="default" r:id="rId10"/>
          <w:footerReference w:type="even" r:id="rId11"/>
          <w:type w:val="continuous"/>
          <w:pgSz w:w="11907" w:h="16839"/>
          <w:pgMar w:top="1701" w:right="1701" w:bottom="1701" w:left="1701" w:header="709" w:footer="709" w:gutter="0"/>
          <w:pgNumType w:start="92"/>
          <w:cols w:space="720"/>
        </w:sectPr>
      </w:pPr>
    </w:p>
    <w:p w14:paraId="1324D763" w14:textId="214FDF04" w:rsidR="00167B15" w:rsidRDefault="0039399B" w:rsidP="00167B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14:paraId="081D7E85" w14:textId="3DB4938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Artificial intelligence has emerged as one of the most influential technological developments shaping contemporary education. The rapid advancement of generative AI, intelligent tutoring systems, automated feedback technologies, mathematical software, and adaptive learning platforms has fundamentally changed the ways in which students </w:t>
      </w:r>
      <w:proofErr w:type="spellStart"/>
      <w:r w:rsidRPr="0039399B">
        <w:rPr>
          <w:rFonts w:ascii="Times New Roman" w:eastAsia="Times New Roman" w:hAnsi="Times New Roman" w:cs="Times New Roman"/>
          <w:sz w:val="24"/>
          <w:szCs w:val="24"/>
        </w:rPr>
        <w:t>interact</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with</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information</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and</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perform</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intellectual</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tasks</w:t>
      </w:r>
      <w:proofErr w:type="spellEnd"/>
      <w:r w:rsidR="004A1FE0">
        <w:rPr>
          <w:rFonts w:ascii="Times New Roman" w:eastAsia="Times New Roman" w:hAnsi="Times New Roman" w:cs="Times New Roman"/>
          <w:sz w:val="24"/>
          <w:szCs w:val="24"/>
        </w:rPr>
        <w:t xml:space="preserve"> </w:t>
      </w:r>
      <w:r w:rsidR="004A1FE0">
        <w:rPr>
          <w:rFonts w:ascii="Times New Roman" w:eastAsia="Times New Roman" w:hAnsi="Times New Roman" w:cs="Times New Roman"/>
          <w:sz w:val="24"/>
          <w:szCs w:val="24"/>
        </w:rPr>
        <w:fldChar w:fldCharType="begin" w:fldLock="1"/>
      </w:r>
      <w:r w:rsidR="004A1FE0">
        <w:rPr>
          <w:rFonts w:ascii="Times New Roman" w:eastAsia="Times New Roman" w:hAnsi="Times New Roman" w:cs="Times New Roman"/>
          <w:sz w:val="24"/>
          <w:szCs w:val="24"/>
        </w:rPr>
        <w:instrText>ADDIN CSL_CITATION {"citationItems":[{"id":"ITEM-1","itemData":{"DOI":"https://doi.org/10.1016/j.heliyon.2022.e08824","ISSN":"2405-8440","abstract":"Islamic schools with the concept of boarding school are increasing every year in Indonesia. These schools offer academic education that is integrated with Islamic learning and Islamic character to students. Of course, this integration must be carried out systematically and planned by the school as an education provider through good communication between schools and students. Therefore, this study aim to describe the students’ communication pattern during the implementation of character education in the Islamic Boarding School of Muallimin Muhammadiyah Yogyakarta. Detailed data in this study were obtained directly by conducting two Focus Group Discussions (FGD) on different days and attended by twenty one students from various levels. In addition, the researcher also conducted direct interviews with two teachers separately. This separate interview was conducted to triangulate the validity of the data obtained from the FGD results. The results indicated that (1) the implementation of character education in Muallimin Muhammadiyah Yogyakarta is initiated from the ustadz (teacher) by giving model to the students directly. It is considered as an important aspect since the prophet Muhammad SAW delivered the Islamic religious values through behaviors and models; and (2) the second strength of Muallimin Muhammadiyah Yogyakarta in character education is two-way communication that promoting feelings of sympathy and empathy among students. The close friendship characterizing among the students of Muallimin Muhammadiyah Yogyakarta is a very important factor to generate mutual trust and sense of belonging among the students.","author":[{"dropping-particle":"","family":"Hastasari","given":"Chatia","non-dropping-particle":"","parse-names":false,"suffix":""},{"dropping-particle":"","family":"Setiawan","given":"Benni","non-dropping-particle":"","parse-names":false,"suffix":""},{"dropping-particle":"","family":"Aw","given":"Suranto","non-dropping-particle":"","parse-names":false,"suffix":""}],"container-title":"Heliyon","id":"ITEM-1","issue":"1","issued":{"date-parts":[["2022"]]},"page":"e08824","title":"Students’ communication patterns of islamic boarding schools: the case of Students in Muallimin Muhammadiyah Yogyakarta","type":"article-journal","volume":"8"},"uris":["http://www.mendeley.com/documents/?uuid=c02dbf92-47a8-4cc5-83ba-fd33776474a0"]},{"id":"ITEM-2","itemData":{"DOI":"https://doi.org/10.17509/mimbardik.v6i1.68607","ISSN":"2503-457X","author":[{"dropping-particle":"","family":"Lubis","given":"Asep Ridwan","non-dropping-particle":"","parse-names":false,"suffix":""},{"dropping-particle":"","family":"Azzahra","given":"Fahira","non-dropping-particle":"","parse-names":false,"suffix":""}],"container-title":"MIMBAR PENDIDIKAN","id":"ITEM-2","issue":"1","issued":{"date-parts":[["2021"]]},"page":"1-7","title":"Student and Teacher Ethics in the Perspective of Al-Ghazali's Eastern Philosophy","type":"article-journal","volume":"6"},"uris":["http://www.mendeley.com/documents/?uuid=fded89e2-ecdf-400c-85f2-7ddd78386f65"]},{"id":"ITEM-3","itemData":{"DOI":"https://doi.org/10.32939/ejrpm.v4i1.1102","ISSN":"2620-8911","author":[{"dropping-particle":"","family":"Habibi","given":"Mhmd","non-dropping-particle":"","parse-names":false,"suffix":""},{"dropping-particle":"","family":"Wahyuni","given":"Novia","non-dropping-particle":"","parse-names":false,"suffix":""},{"dropping-particle":"","family":"Rusliah","given":"Nur","non-dropping-particle":"","parse-names":false,"suffix":""},{"dropping-particle":"","family":"Ilham","given":"Muhammad","non-dropping-particle":"","parse-names":false,"suffix":""},{"dropping-particle":"","family":"Fitri","given":"Intan","non-dropping-particle":"","parse-names":false,"suffix":""}],"container-title":"Edumatika: Jurnal Riset Pendidikan Matematika","id":"ITEM-3","issue":"1","issued":{"date-parts":[["2021"]]},"page":"77-89","title":"The Effect of Mathematics Anxiety and Intelligence on Students’ Logical Thinking Ability","type":"article-journal","volume":"4"},"uris":["http://www.mendeley.com/documents/?uuid=f0bdf598-eca9-4b5f-93ec-7d2c27e26a66"]}],"mendeley":{"formattedCitation":"(Habibi et al., 2021; Hastasari et al., 2022; Lubis &amp; Azzahra, 2021)","plainTextFormattedCitation":"(Habibi et al., 2021; Hastasari et al., 2022; Lubis &amp; Azzahra, 2021)","previouslyFormattedCitation":"(Habibi et al., 2021; Hastasari et al., 2022; Lubis &amp; Azzahra, 2021)"},"properties":{"noteIndex":0},"schema":"https://github.com/citation-style-language/schema/raw/master/csl-citation.json"}</w:instrText>
      </w:r>
      <w:r w:rsidR="004A1FE0">
        <w:rPr>
          <w:rFonts w:ascii="Times New Roman" w:eastAsia="Times New Roman" w:hAnsi="Times New Roman" w:cs="Times New Roman"/>
          <w:sz w:val="24"/>
          <w:szCs w:val="24"/>
        </w:rPr>
        <w:fldChar w:fldCharType="separate"/>
      </w:r>
      <w:r w:rsidR="004A1FE0" w:rsidRPr="004A1FE0">
        <w:rPr>
          <w:rFonts w:ascii="Times New Roman" w:eastAsia="Times New Roman" w:hAnsi="Times New Roman" w:cs="Times New Roman"/>
          <w:noProof/>
          <w:sz w:val="24"/>
          <w:szCs w:val="24"/>
        </w:rPr>
        <w:t xml:space="preserve">(Habibi et al., 2021; Hastasari et </w:t>
      </w:r>
      <w:r w:rsidR="004A1FE0" w:rsidRPr="004A1FE0">
        <w:rPr>
          <w:rFonts w:ascii="Times New Roman" w:eastAsia="Times New Roman" w:hAnsi="Times New Roman" w:cs="Times New Roman"/>
          <w:noProof/>
          <w:sz w:val="24"/>
          <w:szCs w:val="24"/>
        </w:rPr>
        <w:t>al., 2022; Lubis &amp; Azzahra, 2021)</w:t>
      </w:r>
      <w:r w:rsidR="004A1FE0">
        <w:rPr>
          <w:rFonts w:ascii="Times New Roman" w:eastAsia="Times New Roman" w:hAnsi="Times New Roman" w:cs="Times New Roman"/>
          <w:sz w:val="24"/>
          <w:szCs w:val="24"/>
        </w:rPr>
        <w:fldChar w:fldCharType="end"/>
      </w:r>
      <w:r w:rsidRPr="0039399B">
        <w:rPr>
          <w:rFonts w:ascii="Times New Roman" w:eastAsia="Times New Roman" w:hAnsi="Times New Roman" w:cs="Times New Roman"/>
          <w:sz w:val="24"/>
          <w:szCs w:val="24"/>
        </w:rPr>
        <w:t xml:space="preserve">. In mathematics education, the implications are particularly significant because AI systems can perform calculations, solve equations, generate graphs, identify patterns, explain mathematical procedures, </w:t>
      </w:r>
      <w:proofErr w:type="spellStart"/>
      <w:r w:rsidRPr="0039399B">
        <w:rPr>
          <w:rFonts w:ascii="Times New Roman" w:eastAsia="Times New Roman" w:hAnsi="Times New Roman" w:cs="Times New Roman"/>
          <w:sz w:val="24"/>
          <w:szCs w:val="24"/>
        </w:rPr>
        <w:t>and</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provide</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solutions</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to</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increasingly</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complex</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problems</w:t>
      </w:r>
      <w:proofErr w:type="spellEnd"/>
      <w:r w:rsidR="004A1FE0">
        <w:rPr>
          <w:rFonts w:ascii="Times New Roman" w:eastAsia="Times New Roman" w:hAnsi="Times New Roman" w:cs="Times New Roman"/>
          <w:sz w:val="24"/>
          <w:szCs w:val="24"/>
        </w:rPr>
        <w:t xml:space="preserve"> </w:t>
      </w:r>
      <w:r w:rsidR="004A1FE0">
        <w:rPr>
          <w:rFonts w:ascii="Times New Roman" w:eastAsia="Times New Roman" w:hAnsi="Times New Roman" w:cs="Times New Roman"/>
          <w:sz w:val="24"/>
          <w:szCs w:val="24"/>
        </w:rPr>
        <w:fldChar w:fldCharType="begin" w:fldLock="1"/>
      </w:r>
      <w:r w:rsidR="004A1FE0">
        <w:rPr>
          <w:rFonts w:ascii="Times New Roman" w:eastAsia="Times New Roman" w:hAnsi="Times New Roman" w:cs="Times New Roman"/>
          <w:sz w:val="24"/>
          <w:szCs w:val="24"/>
        </w:rPr>
        <w:instrText>ADDIN CSL_CITATION {"citationItems":[{"id":"ITEM-1","itemData":{"DOI":"https://doi.org/10.33367/jtme.v2i2.5181","ISSN":"2986-8041","author":[{"dropping-particle":"","family":"Ayyubi","given":"Ibnu Imam","non-dropping-particle":"Al","parse-names":false,"suffix":""},{"dropping-particle":"","family":"Widiani","given":"Erina","non-dropping-particle":"","parse-names":false,"suffix":""},{"dropping-particle":"","family":"Suryana","given":"Irfan","non-dropping-particle":"","parse-names":false,"suffix":""},{"dropping-particle":"","family":"Andriani","given":"Anita","non-dropping-particle":"","parse-names":false,"suffix":""},{"dropping-particle":"","family":"Sari","given":"Desi Wulan","non-dropping-particle":"","parse-names":false,"suffix":""}],"container-title":"Noumerico: Journal of Technology in Mathematics Education","id":"ITEM-1","issue":"2","issued":{"date-parts":[["2024"]]},"page":"82-95","title":"Application of the Model-Eliciting Activities (MEAs) Learning Model on Mathematics Learning Based on higher-order thinking Skills (HOTS)","type":"article-journal","volume":"2"},"uris":["http://www.mendeley.com/documents/?uuid=fb8a9944-b359-4783-8444-b7c2225a4f6e"]},{"id":"ITEM-2","itemData":{"DOI":"https://doi.org/10.71305/ijemr.v1i2.167","author":[{"dropping-particle":"","family":"Ayyubi","given":"Ibnu Imam","non-dropping-particle":"Al","parse-names":false,"suffix":""},{"dropping-particle":"","family":"Prayetno","given":"Eko","non-dropping-particle":"","parse-names":false,"suffix":""},{"dropping-particle":"","family":"Jamaliah","given":"Desti","non-dropping-particle":"","parse-names":false,"suffix":""},{"dropping-particle":"","family":"Mumtazah","given":"Nabila","non-dropping-particle":"","parse-names":false,"suffix":""}],"container-title":"IJEMR: International Journal of Education Management and Religion","id":"ITEM-2","issue":"2","issued":{"date-parts":[["2024"]]},"page":"127-144","title":"Equilibrium of Faith and Logic: Integrating Islamic Moral Values and Mathematics Education in Various Contexts","type":"article-journal","volume":"1"},"uris":["http://www.mendeley.com/documents/?uuid=cc0311d4-e918-4436-9dc2-e1a4b075badd"]},{"id":"ITEM-3","itemData":{"DOI":"https://doi.org/10.21093/sajie.v6i2.8472","ISSN":"2621-5861","author":[{"dropping-particle":"","family":"Murharyana","given":"Murharyana","non-dropping-particle":"","parse-names":false,"suffix":""},{"dropping-particle":"","family":"Ayyubi","given":"Ibnu Imam","non-dropping-particle":"Al","parse-names":false,"suffix":""},{"dropping-particle":"","family":"Komarudin","given":"Komarudin","non-dropping-particle":"","parse-names":false,"suffix":""},{"dropping-particle":"","family":"Suryana","given":"Irfan","non-dropping-particle":"","parse-names":false,"suffix":""},{"dropping-particle":"","family":"Noerzanah","given":"Firda","non-dropping-particle":"","parse-names":false,"suffix":""},{"dropping-particle":"","family":"Rahmawati","given":"Siti","non-dropping-particle":"","parse-names":false,"suffix":""}],"container-title":"Southeast Asian Journal of Islamic Education","id":"ITEM-3","issue":"2","issued":{"date-parts":[["2024"]]},"page":"181-195","title":"Differences and Interactions between Learning Outcomes, Learning Model, and Gender in Islamic Religious Education","type":"article-journal","volume":"6"},"uris":["http://www.mendeley.com/documents/?uuid=6a9c6e4c-77ac-45dc-a4ed-40bc16bd06fe"]},{"id":"ITEM-4","itemData":{"DOI":"https://doi.org/10.62274/tadrusuun.v3i2.157","ISSN":"2829-0933","author":[{"dropping-particle":"","family":"Ayyubi","given":"Ibnu Imam","non-dropping-particle":"Al","parse-names":false,"suffix":""},{"dropping-particle":"","family":"Martini","given":"Sofia","non-dropping-particle":"","parse-names":false,"suffix":""},{"dropping-particle":"","family":"Masfuroh","given":"Ai Sri","non-dropping-particle":"","parse-names":false,"suffix":""},{"dropping-particle":"","family":"Ramdani","given":"Aulia Suwanti Nur","non-dropping-particle":"","parse-names":false,"suffix":""}],"container-title":"Tadrusuun: Jurnal Pendidikan Dasar","id":"ITEM-4","issue":"2","issued":{"date-parts":[["2024"]]},"page":"246-259","title":"Application of The Brain-Based Learning Model on Students' Learning Outcomes and Initial Mathematical Abilities","type":"article-journal","volume":"3"},"uris":["http://www.mendeley.com/documents/?uuid=f58b3b9b-d7c0-491c-ace5-83d0ff2033dc"]},{"id":"ITEM-5","itemData":{"DOI":"https://doi.org/10.59166/edumulya.v2i1.195","ISSN":"2987-0194","author":[{"dropping-particle":"","family":"Sabarudin","given":"Mohammad","non-dropping-particle":"","parse-names":false,"suffix":""},{"dropping-particle":"","family":"Ayyubi","given":"Ibnu Imam","non-dropping-particle":"Al","parse-names":false,"suffix":""},{"dropping-particle":"","family":"Fitriyah","given":"Dzul","non-dropping-particle":"","parse-names":false,"suffix":""},{"dropping-particle":"","family":"Diba","given":"Davina Indah Farrasyah","non-dropping-particle":"","parse-names":false,"suffix":""},{"dropping-particle":"","family":"Setiawan","given":"Siti Sawwa Rahmawati","non-dropping-particle":"","parse-names":false,"suffix":""},{"dropping-particle":"","family":"Sholeh","given":"Muh Ibnu","non-dropping-particle":"","parse-names":false,"suffix":""},{"dropping-particle":"","family":"Ho","given":"Pham Vu Phi","non-dropping-particle":"","parse-names":false,"suffix":""}],"container-title":"EDUMULYA: Jurnal Pendidikan Agama Islam","id":"ITEM-5","issue":"1","issued":{"date-parts":[["2024"]]},"page":"32-47","title":"Analysis Of Islamic Religion Education Learning On Independent Curriculum Based On School Origin","type":"article-journal","volume":"2"},"uris":["http://www.mendeley.com/documents/?uuid=8918e420-4cb3-487e-b6c0-ce0e052d313f"]}],"mendeley":{"formattedCitation":"(Al Ayyubi, Martini, et al., 2024; Al Ayyubi, Prayetno, et al., 2024; Al Ayyubi, Widiani, et al., 2024; Murharyana et al., 2024; Sabarudin et al., 2024)","plainTextFormattedCitation":"(Al Ayyubi, Martini, et al., 2024; Al Ayyubi, Prayetno, et al., 2024; Al Ayyubi, Widiani, et al., 2024; Murharyana et al., 2024; Sabarudin et al., 2024)","previouslyFormattedCitation":"(Al Ayyubi, Martini, et al., 2024; Al Ayyubi, Prayetno, et al., 2024; Al Ayyubi, Widiani, et al., 2024; Murharyana et al., 2024; Sabarudin et al., 2024)"},"properties":{"noteIndex":0},"schema":"https://github.com/citation-style-language/schema/raw/master/csl-citation.json"}</w:instrText>
      </w:r>
      <w:r w:rsidR="004A1FE0">
        <w:rPr>
          <w:rFonts w:ascii="Times New Roman" w:eastAsia="Times New Roman" w:hAnsi="Times New Roman" w:cs="Times New Roman"/>
          <w:sz w:val="24"/>
          <w:szCs w:val="24"/>
        </w:rPr>
        <w:fldChar w:fldCharType="separate"/>
      </w:r>
      <w:r w:rsidR="004A1FE0" w:rsidRPr="004A1FE0">
        <w:rPr>
          <w:rFonts w:ascii="Times New Roman" w:eastAsia="Times New Roman" w:hAnsi="Times New Roman" w:cs="Times New Roman"/>
          <w:noProof/>
          <w:sz w:val="24"/>
          <w:szCs w:val="24"/>
        </w:rPr>
        <w:t>(Al Ayyubi, Martini, et al., 2024; Al Ayyubi, Prayetno, et al., 2024; Al Ayyubi, Widiani, et al., 2024; Murharyana et al., 2024; Sabarudin et al., 2024)</w:t>
      </w:r>
      <w:r w:rsidR="004A1FE0">
        <w:rPr>
          <w:rFonts w:ascii="Times New Roman" w:eastAsia="Times New Roman" w:hAnsi="Times New Roman" w:cs="Times New Roman"/>
          <w:sz w:val="24"/>
          <w:szCs w:val="24"/>
        </w:rPr>
        <w:fldChar w:fldCharType="end"/>
      </w:r>
      <w:r w:rsidRPr="0039399B">
        <w:rPr>
          <w:rFonts w:ascii="Times New Roman" w:eastAsia="Times New Roman" w:hAnsi="Times New Roman" w:cs="Times New Roman"/>
          <w:sz w:val="24"/>
          <w:szCs w:val="24"/>
        </w:rPr>
        <w:t xml:space="preserve">. Activities that previously required substantial </w:t>
      </w:r>
      <w:r w:rsidRPr="0039399B">
        <w:rPr>
          <w:rFonts w:ascii="Times New Roman" w:eastAsia="Times New Roman" w:hAnsi="Times New Roman" w:cs="Times New Roman"/>
          <w:sz w:val="24"/>
          <w:szCs w:val="24"/>
        </w:rPr>
        <w:lastRenderedPageBreak/>
        <w:t>human effort can now be completed by computational systems within seconds. This development raises a fundamental question concerning the purpose of mathematics education: when artificial intelligence can increasingly perform mathematical procedures, what should students actually learn when they study mathematics?</w:t>
      </w:r>
    </w:p>
    <w:p w14:paraId="6E8B58CE" w14:textId="2894EE14"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Traditionally, mathematics education has placed considerable emphasis on procedural fluency, computational accuracy, formula application, </w:t>
      </w:r>
      <w:proofErr w:type="spellStart"/>
      <w:r w:rsidRPr="0039399B">
        <w:rPr>
          <w:rFonts w:ascii="Times New Roman" w:eastAsia="Times New Roman" w:hAnsi="Times New Roman" w:cs="Times New Roman"/>
          <w:sz w:val="24"/>
          <w:szCs w:val="24"/>
        </w:rPr>
        <w:t>and</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the</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ability</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to</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obtain</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correct</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answers</w:t>
      </w:r>
      <w:proofErr w:type="spellEnd"/>
      <w:r w:rsidR="004A1FE0">
        <w:rPr>
          <w:rFonts w:ascii="Times New Roman" w:eastAsia="Times New Roman" w:hAnsi="Times New Roman" w:cs="Times New Roman"/>
          <w:sz w:val="24"/>
          <w:szCs w:val="24"/>
        </w:rPr>
        <w:t xml:space="preserve"> </w:t>
      </w:r>
      <w:r w:rsidR="004A1FE0">
        <w:rPr>
          <w:rFonts w:ascii="Times New Roman" w:eastAsia="Times New Roman" w:hAnsi="Times New Roman" w:cs="Times New Roman"/>
          <w:sz w:val="24"/>
          <w:szCs w:val="24"/>
        </w:rPr>
        <w:fldChar w:fldCharType="begin" w:fldLock="1"/>
      </w:r>
      <w:r w:rsidR="009C322D">
        <w:rPr>
          <w:rFonts w:ascii="Times New Roman" w:eastAsia="Times New Roman" w:hAnsi="Times New Roman" w:cs="Times New Roman"/>
          <w:sz w:val="24"/>
          <w:szCs w:val="24"/>
        </w:rPr>
        <w:instrText>ADDIN CSL_CITATION {"citationItems":[{"id":"ITEM-1","itemData":{"ISSN":"2988-0696","author":[{"dropping-particle":"","family":"Muhammad","given":"Ilham","non-dropping-particle":"","parse-names":false,"suffix":""},{"dropping-particle":"","family":"Darmayanti","given":"Rani","non-dropping-particle":"","parse-names":false,"suffix":""},{"dropping-particle":"","family":"Arif","given":"Viky Risnanda","non-dropping-particle":"","parse-names":false,"suffix":""},{"dropping-particle":"","family":"Afolaranmi","given":"Adebayo Ola","non-dropping-particle":"","parse-names":false,"suffix":""}],"container-title":"Delta-Phi: Jurnal Pendidikan Matematika","id":"ITEM-1","issue":"1","issued":{"date-parts":[["2023"]]},"page":"26-33","title":"Discovery Learning Research in Mathematics Learning: A Bibliometric Review","type":"article-journal","volume":"1"},"uris":["http://www.mendeley.com/documents/?uuid=0ddd0dd3-a8dd-443c-8db8-36735dc6465f"]}],"mendeley":{"formattedCitation":"(Muhammad et al., 2023)","plainTextFormattedCitation":"(Muhammad et al., 2023)","previouslyFormattedCitation":"(Muhammad et al., 2023)"},"properties":{"noteIndex":0},"schema":"https://github.com/citation-style-language/schema/raw/master/csl-citation.json"}</w:instrText>
      </w:r>
      <w:r w:rsidR="004A1FE0">
        <w:rPr>
          <w:rFonts w:ascii="Times New Roman" w:eastAsia="Times New Roman" w:hAnsi="Times New Roman" w:cs="Times New Roman"/>
          <w:sz w:val="24"/>
          <w:szCs w:val="24"/>
        </w:rPr>
        <w:fldChar w:fldCharType="separate"/>
      </w:r>
      <w:r w:rsidR="004A1FE0" w:rsidRPr="004A1FE0">
        <w:rPr>
          <w:rFonts w:ascii="Times New Roman" w:eastAsia="Times New Roman" w:hAnsi="Times New Roman" w:cs="Times New Roman"/>
          <w:noProof/>
          <w:sz w:val="24"/>
          <w:szCs w:val="24"/>
        </w:rPr>
        <w:t>(Muhammad et al., 2023)</w:t>
      </w:r>
      <w:r w:rsidR="004A1FE0">
        <w:rPr>
          <w:rFonts w:ascii="Times New Roman" w:eastAsia="Times New Roman" w:hAnsi="Times New Roman" w:cs="Times New Roman"/>
          <w:sz w:val="24"/>
          <w:szCs w:val="24"/>
        </w:rPr>
        <w:fldChar w:fldCharType="end"/>
      </w:r>
      <w:r w:rsidRPr="0039399B">
        <w:rPr>
          <w:rFonts w:ascii="Times New Roman" w:eastAsia="Times New Roman" w:hAnsi="Times New Roman" w:cs="Times New Roman"/>
          <w:sz w:val="24"/>
          <w:szCs w:val="24"/>
        </w:rPr>
        <w:t xml:space="preserve">. These competencies remain important because mathematical understanding requires familiarity with symbols, procedures, representations, and computational processes. However, the widespread availability of AI changes the educational significance of these abilities. A student can now submit a mathematical problem to an AI system and receive a solution accompanied by apparently logical </w:t>
      </w:r>
      <w:proofErr w:type="spellStart"/>
      <w:r w:rsidRPr="0039399B">
        <w:rPr>
          <w:rFonts w:ascii="Times New Roman" w:eastAsia="Times New Roman" w:hAnsi="Times New Roman" w:cs="Times New Roman"/>
          <w:sz w:val="24"/>
          <w:szCs w:val="24"/>
        </w:rPr>
        <w:t>explanations</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without</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independently</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performing</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every</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mathematical</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operation</w:t>
      </w:r>
      <w:proofErr w:type="spellEnd"/>
      <w:r w:rsidR="009C322D">
        <w:rPr>
          <w:rFonts w:ascii="Times New Roman" w:eastAsia="Times New Roman" w:hAnsi="Times New Roman" w:cs="Times New Roman"/>
          <w:sz w:val="24"/>
          <w:szCs w:val="24"/>
        </w:rPr>
        <w:t xml:space="preserve"> </w:t>
      </w:r>
      <w:r w:rsidR="009C322D">
        <w:rPr>
          <w:rFonts w:ascii="Times New Roman" w:eastAsia="Times New Roman" w:hAnsi="Times New Roman" w:cs="Times New Roman"/>
          <w:sz w:val="24"/>
          <w:szCs w:val="24"/>
        </w:rPr>
        <w:fldChar w:fldCharType="begin" w:fldLock="1"/>
      </w:r>
      <w:r w:rsidR="009C322D">
        <w:rPr>
          <w:rFonts w:ascii="Times New Roman" w:eastAsia="Times New Roman" w:hAnsi="Times New Roman" w:cs="Times New Roman"/>
          <w:sz w:val="24"/>
          <w:szCs w:val="24"/>
        </w:rPr>
        <w:instrText>ADDIN CSL_CITATION {"citationItems":[{"id":"ITEM-1","itemData":{"DOI":"https://doi.org/10.71305/jtl.v1i2.133","ISSN":"3090-0158","author":[{"dropping-particle":"","family":"Ayyubi","given":"Ibnu Imam","non-dropping-particle":"Al","parse-names":false,"suffix":""},{"dropping-particle":"","family":"Rohaendi","given":"Nendi","non-dropping-particle":"","parse-names":false,"suffix":""},{"dropping-particle":"","family":"Prayetno","given":"Eko","non-dropping-particle":"","parse-names":false,"suffix":""},{"dropping-particle":"","family":"Masfuroh","given":"Ai Sri","non-dropping-particle":"","parse-names":false,"suffix":""},{"dropping-particle":"","family":"Al-Ghatnaini","given":"Raed Awadh Saeed","non-dropping-particle":"","parse-names":false,"suffix":""},{"dropping-particle":"","family":"Saelaemae","given":"Tasnim","non-dropping-particle":"","parse-names":false,"suffix":""}],"container-title":"Journal of Teaching and Learning","id":"ITEM-1","issue":"2","issued":{"date-parts":[["2025"]]},"page":"125-138","title":"Application of Geogebra in Mathematics Learning Using a Realistic Mathematics Education Model","type":"article-journal","volume":"1"},"uris":["http://www.mendeley.com/documents/?uuid=1460b8bc-f7a6-46e4-9d01-dd6c7a2cce9c"]}],"mendeley":{"formattedCitation":"(Al Ayyubi, Rohaendi, et al., 2025)","plainTextFormattedCitation":"(Al Ayyubi, Rohaendi, et al., 2025)","previouslyFormattedCitation":"(Al Ayyubi, Rohaendi, et al., 2025)"},"properties":{"noteIndex":0},"schema":"https://github.com/citation-style-language/schema/raw/master/csl-citation.json"}</w:instrText>
      </w:r>
      <w:r w:rsidR="009C322D">
        <w:rPr>
          <w:rFonts w:ascii="Times New Roman" w:eastAsia="Times New Roman" w:hAnsi="Times New Roman" w:cs="Times New Roman"/>
          <w:sz w:val="24"/>
          <w:szCs w:val="24"/>
        </w:rPr>
        <w:fldChar w:fldCharType="separate"/>
      </w:r>
      <w:r w:rsidR="009C322D" w:rsidRPr="009C322D">
        <w:rPr>
          <w:rFonts w:ascii="Times New Roman" w:eastAsia="Times New Roman" w:hAnsi="Times New Roman" w:cs="Times New Roman"/>
          <w:noProof/>
          <w:sz w:val="24"/>
          <w:szCs w:val="24"/>
        </w:rPr>
        <w:t>(Al Ayyubi, Rohaendi, et al., 2025)</w:t>
      </w:r>
      <w:r w:rsidR="009C322D">
        <w:rPr>
          <w:rFonts w:ascii="Times New Roman" w:eastAsia="Times New Roman" w:hAnsi="Times New Roman" w:cs="Times New Roman"/>
          <w:sz w:val="24"/>
          <w:szCs w:val="24"/>
        </w:rPr>
        <w:fldChar w:fldCharType="end"/>
      </w:r>
      <w:r w:rsidRPr="0039399B">
        <w:rPr>
          <w:rFonts w:ascii="Times New Roman" w:eastAsia="Times New Roman" w:hAnsi="Times New Roman" w:cs="Times New Roman"/>
          <w:sz w:val="24"/>
          <w:szCs w:val="24"/>
        </w:rPr>
        <w:t>. The availability of such technological assistance creates a distinction between obtaining a mathematical answer and understanding the mathematical reasoning that produces and justifies that answer.</w:t>
      </w:r>
    </w:p>
    <w:p w14:paraId="72DAC248"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This distinction is particularly important because mathematical learning is not limited to the production of correct answers. Mathematics involves reasoning, conjecturing, proving, representing relationships, interpreting information, formulating problems, selecting strategies, identifying assumptions, evaluating evidence, and communicating ideas. A student who can obtain the correct </w:t>
      </w:r>
      <w:r w:rsidRPr="0039399B">
        <w:rPr>
          <w:rFonts w:ascii="Times New Roman" w:eastAsia="Times New Roman" w:hAnsi="Times New Roman" w:cs="Times New Roman"/>
          <w:sz w:val="24"/>
          <w:szCs w:val="24"/>
        </w:rPr>
        <w:t>solution through an AI system may not necessarily possess the conceptual understanding required to explain why the solution is correct or determine whether the solution is appropriate in a different context. Consequently, the increasing computational capabilities of AI require mathematics educators to reconsider whether conventional forms of mathematical learning remain sufficient in an environment where algorithmic procedures are increasingly automated.</w:t>
      </w:r>
    </w:p>
    <w:p w14:paraId="4D5C3047"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The emergence of generative AI creates an even more complex situation because contemporary AI systems are capable not only of calculating but also of generating natural-language explanations. Unlike conventional calculators, these systems can engage in seemingly interactive mathematical conversations. Students can ask questions, request alternative explanations, ask for examples, or obtain step-by-step solutions. This capacity creates opportunities for individualized learning because students can receive explanations according to their perceived needs and can repeatedly interact with the system without the limitations of classroom time. However, the conversational nature of AI can also create an illusion of understanding because students may interpret fluent explanations as evidence of mathematical validity without critically examining the reasoning behind them.</w:t>
      </w:r>
    </w:p>
    <w:p w14:paraId="64B4F1D3"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AI therefore has the potential to transform mathematics education in both productive and problematic directions. On the positive side, AI can provide immediate feedback, generate differentiated exercises, visualize abstract mathematical concepts, offer multiple solution strategies, and assist </w:t>
      </w:r>
      <w:r w:rsidRPr="0039399B">
        <w:rPr>
          <w:rFonts w:ascii="Times New Roman" w:eastAsia="Times New Roman" w:hAnsi="Times New Roman" w:cs="Times New Roman"/>
          <w:sz w:val="24"/>
          <w:szCs w:val="24"/>
        </w:rPr>
        <w:lastRenderedPageBreak/>
        <w:t>students in exploring mathematical relationships. These capabilities may help teachers address differences in students' learning needs and provide additional opportunities for mathematical investigation. AI can also support teachers by reducing the time required to generate instructional materials, formulate questions, and provide preliminary feedback.</w:t>
      </w:r>
    </w:p>
    <w:p w14:paraId="0CAE2A49"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However, the educational benefits of AI cannot be separated from the risks associated with excessive technological dependence. When students use AI primarily to obtain immediate answers, the cognitive effort involved in understanding and solving mathematical problems may be reduced. Mathematical learning often requires productive struggle, experimentation, error, reflection, and revision. If students consistently delegate difficult cognitive processes to AI, they may become increasingly dependent on external systems and lose opportunities to develop independent mathematical reasoning. The problem is therefore not the use of AI itself but the possibility that AI may replace the very cognitive processes that mathematics education seeks to develop.</w:t>
      </w:r>
    </w:p>
    <w:p w14:paraId="1098E4F3"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The presence of AI also challenges conventional approaches to assessment. Many mathematics assessments continue to emphasize the final answer as the primary evidence of learning. Students are given a problem, required to apply a particular procedure, and evaluated according to the correctness of the final result. Such assessment becomes increasingly problematic when students can use AI to generate solutions. A correct answer may no longer provide sufficient evidence that a student independently understands </w:t>
      </w:r>
      <w:r w:rsidRPr="0039399B">
        <w:rPr>
          <w:rFonts w:ascii="Times New Roman" w:eastAsia="Times New Roman" w:hAnsi="Times New Roman" w:cs="Times New Roman"/>
          <w:sz w:val="24"/>
          <w:szCs w:val="24"/>
        </w:rPr>
        <w:t>the mathematical concept, can justify the solution, or can transfer the knowledge to a new situation. Assessment in the AI era therefore needs to pay greater attention to reasoning, explanation, problem formulation, interpretation, justification, reflection, and students' ability to critically evaluate mathematical solutions.</w:t>
      </w:r>
    </w:p>
    <w:p w14:paraId="5493FB1E"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The role of the mathematics teacher is consequently also undergoing transformation. The increasing availability of AI does not necessarily reduce the importance of teachers. Instead, it changes the nature of their responsibilities. Teachers increasingly need to design learning experiences that require students to engage in mathematical reasoning rather than merely reproduce algorithmic procedures. Teachers also need to help students evaluate AI-generated solutions, identify errors, recognize inappropriate assumptions, and distinguish mathematically valid reasoning from plausible but incorrect explanations. In this context, teachers become designers of mathematical experiences, facilitators of mathematical discourse, and mediators of responsible AI use.</w:t>
      </w:r>
    </w:p>
    <w:p w14:paraId="4C159A9E" w14:textId="19BD127D"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Another important issue is mathematical agency. Students should not become passive recipients of machine-generated mathematics. They need to retain the capacity to determine what problem should be addressed, identify relevant information, select appropriate strategies, question </w:t>
      </w:r>
      <w:proofErr w:type="spellStart"/>
      <w:r w:rsidRPr="0039399B">
        <w:rPr>
          <w:rFonts w:ascii="Times New Roman" w:eastAsia="Times New Roman" w:hAnsi="Times New Roman" w:cs="Times New Roman"/>
          <w:sz w:val="24"/>
          <w:szCs w:val="24"/>
        </w:rPr>
        <w:t>assumptions</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evaluate</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results</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and</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communicate</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mathematical</w:t>
      </w:r>
      <w:proofErr w:type="spellEnd"/>
      <w:r w:rsidRPr="0039399B">
        <w:rPr>
          <w:rFonts w:ascii="Times New Roman" w:eastAsia="Times New Roman" w:hAnsi="Times New Roman" w:cs="Times New Roman"/>
          <w:sz w:val="24"/>
          <w:szCs w:val="24"/>
        </w:rPr>
        <w:t xml:space="preserve"> </w:t>
      </w:r>
      <w:proofErr w:type="spellStart"/>
      <w:r w:rsidRPr="0039399B">
        <w:rPr>
          <w:rFonts w:ascii="Times New Roman" w:eastAsia="Times New Roman" w:hAnsi="Times New Roman" w:cs="Times New Roman"/>
          <w:sz w:val="24"/>
          <w:szCs w:val="24"/>
        </w:rPr>
        <w:t>arguments</w:t>
      </w:r>
      <w:proofErr w:type="spellEnd"/>
      <w:r w:rsidR="009C322D">
        <w:rPr>
          <w:rFonts w:ascii="Times New Roman" w:eastAsia="Times New Roman" w:hAnsi="Times New Roman" w:cs="Times New Roman"/>
          <w:sz w:val="24"/>
          <w:szCs w:val="24"/>
        </w:rPr>
        <w:t xml:space="preserve"> </w:t>
      </w:r>
      <w:r w:rsidR="009C322D">
        <w:rPr>
          <w:rFonts w:ascii="Times New Roman" w:eastAsia="Times New Roman" w:hAnsi="Times New Roman" w:cs="Times New Roman"/>
          <w:sz w:val="24"/>
          <w:szCs w:val="24"/>
        </w:rPr>
        <w:fldChar w:fldCharType="begin" w:fldLock="1"/>
      </w:r>
      <w:r w:rsidR="009C322D">
        <w:rPr>
          <w:rFonts w:ascii="Times New Roman" w:eastAsia="Times New Roman" w:hAnsi="Times New Roman" w:cs="Times New Roman"/>
          <w:sz w:val="24"/>
          <w:szCs w:val="24"/>
        </w:rPr>
        <w:instrText>ADDIN CSL_CITATION {"citationItems":[{"id":"ITEM-1","itemData":{"DOI":"http://dx.doi.org/10.26855/er.2024.11.014","author":[{"dropping-particle":"","family":"Liu","given":"Bo","non-dropping-particle":"","parse-names":false,"suffix":""}],"container-title":"The Educational Review, USA","id":"ITEM-1","issue":"11","issued":{"date-parts":[["2024"]]},"publisher":"Hill Publishing Group Inc","title":"Strategic Planning and Resource Allocation in Higher Education Institutions","type":"article-journal","volume":"8"},"uris":["http://www.mendeley.com/documents/?uuid=12a31a3e-ef4a-4fe5-ab25-d46d7ad3cf41"]}],"mendeley":{"formattedCitation":"(Liu, 2024)","plainTextFormattedCitation":"(Liu, 2024)","previouslyFormattedCitation":"(Liu, 2024)"},"properties":{"noteIndex":0},"schema":"https://github.com/citation-style-language/schema/raw/master/csl-citation.json"}</w:instrText>
      </w:r>
      <w:r w:rsidR="009C322D">
        <w:rPr>
          <w:rFonts w:ascii="Times New Roman" w:eastAsia="Times New Roman" w:hAnsi="Times New Roman" w:cs="Times New Roman"/>
          <w:sz w:val="24"/>
          <w:szCs w:val="24"/>
        </w:rPr>
        <w:fldChar w:fldCharType="separate"/>
      </w:r>
      <w:r w:rsidR="009C322D" w:rsidRPr="009C322D">
        <w:rPr>
          <w:rFonts w:ascii="Times New Roman" w:eastAsia="Times New Roman" w:hAnsi="Times New Roman" w:cs="Times New Roman"/>
          <w:noProof/>
          <w:sz w:val="24"/>
          <w:szCs w:val="24"/>
        </w:rPr>
        <w:t>(Liu, 2024)</w:t>
      </w:r>
      <w:r w:rsidR="009C322D">
        <w:rPr>
          <w:rFonts w:ascii="Times New Roman" w:eastAsia="Times New Roman" w:hAnsi="Times New Roman" w:cs="Times New Roman"/>
          <w:sz w:val="24"/>
          <w:szCs w:val="24"/>
        </w:rPr>
        <w:fldChar w:fldCharType="end"/>
      </w:r>
      <w:r w:rsidRPr="0039399B">
        <w:rPr>
          <w:rFonts w:ascii="Times New Roman" w:eastAsia="Times New Roman" w:hAnsi="Times New Roman" w:cs="Times New Roman"/>
          <w:sz w:val="24"/>
          <w:szCs w:val="24"/>
        </w:rPr>
        <w:t xml:space="preserve">. The concept of mathematical agency is therefore increasingly important in an AI-mediated environment. AI should </w:t>
      </w:r>
      <w:r w:rsidRPr="0039399B">
        <w:rPr>
          <w:rFonts w:ascii="Times New Roman" w:eastAsia="Times New Roman" w:hAnsi="Times New Roman" w:cs="Times New Roman"/>
          <w:sz w:val="24"/>
          <w:szCs w:val="24"/>
        </w:rPr>
        <w:lastRenderedPageBreak/>
        <w:t>expand students' capacity to engage with mathematics rather than replace their intellectual responsibility.</w:t>
      </w:r>
    </w:p>
    <w:p w14:paraId="73D98EBD"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The development of AI also requires the emergence of a broader form of mathematical literacy. Students need not only to understand mathematical concepts but also to understand how AI systems produce mathematical responses and why those responses may be unreliable. AI can generate incorrect calculations, inappropriate assumptions, incomplete explanations, or fabricated mathematical reasoning while presenting the result with considerable confidence. Students therefore need to develop the ability to verify, critique, and evaluate AI-generated mathematical information using mathematical principles and evidence.</w:t>
      </w:r>
    </w:p>
    <w:p w14:paraId="7C45E5B6" w14:textId="77777777" w:rsidR="0039399B" w:rsidRPr="0039399B"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Existing studies have extensively examined the use of digital technology, intelligent tutoring systems, adaptive learning platforms, and artificial intelligence to improve mathematics learning. Much of this scholarship, however, focuses on the effectiveness of AI as a technological tool, such as its ability to provide feedback, personalize instruction, support problem solving, or improve learning outcomes. While these contributions are important, they do not fully address the deeper curricular and epistemological question of what mathematics education should prioritize when AI can increasingly perform the algorithmic and procedural activities traditionally associated with mathematical competence.</w:t>
      </w:r>
    </w:p>
    <w:p w14:paraId="0767B41B" w14:textId="7E1BC3E8" w:rsidR="00167B15" w:rsidRPr="007A0D34" w:rsidRDefault="0039399B" w:rsidP="0039399B">
      <w:pPr>
        <w:spacing w:after="0" w:line="240" w:lineRule="auto"/>
        <w:ind w:firstLine="720"/>
        <w:jc w:val="both"/>
        <w:rPr>
          <w:rFonts w:ascii="Times New Roman" w:eastAsia="Times New Roman" w:hAnsi="Times New Roman" w:cs="Times New Roman"/>
          <w:sz w:val="24"/>
          <w:szCs w:val="24"/>
        </w:rPr>
      </w:pPr>
      <w:r w:rsidRPr="0039399B">
        <w:rPr>
          <w:rFonts w:ascii="Times New Roman" w:eastAsia="Times New Roman" w:hAnsi="Times New Roman" w:cs="Times New Roman"/>
          <w:sz w:val="24"/>
          <w:szCs w:val="24"/>
        </w:rPr>
        <w:t xml:space="preserve">This study addresses this gap by shifting the focus from </w:t>
      </w:r>
      <w:r w:rsidRPr="0039399B">
        <w:rPr>
          <w:rFonts w:ascii="Times New Roman" w:eastAsia="Times New Roman" w:hAnsi="Times New Roman" w:cs="Times New Roman"/>
          <w:b/>
          <w:bCs/>
          <w:sz w:val="24"/>
          <w:szCs w:val="24"/>
        </w:rPr>
        <w:t>how AI can be used to teach mathematics</w:t>
      </w:r>
      <w:r w:rsidRPr="0039399B">
        <w:rPr>
          <w:rFonts w:ascii="Times New Roman" w:eastAsia="Times New Roman" w:hAnsi="Times New Roman" w:cs="Times New Roman"/>
          <w:sz w:val="24"/>
          <w:szCs w:val="24"/>
        </w:rPr>
        <w:t xml:space="preserve"> toward </w:t>
      </w:r>
      <w:r w:rsidRPr="0039399B">
        <w:rPr>
          <w:rFonts w:ascii="Times New Roman" w:eastAsia="Times New Roman" w:hAnsi="Times New Roman" w:cs="Times New Roman"/>
          <w:b/>
          <w:bCs/>
          <w:sz w:val="24"/>
          <w:szCs w:val="24"/>
        </w:rPr>
        <w:t>how mathematics education itself should be rethought in response to AI</w:t>
      </w:r>
      <w:r w:rsidRPr="0039399B">
        <w:rPr>
          <w:rFonts w:ascii="Times New Roman" w:eastAsia="Times New Roman" w:hAnsi="Times New Roman" w:cs="Times New Roman"/>
          <w:sz w:val="24"/>
          <w:szCs w:val="24"/>
        </w:rPr>
        <w:t xml:space="preserve">. The study examines the changing meaning of </w:t>
      </w:r>
      <w:r w:rsidRPr="0039399B">
        <w:rPr>
          <w:rFonts w:ascii="Times New Roman" w:eastAsia="Times New Roman" w:hAnsi="Times New Roman" w:cs="Times New Roman"/>
          <w:sz w:val="24"/>
          <w:szCs w:val="24"/>
        </w:rPr>
        <w:t>mathematical competence, the opportunities and risks associated with AI-supported learning, the transformation of assessment and teacher roles, and the importance of mathematical agency and AI literacy. The central argument is that the growing capacity of AI to perform mathematical algorithms should encourage mathematics education to place greater emphasis on forms of learning that remain fundamentally human, including reasoning, conceptual understanding, problem formulation, critical evaluation, communication, and responsible decision-making.</w:t>
      </w:r>
    </w:p>
    <w:p w14:paraId="307519B2" w14:textId="77777777" w:rsidR="00167B15" w:rsidRPr="002B14A0" w:rsidRDefault="00167B15" w:rsidP="00167B15">
      <w:pPr>
        <w:spacing w:after="0" w:line="240" w:lineRule="auto"/>
        <w:jc w:val="both"/>
        <w:rPr>
          <w:rFonts w:ascii="Times New Roman" w:eastAsia="Times New Roman" w:hAnsi="Times New Roman" w:cs="Times New Roman"/>
          <w:sz w:val="24"/>
          <w:szCs w:val="24"/>
        </w:rPr>
      </w:pPr>
    </w:p>
    <w:p w14:paraId="176789BF" w14:textId="1142B8D3" w:rsidR="00167B15" w:rsidRDefault="00167B15" w:rsidP="00167B1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w:t>
      </w:r>
      <w:r w:rsidR="0039399B">
        <w:rPr>
          <w:rFonts w:ascii="Times New Roman" w:eastAsia="Times New Roman" w:hAnsi="Times New Roman" w:cs="Times New Roman"/>
          <w:b/>
          <w:sz w:val="24"/>
          <w:szCs w:val="24"/>
        </w:rPr>
        <w:t>HOD</w:t>
      </w:r>
    </w:p>
    <w:p w14:paraId="6B3E2618" w14:textId="4002F0B0" w:rsidR="008E5029" w:rsidRPr="008E5029" w:rsidRDefault="008E5029" w:rsidP="008E502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This study employs a qualitative library research approach to examine the transformation of mathematics </w:t>
      </w:r>
      <w:proofErr w:type="spellStart"/>
      <w:r w:rsidRPr="008E5029">
        <w:rPr>
          <w:rFonts w:ascii="Times New Roman" w:eastAsia="Times New Roman" w:hAnsi="Times New Roman" w:cs="Times New Roman"/>
          <w:bCs/>
          <w:sz w:val="24"/>
          <w:szCs w:val="24"/>
        </w:rPr>
        <w:t>education</w:t>
      </w:r>
      <w:proofErr w:type="spellEnd"/>
      <w:r w:rsidRPr="008E5029">
        <w:rPr>
          <w:rFonts w:ascii="Times New Roman" w:eastAsia="Times New Roman" w:hAnsi="Times New Roman" w:cs="Times New Roman"/>
          <w:bCs/>
          <w:sz w:val="24"/>
          <w:szCs w:val="24"/>
        </w:rPr>
        <w:t xml:space="preserve"> in </w:t>
      </w:r>
      <w:proofErr w:type="spellStart"/>
      <w:r w:rsidRPr="008E5029">
        <w:rPr>
          <w:rFonts w:ascii="Times New Roman" w:eastAsia="Times New Roman" w:hAnsi="Times New Roman" w:cs="Times New Roman"/>
          <w:bCs/>
          <w:sz w:val="24"/>
          <w:szCs w:val="24"/>
        </w:rPr>
        <w:t>the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age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of</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artificial</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intelligence</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{"citationItems":[{"id":"ITEM-1","itemData":{"ISBN":"1506386695","author":[{"dropping-particle":"","family":"Creswell","given":"John W","non-dropping-particle":"","parse-names":false,"suffix":""},{"dropping-particle":"","family":"Creswell","given":"J David","non-dropping-particle":"","parse-names":false,"suffix":""}],"id":"ITEM-1","issued":{"date-parts":[["2017"]]},"publisher":"Sage publications","title":"Research design: Qualitative, quantitative, and mixed methods approaches","type":"book"},"uris":["http://www.mendeley.com/documents/?uuid=3e897cc2-8a96-4489-b4e4-a9fb25e244d9"]}],"mendeley":{"formattedCitation":"(Creswell &amp; Creswell, 2017)","plainTextFormattedCitation":"(Creswell &amp; Creswell, 2017)","previouslyFormattedCitation":"(Creswell &amp; Creswell, 2017)"},"properties":{"noteIndex":0},"schema":"https://github.com/citation-style-language/schema/raw/master/csl-citation.json"}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(Creswell &amp; Creswell, 2017)</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 Library research is appropriate because the purpose of this study is to critically analyze and synthesize existing theoretical and empirical scholarship concerning AI and mathematics education rather than to measure the effectiveness of a particular intervention through primary field data. The study therefore positions existing academic literature as the principal source for identifying conceptual developments, pedagogical opportunities, educational risks, and emerging directions in AI-integrated mathematics education.</w:t>
      </w:r>
    </w:p>
    <w:p w14:paraId="4A484D5F" w14:textId="77777777" w:rsidR="008E5029" w:rsidRPr="008E5029" w:rsidRDefault="008E5029" w:rsidP="008E502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The sources analyzed in this study include peer-reviewed national and international journal articles, academic books, research reports, and scholarly publications concerning artificial intelligence in education, generative AI, mathematics education, mathematical reasoning, problem </w:t>
      </w:r>
      <w:r w:rsidRPr="008E5029">
        <w:rPr>
          <w:rFonts w:ascii="Times New Roman" w:eastAsia="Times New Roman" w:hAnsi="Times New Roman" w:cs="Times New Roman"/>
          <w:bCs/>
          <w:sz w:val="24"/>
          <w:szCs w:val="24"/>
        </w:rPr>
        <w:lastRenderedPageBreak/>
        <w:t>solving, mathematical literacy, computational thinking, intelligent tutoring systems, adaptive learning, assessment, and teacher roles in technology-mediated learning. Relevant literature concerning AI literacy and students' critical evaluation of AI-generated information is also considered because these issues have become increasingly important as AI systems become accessible to mathematics learners.</w:t>
      </w:r>
    </w:p>
    <w:p w14:paraId="52CD09A8" w14:textId="77777777" w:rsidR="008E5029" w:rsidRPr="008E5029" w:rsidRDefault="008E5029" w:rsidP="008E502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literature was selected according to its relevance to the central research problem. Particular attention was given to studies that discuss the changing nature of mathematical competence, the pedagogical potential of AI, risks associated with AI dependence, the role of teachers, changes in assessment, and the development of students' independent mathematical reasoning. The selected literature was subsequently organized into thematic categories to enable systematic comparison across different perspectives.</w:t>
      </w:r>
    </w:p>
    <w:p w14:paraId="1EF84B33" w14:textId="77777777" w:rsidR="008E5029" w:rsidRPr="008E5029" w:rsidRDefault="008E5029" w:rsidP="008E502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The analysis was conducted through thematic interpretation and conceptual synthesis. The first analytical theme concerned the relationship between algorithmic performance and mathematical learning. The second examined the opportunities offered by AI for personalization, feedback, visualization, and mathematical exploration. The third analyzed potential risks, including cognitive offloading, reduced productive struggle, superficial understanding, and dependence on automated solutions. The fourth examined implications for assessment and teacher roles, while the fifth focused on mathematical agency and AI literacy </w:t>
      </w:r>
      <w:r w:rsidRPr="008E5029">
        <w:rPr>
          <w:rFonts w:ascii="Times New Roman" w:eastAsia="Times New Roman" w:hAnsi="Times New Roman" w:cs="Times New Roman"/>
          <w:bCs/>
          <w:sz w:val="24"/>
          <w:szCs w:val="24"/>
        </w:rPr>
        <w:t>as emerging dimensions of mathematics education.</w:t>
      </w:r>
    </w:p>
    <w:p w14:paraId="7F58B955" w14:textId="7171160A" w:rsidR="008E5029" w:rsidRPr="007A0D34" w:rsidRDefault="008E5029" w:rsidP="008E502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final stage of the analysis involved synthesizing these themes into a human-centered conceptual framework. The framework was developed by connecting the technological capabilities of AI with established principles of mathematics education and identifying the forms of mathematical competence that should remain central when algorithmic procedures become increasingly automated. The resulting framework emphasizes conceptual understanding, mathematical reasoning, problem formulation, critical evaluation, mathematical communication, AI literacy, and student agency.</w:t>
      </w:r>
    </w:p>
    <w:p w14:paraId="270ADA13" w14:textId="77777777" w:rsidR="00167B15" w:rsidRDefault="00167B15" w:rsidP="00167B15">
      <w:pPr>
        <w:spacing w:after="0" w:line="240" w:lineRule="auto"/>
        <w:rPr>
          <w:rFonts w:ascii="Times New Roman" w:eastAsia="Times New Roman" w:hAnsi="Times New Roman" w:cs="Times New Roman"/>
          <w:b/>
          <w:sz w:val="24"/>
          <w:szCs w:val="24"/>
        </w:rPr>
      </w:pPr>
    </w:p>
    <w:p w14:paraId="665CCD10" w14:textId="06E560C6" w:rsidR="00167B15" w:rsidRDefault="0039399B" w:rsidP="005D69C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 AND DISCUSSION</w:t>
      </w:r>
    </w:p>
    <w:p w14:paraId="28760938" w14:textId="1DDBF21F" w:rsidR="0039399B" w:rsidRDefault="0039399B" w:rsidP="005D69C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0B86BE8C" w14:textId="065CCD39"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Transformation of Mathematical Competence</w:t>
      </w:r>
    </w:p>
    <w:p w14:paraId="4B48C053"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The analysis indicates that artificial intelligence is changing the meaning of mathematical competence because machines can increasingly perform many procedural and computational activities that traditionally occupied a substantial part of mathematics learning. AI systems can calculate, solve equations, manipulate symbolic expressions, generate graphs, and produce explanations with considerable speed. Consequently, the ability to execute certain algorithms manually is becoming less sufficient as the sole indicator of mathematical competence. Procedural fluency remains important because students need knowledge of mathematical procedures to understand structures and communicate mathematical ideas, but it should increasingly be integrated with </w:t>
      </w:r>
      <w:r w:rsidRPr="008E5029">
        <w:rPr>
          <w:rFonts w:ascii="Times New Roman" w:eastAsia="Times New Roman" w:hAnsi="Times New Roman" w:cs="Times New Roman"/>
          <w:bCs/>
          <w:sz w:val="24"/>
          <w:szCs w:val="24"/>
        </w:rPr>
        <w:lastRenderedPageBreak/>
        <w:t>conceptual and reasoning-based competencies.</w:t>
      </w:r>
    </w:p>
    <w:p w14:paraId="41070439"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literature suggests that mathematical competence in an AI-supported environment should involve students' ability to determine when a mathematical procedure is appropriate, why it works, what assumptions it requires, and how its results should be interpreted. The emphasis therefore shifts from simply performing an algorithm toward understanding the mathematical ideas represented by that algorithm. Students need to become capable of examining the validity of a solution rather than merely reproducing a sequence of computational steps.</w:t>
      </w:r>
    </w:p>
    <w:p w14:paraId="4539D0E7" w14:textId="6CEE7B35"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AI and Personalized Mathematics Learning</w:t>
      </w:r>
    </w:p>
    <w:p w14:paraId="561011B9"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findings indicate that AI provides considerable opportunities for personalized mathematics learning. AI systems can generate exercises at different levels of difficulty, provide immediate feedback, present alternative explanations, and offer additional examples when students encounter difficulties. These capabilities may help accommodate differences in students' prior knowledge, learning pace, and preferred forms of explanation.</w:t>
      </w:r>
    </w:p>
    <w:p w14:paraId="4184BDF3"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Nevertheless, personalization through AI should not be understood as an automatic solution to individual learning difficulties. Mathematical misconceptions often require careful interpretation of students' reasoning rather than merely generating additional exercises. Teachers therefore remain essential in identifying the nature of students' difficulties and determining whether AI-generated explanations genuinely address those difficulties. AI can expand the resources available for personalization, but meaningful </w:t>
      </w:r>
      <w:r w:rsidRPr="008E5029">
        <w:rPr>
          <w:rFonts w:ascii="Times New Roman" w:eastAsia="Times New Roman" w:hAnsi="Times New Roman" w:cs="Times New Roman"/>
          <w:bCs/>
          <w:sz w:val="24"/>
          <w:szCs w:val="24"/>
        </w:rPr>
        <w:t>personalization still requires pedagogical judgment.</w:t>
      </w:r>
    </w:p>
    <w:p w14:paraId="1C77E1A8" w14:textId="2663A3B1"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AI as a Tool for Mathematical Exploration</w:t>
      </w:r>
    </w:p>
    <w:p w14:paraId="3E189D5C"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literature also indicates that AI can support mathematical exploration by enabling students to generate examples, compare solution strategies, investigate patterns, and examine mathematical conjectures. Instead of using AI only to obtain answers, students can be encouraged to question its responses and investigate whether the proposed solutions are mathematically valid.</w:t>
      </w:r>
    </w:p>
    <w:p w14:paraId="51599628"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This approach changes the position of AI within mathematics learning. AI is no longer merely a tool that produces answers but becomes an object that students can interrogate, test, and critique. Such use has the potential to strengthen students' mathematical reasoning because students are required to compare AI-generated claims with mathematical principles and evidence.</w:t>
      </w:r>
    </w:p>
    <w:p w14:paraId="74E25E29" w14:textId="73F8D4D4"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Risks of Cognitive Offloading and Dependency</w:t>
      </w:r>
    </w:p>
    <w:p w14:paraId="2B433EBC"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Despite its pedagogical potential, excessive dependence on AI may reduce students' engagement with the cognitive processes required for mathematical learning. When students routinely delegate problem-solving tasks to AI, they may avoid the productive struggle that contributes to conceptual development and strategic thinking. The immediate availability of solutions can also encourage students to focus on task completion rather than understanding.</w:t>
      </w:r>
    </w:p>
    <w:p w14:paraId="4DCA853E"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findings therefore indicate that AI use requires careful pedagogical regulation. The central concern is not whether students use AI but whether they remain intellectually responsible for the mathematical reasoning involved. AI-</w:t>
      </w:r>
      <w:r w:rsidRPr="008E5029">
        <w:rPr>
          <w:rFonts w:ascii="Times New Roman" w:eastAsia="Times New Roman" w:hAnsi="Times New Roman" w:cs="Times New Roman"/>
          <w:bCs/>
          <w:sz w:val="24"/>
          <w:szCs w:val="24"/>
        </w:rPr>
        <w:lastRenderedPageBreak/>
        <w:t>supported learning becomes problematic when students can no longer explain, justify, or independently reproduce the mathematical reasoning behind an AI-generated solution.</w:t>
      </w:r>
    </w:p>
    <w:p w14:paraId="6D667848" w14:textId="10DE0C97"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Transformation of Mathematical Assessment</w:t>
      </w:r>
    </w:p>
    <w:p w14:paraId="0F215D6B" w14:textId="77777777" w:rsidR="008E5029"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analysis shows that conventional answer-based assessment faces increasing challenges in an AI-rich environment. A final answer generated by AI provides limited evidence regarding the student's actual mathematical understanding. Assessment therefore needs to place greater emphasis on mathematical explanations, reasoning processes, problem formulation, interpretation, justification, and the ability to evaluate alternative solutions.</w:t>
      </w:r>
    </w:p>
    <w:p w14:paraId="2D7E3232" w14:textId="2B8D25B7" w:rsidR="0039399B" w:rsidRPr="008E5029" w:rsidRDefault="008E5029" w:rsidP="005D69CD">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findings suggest that AI can also become part of assessment itself. Students may be asked to analyze an AI-generated solution, identify mathematical errors, compare two different approaches, or improve an incomplete explanation. Such assessments can evaluate whether students possess the mathematical knowledge necessary to judge machine-generated outputs. In this way, AI becomes not merely a challenge to assessment but also an opportunity to redesign assessment around deeper mathematical competencies.</w:t>
      </w:r>
    </w:p>
    <w:p w14:paraId="2788D1A6" w14:textId="77777777" w:rsidR="0039399B" w:rsidRDefault="0039399B" w:rsidP="005D69CD">
      <w:pPr>
        <w:spacing w:after="0" w:line="240" w:lineRule="auto"/>
        <w:rPr>
          <w:rFonts w:ascii="Times New Roman" w:eastAsia="Times New Roman" w:hAnsi="Times New Roman" w:cs="Times New Roman"/>
          <w:b/>
          <w:sz w:val="24"/>
          <w:szCs w:val="24"/>
        </w:rPr>
      </w:pPr>
    </w:p>
    <w:p w14:paraId="0B307E3B" w14:textId="1981FC94" w:rsidR="0039399B" w:rsidRDefault="0039399B" w:rsidP="005D69C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4B248931" w14:textId="47A4F4F0"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From Algorithmic Performance to Mathematical Understanding</w:t>
      </w:r>
    </w:p>
    <w:p w14:paraId="53AFF836" w14:textId="090BE688"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The most fundamental implication of AI for mathematics education is the need to distinguish between algorithmic performance and mathematical understanding. AI can perform procedures extremely </w:t>
      </w:r>
      <w:r w:rsidRPr="008E5029">
        <w:rPr>
          <w:rFonts w:ascii="Times New Roman" w:eastAsia="Times New Roman" w:hAnsi="Times New Roman" w:cs="Times New Roman"/>
          <w:bCs/>
          <w:sz w:val="24"/>
          <w:szCs w:val="24"/>
        </w:rPr>
        <w:t xml:space="preserve">efficiently, but efficiency in executing an algorithm does not necessarily constitute understanding. Mathematical understanding involves recognizing relationships, interpreting representations, connecting concepts, explaining </w:t>
      </w:r>
      <w:proofErr w:type="spellStart"/>
      <w:r w:rsidRPr="008E5029">
        <w:rPr>
          <w:rFonts w:ascii="Times New Roman" w:eastAsia="Times New Roman" w:hAnsi="Times New Roman" w:cs="Times New Roman"/>
          <w:bCs/>
          <w:sz w:val="24"/>
          <w:szCs w:val="24"/>
        </w:rPr>
        <w:t>reasoning</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and</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transferring</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knowledge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to</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unfamiliar</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situations</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DOI":"http://dx.doi.org/10.31258/jes.3.2.p.195-204","ISSN":"2581-2203","author":[{"dropping-particle":"","family":"Karuniakhalida","given":"Puji","non-dropping-particle":"","parse-names":false,"suffix":""},{"dropping-particle":"","family":"Maimunah","given":"Maimunah","non-dropping-particle":"","parse-names":false,"suffix":""},{"dropping-particle":"","family":"Murni","given":"Atma","non-dropping-particle":"","parse-names":false,"suffix":""}],"container-title":"Journal of Educational Sciences","id":"ITEM-1","issue":"2","issued":{"date-parts":[["2019"]]},"page":"195-204","title":"Development of ICT-Based Mathematical Media on Linear Program Materials to improve motivation learning students","type":"article-journal","volume":"3"},"uris":["http://www.mendeley.com/documents/?uuid=c3c9ca7a-d51e-4523-9681-8f4cdfcd3640"]}],"mendeley":{"formattedCitation":"(Karuniakhalida et al., 2019)","plainTextFormattedCitation":"(Karuniakhalida et al., 2019)","previouslyFormattedCitation":"(Karuniakhalida et al., 2019)"},"properties":{"noteIndex":0},"schema":"https://github.com/citation-style-language/schema/raw/master/csl-citation.json"}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(Karuniakhalida et al., 2019)</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w:t>
      </w:r>
    </w:p>
    <w:p w14:paraId="20D22089"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This distinction suggests that mathematics education should not abandon procedural knowledge but should reposition it within a broader conception of mathematical competence. Students should still learn mathematical procedures, but they should also understand the conceptual structures that make those procedures meaningful. In an AI-rich environment, knowing how a procedure works and knowing when it should be used may become more educationally significant than simply performing the procedure quickly.</w:t>
      </w:r>
    </w:p>
    <w:p w14:paraId="3836F758" w14:textId="5FE27F27"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From Problem Solving to Problem Formulation</w:t>
      </w:r>
    </w:p>
    <w:p w14:paraId="2FBBC110" w14:textId="7367F611"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AI's capacity to solve predefined mathematical problems creates an opportunity to increase the importance of problem formulation. Students can be challenged not only to solve mathematical problems but also to determine what problems should be formulated from real-world situations. Problem formulation requires students to identify relevant variables, establish relationships, </w:t>
      </w:r>
      <w:proofErr w:type="spellStart"/>
      <w:r w:rsidRPr="008E5029">
        <w:rPr>
          <w:rFonts w:ascii="Times New Roman" w:eastAsia="Times New Roman" w:hAnsi="Times New Roman" w:cs="Times New Roman"/>
          <w:bCs/>
          <w:sz w:val="24"/>
          <w:szCs w:val="24"/>
        </w:rPr>
        <w:t>determine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assumptions</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and</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define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appropriate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mathematical</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objectives</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ISSN":"2503-3697","author":[{"dropping-particle":"","family":"Rahayuningsih","given":"Sri","non-dropping-particle":"","parse-names":false,"suffix":""},{"dropping-particle":"","family":"Sirajuddin","given":"Sirajuddin","non-dropping-particle":"","parse-names":false,"suffix":""},{"dropping-particle":"","family":"Nasrun","given":"Nasrun","non-dropping-particle":"","parse-names":false,"suffix":""}],"container-title":"Journal of Research and Advances in Mathematics Education","id":"ITEM-1","issue":"1","issued":{"date-parts":[["2021"]]},"page":"59-70","publisher":"ERIC","title":"Cognitive Flexibility: Exploring Students' Problem-Solving in Elementary School Mathematics Learning.","type":"article-journal","volume":"6"},"uris":["http://www.mendeley.com/documents/?uuid=4c974e90-17fd-443b-b412-7d8c96a177ac"]}],"mendeley":{"formattedCitation":"(Rahayuningsih et al., 2021)","plainTextFormattedCitation":"(Rahayuningsih et al., 2021)","previouslyFormattedCitation":"(Rahayuningsih et al., 2021)"},"properties":{"noteIndex":0},"schema":"https://github.com/citation-style-language/schema/raw/master/csl-citation.json"}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(Rahayuningsih et al., 2021)</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w:t>
      </w:r>
    </w:p>
    <w:p w14:paraId="50EA5156"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This represents a significant shift because problem formulation places students in the position of mathematical decision-makers. Instead of merely responding to problems provided by teachers or AI systems, students become responsible for constructing </w:t>
      </w:r>
      <w:r w:rsidRPr="008E5029">
        <w:rPr>
          <w:rFonts w:ascii="Times New Roman" w:eastAsia="Times New Roman" w:hAnsi="Times New Roman" w:cs="Times New Roman"/>
          <w:bCs/>
          <w:sz w:val="24"/>
          <w:szCs w:val="24"/>
        </w:rPr>
        <w:lastRenderedPageBreak/>
        <w:t>mathematical representations of situations. AI can subsequently be used to explore or test these formulations, but the intellectual responsibility for defining the problem remains with the learner.</w:t>
      </w:r>
    </w:p>
    <w:p w14:paraId="483F37DE" w14:textId="5D3C14E8"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AI as a Dialogue Partner for Mathematical Reasoning</w:t>
      </w:r>
    </w:p>
    <w:p w14:paraId="3C4F2181" w14:textId="18E7A2CC"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AI can support mathematics learning when it is used as a dialogue partner rather than an answer machine. Students can ask AI to provide alternative strategies, explain concepts in different ways, generate counterexamples, or identify potential weaknesses in a mathematical argument. These interactions can stimulate mathematical questioning when students are </w:t>
      </w:r>
      <w:proofErr w:type="spellStart"/>
      <w:r w:rsidRPr="008E5029">
        <w:rPr>
          <w:rFonts w:ascii="Times New Roman" w:eastAsia="Times New Roman" w:hAnsi="Times New Roman" w:cs="Times New Roman"/>
          <w:bCs/>
          <w:sz w:val="24"/>
          <w:szCs w:val="24"/>
        </w:rPr>
        <w:t>required</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to</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evaluate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the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responses</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critically</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{"citationItems":[{"id":"ITEM-1","itemData":{"DOI":"https://doi.org/10.33367/jtme.v3i1.6700","ISSN":"2986-8041","author":[{"dropping-particle":"","family":"Ayyubi","given":"Ibnu Imam","non-dropping-particle":"Al","parse-names":false,"suffix":""},{"dropping-particle":"","family":"Rahmawati","given":"Siti","non-dropping-particle":"","parse-names":false,"suffix":""},{"dropping-particle":"","family":"Trimulyati","given":"Siti Hajar","non-dropping-particle":"","parse-names":false,"suffix":""},{"dropping-particle":"","family":"Setiawati","given":"Teti","non-dropping-particle":"","parse-names":false,"suffix":""}],"container-title":"Noumerico: Journal of Technology in Mathematics Education","id":"ITEM-1","issue":"1","issued":{"date-parts":[["2025"]]},"page":"11-25","title":"The Influence of Manipulative Media Usage on Students' Understanding of Fraction Operations in Elementary Schools","type":"article-journal","volume":"3"},"uris":["http://www.mendeley.com/documents/?uuid=5ebf1bcb-39f9-45d0-9e70-6b2e0a9196af"]}],"mendeley":{"formattedCitation":"(Al Ayyubi, Rahmawati, et al., 2025)","plainTextFormattedCitation":"(Al Ayyubi, Rahmawati, et al., 2025)","previouslyFormattedCitation":"(Al Ayyubi, Rahmawati, et al., 2025)"},"properties":{"noteIndex":0},"schema":"https://github.com/citation-style-language/schema/raw/master/csl-citation.json"}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(Al Ayyubi, Rahmawati, et al., 2025)</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w:t>
      </w:r>
    </w:p>
    <w:p w14:paraId="42C5343F"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However, the dialogic potential of AI depends on the quality of the questions posed by students. Students who lack sufficient mathematical understanding may accept AI-generated explanations without recognizing their limitations. Mathematics education therefore needs to teach students how to ask mathematically meaningful questions and how to verify the responses they receive.</w:t>
      </w:r>
    </w:p>
    <w:p w14:paraId="22721B52" w14:textId="1C27B58C"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The Changing Role of the Mathematics Teacher</w:t>
      </w:r>
    </w:p>
    <w:p w14:paraId="0E8EE8BE"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integration of AI does not make mathematics teachers less important. Instead, it shifts the teacher's role from primarily transmitting procedures toward designing meaningful mathematical experiences and facilitating deeper reasoning. Teachers need to create tasks that require students to explain, justify, compare, critique, and apply mathematical ideas rather than merely obtain answers.</w:t>
      </w:r>
    </w:p>
    <w:p w14:paraId="1B836D3C" w14:textId="78794C9C"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Teachers </w:t>
      </w:r>
      <w:proofErr w:type="spellStart"/>
      <w:r w:rsidRPr="008E5029">
        <w:rPr>
          <w:rFonts w:ascii="Times New Roman" w:eastAsia="Times New Roman" w:hAnsi="Times New Roman" w:cs="Times New Roman"/>
          <w:bCs/>
          <w:sz w:val="24"/>
          <w:szCs w:val="24"/>
        </w:rPr>
        <w:t>also</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become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important</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mediators</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of</w:t>
      </w:r>
      <w:proofErr w:type="spellEnd"/>
      <w:r w:rsidRPr="008E5029">
        <w:rPr>
          <w:rFonts w:ascii="Times New Roman" w:eastAsia="Times New Roman" w:hAnsi="Times New Roman" w:cs="Times New Roman"/>
          <w:bCs/>
          <w:sz w:val="24"/>
          <w:szCs w:val="24"/>
        </w:rPr>
        <w:t xml:space="preserve"> AI </w:t>
      </w:r>
      <w:proofErr w:type="spellStart"/>
      <w:r w:rsidRPr="008E5029">
        <w:rPr>
          <w:rFonts w:ascii="Times New Roman" w:eastAsia="Times New Roman" w:hAnsi="Times New Roman" w:cs="Times New Roman"/>
          <w:bCs/>
          <w:sz w:val="24"/>
          <w:szCs w:val="24"/>
        </w:rPr>
        <w:t>literacy</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{"citationItems":[{"id":"ITEM-1","itemData":{"DOI":"https://doi.org/10.26740/mathedunesa.v11n1.p302-310","ISSN":"2301-9085","author":[{"dropping-particle":"","family":"Salafy","given":"Yazid Wafa'As","non-dropping-particle":"","parse-names":false,"suffix":""},{"dropping-particle":"","family":"Susanah","given":"Susanah","non-dropping-particle":"","parse-names":false,"suffix":""}],"container-title":"MATHEdunesa","id":"ITEM-1","issue":"1","issued":{"date-parts":[["2022"]]},"page":"302-310","title":"Perbandingan Literasi Matematika Siswa Kelas VIII SMP Dalam Pembelajaran Model Eliciting Activities (Meas) Dan Pembelajaran Konvensional","type":"article-journal","volume":"11"},"uris":["http://www.mendeley.com/documents/?uuid=4533d73b-7e17-4ce1-b961-69ce85c49fb8"]}],"mendeley":{"formattedCitation":"(Salafy &amp; Susanah, 2022)","plainTextFormattedCitation":"(Salafy &amp; Susanah, 2022)","previouslyFormattedCitation":"(Salafy &amp; Susanah, 2022)"},"properties":{"noteIndex":0},"schema":"https://github.com/citation-style-language/schema/raw/master/csl-citation.json"}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(Salafy &amp; Susanah, 2022)</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 xml:space="preserve">. They need to help students understand the limitations of AI, recognize potential errors, evaluate sources, and </w:t>
      </w:r>
      <w:proofErr w:type="spellStart"/>
      <w:r w:rsidRPr="008E5029">
        <w:rPr>
          <w:rFonts w:ascii="Times New Roman" w:eastAsia="Times New Roman" w:hAnsi="Times New Roman" w:cs="Times New Roman"/>
          <w:bCs/>
          <w:sz w:val="24"/>
          <w:szCs w:val="24"/>
        </w:rPr>
        <w:t>distinguish</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plausible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explanations</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from</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mathematically</w:t>
      </w:r>
      <w:proofErr w:type="spellEnd"/>
      <w:r w:rsidRPr="008E5029">
        <w:rPr>
          <w:rFonts w:ascii="Times New Roman" w:eastAsia="Times New Roman" w:hAnsi="Times New Roman" w:cs="Times New Roman"/>
          <w:bCs/>
          <w:sz w:val="24"/>
          <w:szCs w:val="24"/>
        </w:rPr>
        <w:t xml:space="preserve"> valid </w:t>
      </w:r>
      <w:proofErr w:type="spellStart"/>
      <w:r w:rsidRPr="008E5029">
        <w:rPr>
          <w:rFonts w:ascii="Times New Roman" w:eastAsia="Times New Roman" w:hAnsi="Times New Roman" w:cs="Times New Roman"/>
          <w:bCs/>
          <w:sz w:val="24"/>
          <w:szCs w:val="24"/>
        </w:rPr>
        <w:t>reasoning</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{"citationItems":[{"id":"ITEM-1","itemData":{"ISSN":"2621-363X","author":[{"dropping-particle":"","family":"Wardika","given":"I Wayan Gede","non-dropping-particle":"","parse-names":false,"suffix":""},{"dropping-particle":"","family":"Putra","given":"I Putu Surya Adi","non-dropping-particle":"","parse-names":false,"suffix":""}],"container-title":"Journal of Songke Math","id":"ITEM-1","issue":"1","issued":{"date-parts":[["2019"]]},"page":"23-34","title":"Pengaruh Model Pembelajaran Kooperatif Tipe STAD berbantuan GeoGebra Terhadap Hasil Belajar Program Linear ditinjau dari Pengetahuan Awal Mahasiswa","type":"article-journal","volume":"2"},"uris":["http://www.mendeley.com/documents/?uuid=fbd042dc-b536-44a3-a11a-adf79646ce2f"]}],"mendeley":{"formattedCitation":"(Wardika &amp; Putra, 2019)","plainTextFormattedCitation":"(Wardika &amp; Putra, 2019)","previouslyFormattedCitation":"(Wardika &amp; Putra, 2019)"},"properties":{"noteIndex":0},"schema":"https://github.com/citation-style-language/schema/raw/master/csl-citation.json"}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(Wardika &amp; Putra, 2019)</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 Consequently, teacher expertise remains central because technology cannot independently determine the pedagogical significance of a mathematical activity.</w:t>
      </w:r>
    </w:p>
    <w:p w14:paraId="1C0250B8" w14:textId="39507326"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AI Literacy as a Dimension of Mathematical Literacy</w:t>
      </w:r>
    </w:p>
    <w:p w14:paraId="1FDF65FB"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emergence of AI requires mathematics education to expand its conception of literacy. Mathematical literacy traditionally involves the capacity to formulate, employ, and interpret mathematics in different contexts. In an AI-mediated environment, students increasingly need an additional capability: the ability to critically evaluate mathematical information generated by intelligent systems.</w:t>
      </w:r>
    </w:p>
    <w:p w14:paraId="58581E6E"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This capability may be described as AI mathematical literacy. It involves understanding that AI-generated mathematical responses are not automatically correct, checking calculations, examining assumptions, comparing solution methods, identifying inconsistencies, and determining whether the output is appropriate for the problem context. Students therefore need to become both users and critics of AI-generated mathematics.</w:t>
      </w:r>
    </w:p>
    <w:p w14:paraId="47945068" w14:textId="7D59183F"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Mathematical Agency in the Age of AI</w:t>
      </w:r>
    </w:p>
    <w:p w14:paraId="1FDD7595" w14:textId="4D90015B"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Mathematical agency becomes increasingly important when AI can perform many mathematical procedures. Students need to maintain ownership of </w:t>
      </w:r>
      <w:r w:rsidRPr="008E5029">
        <w:rPr>
          <w:rFonts w:ascii="Times New Roman" w:eastAsia="Times New Roman" w:hAnsi="Times New Roman" w:cs="Times New Roman"/>
          <w:bCs/>
          <w:sz w:val="24"/>
          <w:szCs w:val="24"/>
        </w:rPr>
        <w:lastRenderedPageBreak/>
        <w:t xml:space="preserve">mathematical decisions even when technological tools perform calculations or generate possible solutions. Agency involves deciding what to investigate, choosing appropriate </w:t>
      </w:r>
      <w:proofErr w:type="spellStart"/>
      <w:r w:rsidRPr="008E5029">
        <w:rPr>
          <w:rFonts w:ascii="Times New Roman" w:eastAsia="Times New Roman" w:hAnsi="Times New Roman" w:cs="Times New Roman"/>
          <w:bCs/>
          <w:sz w:val="24"/>
          <w:szCs w:val="24"/>
        </w:rPr>
        <w:t>strategies</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evaluating</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evidence</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and</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defending</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mathematical</w:t>
      </w:r>
      <w:proofErr w:type="spellEnd"/>
      <w:r w:rsidRPr="008E5029">
        <w:rPr>
          <w:rFonts w:ascii="Times New Roman" w:eastAsia="Times New Roman" w:hAnsi="Times New Roman" w:cs="Times New Roman"/>
          <w:bCs/>
          <w:sz w:val="24"/>
          <w:szCs w:val="24"/>
        </w:rPr>
        <w:t xml:space="preserve"> </w:t>
      </w:r>
      <w:proofErr w:type="spellStart"/>
      <w:r w:rsidRPr="008E5029">
        <w:rPr>
          <w:rFonts w:ascii="Times New Roman" w:eastAsia="Times New Roman" w:hAnsi="Times New Roman" w:cs="Times New Roman"/>
          <w:bCs/>
          <w:sz w:val="24"/>
          <w:szCs w:val="24"/>
        </w:rPr>
        <w:t>conclusions</w:t>
      </w:r>
      <w:proofErr w:type="spellEnd"/>
      <w:r w:rsidR="009C322D">
        <w:rPr>
          <w:rFonts w:ascii="Times New Roman" w:eastAsia="Times New Roman" w:hAnsi="Times New Roman" w:cs="Times New Roman"/>
          <w:bCs/>
          <w:sz w:val="24"/>
          <w:szCs w:val="24"/>
        </w:rPr>
        <w:t xml:space="preserve"> </w:t>
      </w:r>
      <w:r w:rsidR="009C322D">
        <w:rPr>
          <w:rFonts w:ascii="Times New Roman" w:eastAsia="Times New Roman" w:hAnsi="Times New Roman" w:cs="Times New Roman"/>
          <w:bCs/>
          <w:sz w:val="24"/>
          <w:szCs w:val="24"/>
        </w:rPr>
        <w:fldChar w:fldCharType="begin" w:fldLock="1"/>
      </w:r>
      <w:r w:rsidR="009C322D">
        <w:rPr>
          <w:rFonts w:ascii="Times New Roman" w:eastAsia="Times New Roman" w:hAnsi="Times New Roman" w:cs="Times New Roman"/>
          <w:bCs/>
          <w:sz w:val="24"/>
          <w:szCs w:val="24"/>
        </w:rPr>
        <w:instrText>ADDIN CSL_CITATION {"citationItems":[{"id":"ITEM-1","itemData":{"DOI":"https://doi.org/10.33365/jm.v2i1.480","ISSN":"2686-5823","author":[{"dropping-particle":"","family":"Widayanti","given":"Retna","non-dropping-particle":"","parse-names":false,"suffix":""},{"dropping-particle":"","family":"Nur'aini","given":"Khumaeroh Dwi","non-dropping-particle":"","parse-names":false,"suffix":""}],"container-title":"Mathema: Jurnal Pendidikan Matematika","id":"ITEM-1","issue":"1","issued":{"date-parts":[["2020"]]},"page":"12-23","title":"Penerapan Model Pembelajaran Problem Based Learning untuk Meningkatkan Prestasi Belajar Matematika dan Aktivitas Siswa","type":"article-journal","volume":"2"},"uris":["http://www.mendeley.com/documents/?uuid=6b15e696-7771-4a08-9be8-43e0a7870368"]},{"id":"ITEM-2","itemData":{"DOI":"10.15408/ajme.v2i2.17819","ISSN":"2654-9948","author":[{"dropping-particle":"","family":"Agusta","given":"Erna Sari","non-dropping-particle":"","parse-names":false,"suffix":""}],"container-title":"ALGORITMA: Journal of Mathematics Education","id":"ITEM-2","issue":"2","issued":{"date-parts":[["2020"]]},"page":"145-165","title":"Peningkatan Kemampuan Matematis Siswa Melalui Pendekatan Pendidikan Matematika Realistik","type":"article-journal","volume":"2"},"uris":["http://www.mendeley.com/documents/?uuid=0d089934-209c-4026-88a9-c41e98439729"]},{"id":"ITEM-3","itemData":{"DOI":"https://doi.org/10.37303/jelmar.v4i2.120","ISSN":"2715-9787","author":[{"dropping-particle":"","family":"Berlian","given":"M Ridho Ratu","non-dropping-particle":"","parse-names":false,"suffix":""},{"dropping-particle":"","family":"Hapizah","given":"Hapizah","non-dropping-particle":"","parse-names":false,"suffix":""},{"dropping-particle":"","family":"Susanti","given":"Ely","non-dropping-particle":"","parse-names":false,"suffix":""}],"container-title":"Journal of Education and Learning Mathematics Research (JELMaR)","id":"ITEM-3","issue":"2","issued":{"date-parts":[["2023"]]},"page":"158-170","title":"Case Study: Learning Material-based on Model-Eliciting Activities to Enhance Problem Solving Abilities and Self Confident","type":"article-journal","volume":"4"},"uris":["http://www.mendeley.com/documents/?uuid=743abc85-b408-4d1f-8076-e781b7cc46b1"]}],"mendeley":{"formattedCitation":"(Agusta, 2020; Berlian et al., 2023; Widayanti &amp; Nur’aini, 2020)","plainTextFormattedCitation":"(Agusta, 2020; Berlian et al., 2023; Widayanti &amp; Nur’aini, 2020)","previouslyFormattedCitation":"(Agusta, 2020; Berlian et al., 2023; Widayanti &amp; Nur’aini, 2020)"},"properties":{"noteIndex":0},"schema":"https://github.com/citation-style-language/schema/raw/master/csl-citation.json"}</w:instrText>
      </w:r>
      <w:r w:rsidR="009C322D">
        <w:rPr>
          <w:rFonts w:ascii="Times New Roman" w:eastAsia="Times New Roman" w:hAnsi="Times New Roman" w:cs="Times New Roman"/>
          <w:bCs/>
          <w:sz w:val="24"/>
          <w:szCs w:val="24"/>
        </w:rPr>
        <w:fldChar w:fldCharType="separate"/>
      </w:r>
      <w:r w:rsidR="009C322D" w:rsidRPr="009C322D">
        <w:rPr>
          <w:rFonts w:ascii="Times New Roman" w:eastAsia="Times New Roman" w:hAnsi="Times New Roman" w:cs="Times New Roman"/>
          <w:bCs/>
          <w:noProof/>
          <w:sz w:val="24"/>
          <w:szCs w:val="24"/>
        </w:rPr>
        <w:t>(Agusta, 2020; Berlian et al., 2023; Widayanti &amp; Nur’aini, 2020)</w:t>
      </w:r>
      <w:r w:rsidR="009C322D">
        <w:rPr>
          <w:rFonts w:ascii="Times New Roman" w:eastAsia="Times New Roman" w:hAnsi="Times New Roman" w:cs="Times New Roman"/>
          <w:bCs/>
          <w:sz w:val="24"/>
          <w:szCs w:val="24"/>
        </w:rPr>
        <w:fldChar w:fldCharType="end"/>
      </w:r>
      <w:r w:rsidRPr="008E5029">
        <w:rPr>
          <w:rFonts w:ascii="Times New Roman" w:eastAsia="Times New Roman" w:hAnsi="Times New Roman" w:cs="Times New Roman"/>
          <w:bCs/>
          <w:sz w:val="24"/>
          <w:szCs w:val="24"/>
        </w:rPr>
        <w:t>.</w:t>
      </w:r>
    </w:p>
    <w:p w14:paraId="0DF499C4"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A human-centered approach therefore positions AI as an extension of students' mathematical capabilities rather than a replacement for them. Students may delegate routine calculations to AI while retaining responsibility for interpreting the results and making mathematical judgments. This division of labor can make learning more meaningful if technological assistance is deliberately integrated into cognitively demanding activities.</w:t>
      </w:r>
    </w:p>
    <w:p w14:paraId="7BBBB65D" w14:textId="20B0D227" w:rsidR="008E5029" w:rsidRPr="008E5029" w:rsidRDefault="008E5029" w:rsidP="005D69CD">
      <w:pPr>
        <w:spacing w:after="0" w:line="240" w:lineRule="auto"/>
        <w:rPr>
          <w:rFonts w:ascii="Times New Roman" w:eastAsia="Times New Roman" w:hAnsi="Times New Roman" w:cs="Times New Roman"/>
          <w:b/>
          <w:bCs/>
          <w:sz w:val="24"/>
          <w:szCs w:val="24"/>
        </w:rPr>
      </w:pPr>
      <w:r w:rsidRPr="008E5029">
        <w:rPr>
          <w:rFonts w:ascii="Times New Roman" w:eastAsia="Times New Roman" w:hAnsi="Times New Roman" w:cs="Times New Roman"/>
          <w:b/>
          <w:bCs/>
          <w:sz w:val="24"/>
          <w:szCs w:val="24"/>
        </w:rPr>
        <w:t>From AI as an Answer Machine to AI as an Object of Inquiry</w:t>
      </w:r>
    </w:p>
    <w:p w14:paraId="6B4FF688"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The analysis suggests that three levels of AI use can be distinguished in mathematics education. At the first level, AI functions as an answer machine in which students submit a problem and receive a solution. This approach provides convenience but offers limited opportunities for mathematical learning. At the second level, AI functions as a learning assistant by providing explanations, examples, feedback, and alternative strategies. This approach has greater pedagogical potential because students interact with mathematical ideas rather than simply obtaining answers. At the third level, AI becomes an object of mathematical inquiry in which students analyze, verify, critique, and improve AI-generated solutions.</w:t>
      </w:r>
    </w:p>
    <w:p w14:paraId="75B1BD35" w14:textId="77777777" w:rsidR="008E5029" w:rsidRPr="008E5029" w:rsidRDefault="008E5029" w:rsidP="00D056E9">
      <w:pPr>
        <w:spacing w:after="0" w:line="240" w:lineRule="auto"/>
        <w:ind w:firstLine="720"/>
        <w:jc w:val="both"/>
        <w:rPr>
          <w:rFonts w:ascii="Times New Roman" w:eastAsia="Times New Roman" w:hAnsi="Times New Roman" w:cs="Times New Roman"/>
          <w:bCs/>
          <w:sz w:val="24"/>
          <w:szCs w:val="24"/>
        </w:rPr>
      </w:pPr>
      <w:r w:rsidRPr="008E5029">
        <w:rPr>
          <w:rFonts w:ascii="Times New Roman" w:eastAsia="Times New Roman" w:hAnsi="Times New Roman" w:cs="Times New Roman"/>
          <w:bCs/>
          <w:sz w:val="24"/>
          <w:szCs w:val="24"/>
        </w:rPr>
        <w:t xml:space="preserve">The third level represents the most promising direction because it places students in an active intellectual </w:t>
      </w:r>
      <w:r w:rsidRPr="008E5029">
        <w:rPr>
          <w:rFonts w:ascii="Times New Roman" w:eastAsia="Times New Roman" w:hAnsi="Times New Roman" w:cs="Times New Roman"/>
          <w:bCs/>
          <w:sz w:val="24"/>
          <w:szCs w:val="24"/>
        </w:rPr>
        <w:t>position. Students are required to determine whether the AI is correct, explain why a solution works or fails, and construct their own mathematical arguments. This approach transforms AI from a mechanism for avoiding mathematical thinking into a stimulus for deeper mathematical thinking.</w:t>
      </w:r>
    </w:p>
    <w:p w14:paraId="0A7BB69C" w14:textId="1DB436CD" w:rsidR="00167B15" w:rsidRPr="00D056E9" w:rsidRDefault="00167B15" w:rsidP="005D69CD">
      <w:pPr>
        <w:spacing w:after="0" w:line="240" w:lineRule="auto"/>
        <w:jc w:val="both"/>
        <w:rPr>
          <w:rFonts w:ascii="Times New Roman" w:eastAsia="Times New Roman" w:hAnsi="Times New Roman" w:cs="Times New Roman"/>
          <w:sz w:val="24"/>
          <w:szCs w:val="24"/>
          <w:lang w:val="en-US"/>
        </w:rPr>
      </w:pPr>
    </w:p>
    <w:p w14:paraId="4719233D" w14:textId="7A7CF9C2" w:rsidR="00167B15" w:rsidRDefault="0039399B" w:rsidP="005D69C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467B2B1" w14:textId="77777777" w:rsidR="008E5029" w:rsidRPr="008E5029" w:rsidRDefault="008E5029" w:rsidP="005D69CD">
      <w:pPr>
        <w:spacing w:after="0" w:line="240" w:lineRule="auto"/>
        <w:ind w:firstLine="720"/>
        <w:jc w:val="both"/>
        <w:rPr>
          <w:rFonts w:ascii="Times New Roman" w:eastAsia="Times New Roman" w:hAnsi="Times New Roman" w:cs="Times New Roman"/>
          <w:sz w:val="24"/>
          <w:szCs w:val="24"/>
        </w:rPr>
      </w:pPr>
      <w:r w:rsidRPr="008E5029">
        <w:rPr>
          <w:rFonts w:ascii="Times New Roman" w:eastAsia="Times New Roman" w:hAnsi="Times New Roman" w:cs="Times New Roman"/>
          <w:sz w:val="24"/>
          <w:szCs w:val="24"/>
        </w:rPr>
        <w:t>Artificial intelligence is transforming mathematics education by changing the relationship between human learners and algorithmic mathematical processes. The increasing ability of AI to calculate, solve problems, generate explanations, and provide feedback challenges traditional approaches that place substantial emphasis on procedural execution and final answers. However, the development of AI does not make mathematics learning less important. Instead, it requires a reconsideration of what should constitute meaningful mathematical competence. Conceptual understanding, mathematical reasoning, problem formulation, interpretation, communication, critical evaluation, and independent judgment become increasingly important when routine computational procedures can be delegated to intelligent systems.</w:t>
      </w:r>
    </w:p>
    <w:p w14:paraId="2A69A737" w14:textId="223DB54C" w:rsidR="00167B15" w:rsidRPr="008E5029" w:rsidRDefault="008E5029" w:rsidP="005D69CD">
      <w:pPr>
        <w:spacing w:after="0" w:line="240" w:lineRule="auto"/>
        <w:ind w:firstLine="720"/>
        <w:jc w:val="both"/>
        <w:rPr>
          <w:rFonts w:ascii="Times New Roman" w:eastAsia="Times New Roman" w:hAnsi="Times New Roman" w:cs="Times New Roman"/>
          <w:sz w:val="24"/>
          <w:szCs w:val="24"/>
        </w:rPr>
      </w:pPr>
      <w:r w:rsidRPr="008E5029">
        <w:rPr>
          <w:rFonts w:ascii="Times New Roman" w:eastAsia="Times New Roman" w:hAnsi="Times New Roman" w:cs="Times New Roman"/>
          <w:sz w:val="24"/>
          <w:szCs w:val="24"/>
        </w:rPr>
        <w:t xml:space="preserve">This study proposes a shift from algorithm-centered mathematics education toward human-centered mathematical learning. AI should function as a learning assistant and an object of mathematical inquiry rather than a substitute for students' intellectual activity. Students should remain responsible for understanding mathematical concepts, evaluating AI-generated solutions, verifying results, explaining reasoning, and making </w:t>
      </w:r>
      <w:r w:rsidRPr="008E5029">
        <w:rPr>
          <w:rFonts w:ascii="Times New Roman" w:eastAsia="Times New Roman" w:hAnsi="Times New Roman" w:cs="Times New Roman"/>
          <w:sz w:val="24"/>
          <w:szCs w:val="24"/>
        </w:rPr>
        <w:lastRenderedPageBreak/>
        <w:t>mathematical decisions. Teachers likewise remain central as designers of meaningful mathematical tasks, facilitators of mathematical discourse, and mediators of responsible AI use. The study contributes a conceptual framework that connects AI capabilities with deeper forms of mathematical learning and introduces mathematical agency and AI literacy as increasingly important competencies. Because this study employs library research, the proposed framework remains conceptual and requires empirical validation across different educational levels and contexts. Future research should investigate how AI-supported mathematical tasks influence students' reasoning, conceptual understanding, problem-solving abilities, mathematical agency, and long-term learning independence.</w:t>
      </w:r>
    </w:p>
    <w:p w14:paraId="3240AA78" w14:textId="77777777" w:rsidR="00167B15" w:rsidRPr="00E8515F" w:rsidRDefault="00167B15" w:rsidP="005D69CD">
      <w:pPr>
        <w:spacing w:after="0" w:line="240" w:lineRule="auto"/>
        <w:jc w:val="both"/>
        <w:rPr>
          <w:b/>
          <w:sz w:val="24"/>
          <w:szCs w:val="24"/>
        </w:rPr>
      </w:pPr>
    </w:p>
    <w:p w14:paraId="75D88DFD" w14:textId="5F38033A" w:rsidR="00167B15" w:rsidRDefault="0039399B" w:rsidP="005D69CD">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REFERENCES</w:t>
      </w:r>
    </w:p>
    <w:p w14:paraId="68AFC9F7" w14:textId="01A64914"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sz w:val="24"/>
          <w:szCs w:val="24"/>
        </w:rPr>
        <w:fldChar w:fldCharType="begin" w:fldLock="1"/>
      </w:r>
      <w:r w:rsidRPr="009C322D">
        <w:rPr>
          <w:rFonts w:asciiTheme="majorBidi" w:hAnsiTheme="majorBidi" w:cstheme="majorBidi"/>
          <w:sz w:val="24"/>
          <w:szCs w:val="24"/>
        </w:rPr>
        <w:instrText xml:space="preserve">ADDIN Mendeley Bibliography CSL_BIBLIOGRAPHY </w:instrText>
      </w:r>
      <w:r w:rsidRPr="009C322D">
        <w:rPr>
          <w:rFonts w:asciiTheme="majorBidi" w:hAnsiTheme="majorBidi" w:cstheme="majorBidi"/>
          <w:sz w:val="24"/>
          <w:szCs w:val="24"/>
        </w:rPr>
        <w:fldChar w:fldCharType="separate"/>
      </w:r>
      <w:r w:rsidRPr="009C322D">
        <w:rPr>
          <w:rFonts w:asciiTheme="majorBidi" w:hAnsiTheme="majorBidi" w:cstheme="majorBidi"/>
          <w:noProof/>
          <w:sz w:val="24"/>
          <w:szCs w:val="24"/>
        </w:rPr>
        <w:t xml:space="preserve">Agusta, E. S. (2020). Peningkatan Kemampuan Matematis Siswa Melalui Pendekatan Pendidikan Matematika Realistik. </w:t>
      </w:r>
      <w:r w:rsidRPr="009C322D">
        <w:rPr>
          <w:rFonts w:asciiTheme="majorBidi" w:hAnsiTheme="majorBidi" w:cstheme="majorBidi"/>
          <w:i/>
          <w:iCs/>
          <w:noProof/>
          <w:sz w:val="24"/>
          <w:szCs w:val="24"/>
        </w:rPr>
        <w:t>ALGORITMA: Journal of Mathematics Education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2</w:t>
      </w:r>
      <w:r w:rsidRPr="009C322D">
        <w:rPr>
          <w:rFonts w:asciiTheme="majorBidi" w:hAnsiTheme="majorBidi" w:cstheme="majorBidi"/>
          <w:noProof/>
          <w:sz w:val="24"/>
          <w:szCs w:val="24"/>
        </w:rPr>
        <w:t>(2), 145–165. https://doi.org/10.15408/ajme.v2i2.17819</w:t>
      </w:r>
    </w:p>
    <w:p w14:paraId="3AE3F993"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Al Ayyubi, I. I., Martini, S., Masfuroh, A. S., &amp; Ramdani, A. S. N. (2024). Application of The Brain-Based Learning Model on Students’ Learning Outcomes and Initial Mathematical Abilities. </w:t>
      </w:r>
      <w:r w:rsidRPr="009C322D">
        <w:rPr>
          <w:rFonts w:asciiTheme="majorBidi" w:hAnsiTheme="majorBidi" w:cstheme="majorBidi"/>
          <w:i/>
          <w:iCs/>
          <w:noProof/>
          <w:sz w:val="24"/>
          <w:szCs w:val="24"/>
        </w:rPr>
        <w:t>Tadrusuun: Jurnal Pendidikan Dasar</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3</w:t>
      </w:r>
      <w:r w:rsidRPr="009C322D">
        <w:rPr>
          <w:rFonts w:asciiTheme="majorBidi" w:hAnsiTheme="majorBidi" w:cstheme="majorBidi"/>
          <w:noProof/>
          <w:sz w:val="24"/>
          <w:szCs w:val="24"/>
        </w:rPr>
        <w:t>(2), 246–259. https://doi.org/https://doi.org/10.62274/tadrusuun.v3i2.157</w:t>
      </w:r>
    </w:p>
    <w:p w14:paraId="56EA4502"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Al Ayyubi, I. I., Prayetno, E., Jamaliah, D., &amp; Mumtazah, N. (2024). Equilibrium of Faith and Logic: </w:t>
      </w:r>
      <w:r w:rsidRPr="009C322D">
        <w:rPr>
          <w:rFonts w:asciiTheme="majorBidi" w:hAnsiTheme="majorBidi" w:cstheme="majorBidi"/>
          <w:noProof/>
          <w:sz w:val="24"/>
          <w:szCs w:val="24"/>
        </w:rPr>
        <w:t xml:space="preserve">Integrating Islamic Moral Values and Mathematics Education in Various Contexts. </w:t>
      </w:r>
      <w:r w:rsidRPr="009C322D">
        <w:rPr>
          <w:rFonts w:asciiTheme="majorBidi" w:hAnsiTheme="majorBidi" w:cstheme="majorBidi"/>
          <w:i/>
          <w:iCs/>
          <w:noProof/>
          <w:sz w:val="24"/>
          <w:szCs w:val="24"/>
        </w:rPr>
        <w:t>IJEMR: International Journal of Education Management and Religion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1</w:t>
      </w:r>
      <w:r w:rsidRPr="009C322D">
        <w:rPr>
          <w:rFonts w:asciiTheme="majorBidi" w:hAnsiTheme="majorBidi" w:cstheme="majorBidi"/>
          <w:noProof/>
          <w:sz w:val="24"/>
          <w:szCs w:val="24"/>
        </w:rPr>
        <w:t>(2), 127–144. https://doi.org/https://doi.org/10.71305/ijemr.v1i2.167</w:t>
      </w:r>
    </w:p>
    <w:p w14:paraId="746637F0"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Al Ayyubi, I. I., Rahmawati, S., Trimulyati, S. H., &amp; Setiawati, T. (2025). The Influence of Manipulative Media Usage on Students’ Understanding of Fraction Operations in Elementary Schools. </w:t>
      </w:r>
      <w:r w:rsidRPr="009C322D">
        <w:rPr>
          <w:rFonts w:asciiTheme="majorBidi" w:hAnsiTheme="majorBidi" w:cstheme="majorBidi"/>
          <w:i/>
          <w:iCs/>
          <w:noProof/>
          <w:sz w:val="24"/>
          <w:szCs w:val="24"/>
        </w:rPr>
        <w:t>Noumerico: Journal of Technology in Mathematics Education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3</w:t>
      </w:r>
      <w:r w:rsidRPr="009C322D">
        <w:rPr>
          <w:rFonts w:asciiTheme="majorBidi" w:hAnsiTheme="majorBidi" w:cstheme="majorBidi"/>
          <w:noProof/>
          <w:sz w:val="24"/>
          <w:szCs w:val="24"/>
        </w:rPr>
        <w:t>(1), 11–25. https://doi.org/https://doi.org/10.33367/jtme.v3i1.6700</w:t>
      </w:r>
    </w:p>
    <w:p w14:paraId="107CE6B4"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Al Ayyubi, I. I., Rohaendi, N., Prayetno, E., Masfuroh, A. S., Al-Ghatnaini, R. A. S., &amp; Saelaemae, T. (2025). Application of Geogebra in Mathematics Learning Using a Realistic Mathematics Education Model. </w:t>
      </w:r>
      <w:r w:rsidRPr="009C322D">
        <w:rPr>
          <w:rFonts w:asciiTheme="majorBidi" w:hAnsiTheme="majorBidi" w:cstheme="majorBidi"/>
          <w:i/>
          <w:iCs/>
          <w:noProof/>
          <w:sz w:val="24"/>
          <w:szCs w:val="24"/>
        </w:rPr>
        <w:t>Journal of Teaching and Learning</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1</w:t>
      </w:r>
      <w:r w:rsidRPr="009C322D">
        <w:rPr>
          <w:rFonts w:asciiTheme="majorBidi" w:hAnsiTheme="majorBidi" w:cstheme="majorBidi"/>
          <w:noProof/>
          <w:sz w:val="24"/>
          <w:szCs w:val="24"/>
        </w:rPr>
        <w:t>(2), 125–138. https://doi.org/https://doi.org/10.71305/jtl.v1i2.133</w:t>
      </w:r>
    </w:p>
    <w:p w14:paraId="22AB4C40"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Al Ayyubi, I. I., Widiani, E., Suryana, I., Andriani, A., &amp; Sari, D. W. (2024). Application of the Model-Eliciting Activities (MEAs) Learning Model on Mathematics Learning Based on higher-order thinking Skills (HOTS). </w:t>
      </w:r>
      <w:r w:rsidRPr="009C322D">
        <w:rPr>
          <w:rFonts w:asciiTheme="majorBidi" w:hAnsiTheme="majorBidi" w:cstheme="majorBidi"/>
          <w:i/>
          <w:iCs/>
          <w:noProof/>
          <w:sz w:val="24"/>
          <w:szCs w:val="24"/>
        </w:rPr>
        <w:t>Noumerico: Journal of Technology in Mathematics Education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2</w:t>
      </w:r>
      <w:r w:rsidRPr="009C322D">
        <w:rPr>
          <w:rFonts w:asciiTheme="majorBidi" w:hAnsiTheme="majorBidi" w:cstheme="majorBidi"/>
          <w:noProof/>
          <w:sz w:val="24"/>
          <w:szCs w:val="24"/>
        </w:rPr>
        <w:t>(2), 82–95. https://doi.org/https://doi.org/10.33367/jtme.v2i2.5181</w:t>
      </w:r>
    </w:p>
    <w:p w14:paraId="20990A52"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Berlian, M. R. R., Hapizah, H., &amp; Susanti, E. (2023). Case Study: Learning Material-based on Model-Eliciting Activities to Enhance Problem Solving Abilities and Self </w:t>
      </w:r>
      <w:r w:rsidRPr="009C322D">
        <w:rPr>
          <w:rFonts w:asciiTheme="majorBidi" w:hAnsiTheme="majorBidi" w:cstheme="majorBidi"/>
          <w:noProof/>
          <w:sz w:val="24"/>
          <w:szCs w:val="24"/>
        </w:rPr>
        <w:lastRenderedPageBreak/>
        <w:t xml:space="preserve">Confident. </w:t>
      </w:r>
      <w:r w:rsidRPr="009C322D">
        <w:rPr>
          <w:rFonts w:asciiTheme="majorBidi" w:hAnsiTheme="majorBidi" w:cstheme="majorBidi"/>
          <w:i/>
          <w:iCs/>
          <w:noProof/>
          <w:sz w:val="24"/>
          <w:szCs w:val="24"/>
        </w:rPr>
        <w:t>Journal of Education and Learning Mathematics Research (JELMaR)</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4</w:t>
      </w:r>
      <w:r w:rsidRPr="009C322D">
        <w:rPr>
          <w:rFonts w:asciiTheme="majorBidi" w:hAnsiTheme="majorBidi" w:cstheme="majorBidi"/>
          <w:noProof/>
          <w:sz w:val="24"/>
          <w:szCs w:val="24"/>
        </w:rPr>
        <w:t>(2), 158–170. https://doi.org/https://doi.org/10.37303/jelmar.v4i2.120</w:t>
      </w:r>
    </w:p>
    <w:p w14:paraId="2A2DA1D0"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Creswell, J. W., &amp; Creswell, J. D. (2017). </w:t>
      </w:r>
      <w:r w:rsidRPr="009C322D">
        <w:rPr>
          <w:rFonts w:asciiTheme="majorBidi" w:hAnsiTheme="majorBidi" w:cstheme="majorBidi"/>
          <w:i/>
          <w:iCs/>
          <w:noProof/>
          <w:sz w:val="24"/>
          <w:szCs w:val="24"/>
        </w:rPr>
        <w:t>Research design: Qualitative, quantitative, and mixed methods approaches</w:t>
      </w:r>
      <w:r w:rsidRPr="009C322D">
        <w:rPr>
          <w:rFonts w:asciiTheme="majorBidi" w:hAnsiTheme="majorBidi" w:cstheme="majorBidi"/>
          <w:noProof/>
          <w:sz w:val="24"/>
          <w:szCs w:val="24"/>
        </w:rPr>
        <w:t>. Sage publications.</w:t>
      </w:r>
    </w:p>
    <w:p w14:paraId="33A580FB"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Habibi, M., Wahyuni, N., Rusliah, N., Ilham, M., &amp; Fitri, I. (2021). The Effect of Mathematics Anxiety and Intelligence on Students’ Logical Thinking Ability. </w:t>
      </w:r>
      <w:r w:rsidRPr="009C322D">
        <w:rPr>
          <w:rFonts w:asciiTheme="majorBidi" w:hAnsiTheme="majorBidi" w:cstheme="majorBidi"/>
          <w:i/>
          <w:iCs/>
          <w:noProof/>
          <w:sz w:val="24"/>
          <w:szCs w:val="24"/>
        </w:rPr>
        <w:t>Edumatika: Jurnal Riset Pendidikan Matematika</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4</w:t>
      </w:r>
      <w:r w:rsidRPr="009C322D">
        <w:rPr>
          <w:rFonts w:asciiTheme="majorBidi" w:hAnsiTheme="majorBidi" w:cstheme="majorBidi"/>
          <w:noProof/>
          <w:sz w:val="24"/>
          <w:szCs w:val="24"/>
        </w:rPr>
        <w:t>(1), 77–89. https://doi.org/https://doi.org/10.32939/ejrpm.v4i1.1102</w:t>
      </w:r>
    </w:p>
    <w:p w14:paraId="6F51DD8B"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Hastasari, C., Setiawan, B., &amp; Aw, S. (2022). Students’ communication patterns of islamic boarding schools: the case of Students in Muallimin Muhammadiyah Yogyakarta. </w:t>
      </w:r>
      <w:r w:rsidRPr="009C322D">
        <w:rPr>
          <w:rFonts w:asciiTheme="majorBidi" w:hAnsiTheme="majorBidi" w:cstheme="majorBidi"/>
          <w:i/>
          <w:iCs/>
          <w:noProof/>
          <w:sz w:val="24"/>
          <w:szCs w:val="24"/>
        </w:rPr>
        <w:t>Heliyon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8</w:t>
      </w:r>
      <w:r w:rsidRPr="009C322D">
        <w:rPr>
          <w:rFonts w:asciiTheme="majorBidi" w:hAnsiTheme="majorBidi" w:cstheme="majorBidi"/>
          <w:noProof/>
          <w:sz w:val="24"/>
          <w:szCs w:val="24"/>
        </w:rPr>
        <w:t>(1), e08824. https://doi.org/https://doi.org/10.1016/j.heliyon.2022.e08824</w:t>
      </w:r>
    </w:p>
    <w:p w14:paraId="32AD1ED3"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Karuniakhalida, P., Maimunah, M., &amp; Murni, A. (2019). Development of ICT-Based Mathematical Media on Linear Program Materials to improve motivation learning students. </w:t>
      </w:r>
      <w:r w:rsidRPr="009C322D">
        <w:rPr>
          <w:rFonts w:asciiTheme="majorBidi" w:hAnsiTheme="majorBidi" w:cstheme="majorBidi"/>
          <w:i/>
          <w:iCs/>
          <w:noProof/>
          <w:sz w:val="24"/>
          <w:szCs w:val="24"/>
        </w:rPr>
        <w:t>Journal of Educational Sciences</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3</w:t>
      </w:r>
      <w:r w:rsidRPr="009C322D">
        <w:rPr>
          <w:rFonts w:asciiTheme="majorBidi" w:hAnsiTheme="majorBidi" w:cstheme="majorBidi"/>
          <w:noProof/>
          <w:sz w:val="24"/>
          <w:szCs w:val="24"/>
        </w:rPr>
        <w:t>(2), 195–204. https://doi.org/http://dx.doi.org/10.31258/jes.3.2.p.195-204</w:t>
      </w:r>
    </w:p>
    <w:p w14:paraId="36844BE9"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Liu, B. (2024). Strategic Planning and Resource Allocation in Higher Education Institutions. </w:t>
      </w:r>
      <w:r w:rsidRPr="009C322D">
        <w:rPr>
          <w:rFonts w:asciiTheme="majorBidi" w:hAnsiTheme="majorBidi" w:cstheme="majorBidi"/>
          <w:i/>
          <w:iCs/>
          <w:noProof/>
          <w:sz w:val="24"/>
          <w:szCs w:val="24"/>
        </w:rPr>
        <w:t>The Educational Review, USA</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8</w:t>
      </w:r>
      <w:r w:rsidRPr="009C322D">
        <w:rPr>
          <w:rFonts w:asciiTheme="majorBidi" w:hAnsiTheme="majorBidi" w:cstheme="majorBidi"/>
          <w:noProof/>
          <w:sz w:val="24"/>
          <w:szCs w:val="24"/>
        </w:rPr>
        <w:t>(11). https://doi.org/http://dx.doi.org/10.26855/er.2024.11.014</w:t>
      </w:r>
    </w:p>
    <w:p w14:paraId="0C60F986"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Lubis, A. R., &amp; Azzahra, F. (2021). Student and Teacher Ethics in the </w:t>
      </w:r>
      <w:r w:rsidRPr="009C322D">
        <w:rPr>
          <w:rFonts w:asciiTheme="majorBidi" w:hAnsiTheme="majorBidi" w:cstheme="majorBidi"/>
          <w:noProof/>
          <w:sz w:val="24"/>
          <w:szCs w:val="24"/>
        </w:rPr>
        <w:t xml:space="preserve">Perspective of Al-Ghazali’s Eastern Philosophy. </w:t>
      </w:r>
      <w:r w:rsidRPr="009C322D">
        <w:rPr>
          <w:rFonts w:asciiTheme="majorBidi" w:hAnsiTheme="majorBidi" w:cstheme="majorBidi"/>
          <w:i/>
          <w:iCs/>
          <w:noProof/>
          <w:sz w:val="24"/>
          <w:szCs w:val="24"/>
        </w:rPr>
        <w:t>MIMBAR PENDIDIKAN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6</w:t>
      </w:r>
      <w:r w:rsidRPr="009C322D">
        <w:rPr>
          <w:rFonts w:asciiTheme="majorBidi" w:hAnsiTheme="majorBidi" w:cstheme="majorBidi"/>
          <w:noProof/>
          <w:sz w:val="24"/>
          <w:szCs w:val="24"/>
        </w:rPr>
        <w:t>(1), 1–7. https://doi.org/https://doi.org/10.17509/mimbardik.v6i1.68607</w:t>
      </w:r>
    </w:p>
    <w:p w14:paraId="7F512EEA"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Muhammad, I., Darmayanti, R., Arif, V. R., &amp; Afolaranmi, A. O. (2023). Discovery Learning Research in Mathematics Learning: A Bibliometric Review. </w:t>
      </w:r>
      <w:r w:rsidRPr="009C322D">
        <w:rPr>
          <w:rFonts w:asciiTheme="majorBidi" w:hAnsiTheme="majorBidi" w:cstheme="majorBidi"/>
          <w:i/>
          <w:iCs/>
          <w:noProof/>
          <w:sz w:val="24"/>
          <w:szCs w:val="24"/>
        </w:rPr>
        <w:t>Delta-Phi: Jurnal Pendidikan Matematika</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1</w:t>
      </w:r>
      <w:r w:rsidRPr="009C322D">
        <w:rPr>
          <w:rFonts w:asciiTheme="majorBidi" w:hAnsiTheme="majorBidi" w:cstheme="majorBidi"/>
          <w:noProof/>
          <w:sz w:val="24"/>
          <w:szCs w:val="24"/>
        </w:rPr>
        <w:t>(1), 26–33.</w:t>
      </w:r>
    </w:p>
    <w:p w14:paraId="6881D1C6"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Murharyana, M., Al Ayyubi, I. I., Komarudin, K., Suryana, I., Noerzanah, F., &amp; Rahmawati, S. (2024). Differences and Interactions between Learning Outcomes, Learning Model, and Gender in Islamic Religious Education. </w:t>
      </w:r>
      <w:r w:rsidRPr="009C322D">
        <w:rPr>
          <w:rFonts w:asciiTheme="majorBidi" w:hAnsiTheme="majorBidi" w:cstheme="majorBidi"/>
          <w:i/>
          <w:iCs/>
          <w:noProof/>
          <w:sz w:val="24"/>
          <w:szCs w:val="24"/>
        </w:rPr>
        <w:t>Southeast Asian Journal of Islamic Education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6</w:t>
      </w:r>
      <w:r w:rsidRPr="009C322D">
        <w:rPr>
          <w:rFonts w:asciiTheme="majorBidi" w:hAnsiTheme="majorBidi" w:cstheme="majorBidi"/>
          <w:noProof/>
          <w:sz w:val="24"/>
          <w:szCs w:val="24"/>
        </w:rPr>
        <w:t>(2), 181–195. https://doi.org/https://doi.org/10.21093/sajie.v6i2.8472</w:t>
      </w:r>
    </w:p>
    <w:p w14:paraId="5759820E"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Rahayuningsih, S., Sirajuddin, S., &amp; Nasrun, N. (2021). Cognitive Flexibility: Exploring Students’ Problem-Solving in Elementary School Mathematics Learning. </w:t>
      </w:r>
      <w:r w:rsidRPr="009C322D">
        <w:rPr>
          <w:rFonts w:asciiTheme="majorBidi" w:hAnsiTheme="majorBidi" w:cstheme="majorBidi"/>
          <w:i/>
          <w:iCs/>
          <w:noProof/>
          <w:sz w:val="24"/>
          <w:szCs w:val="24"/>
        </w:rPr>
        <w:t>Journal of Research and Advances in Mathematics Education</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6</w:t>
      </w:r>
      <w:r w:rsidRPr="009C322D">
        <w:rPr>
          <w:rFonts w:asciiTheme="majorBidi" w:hAnsiTheme="majorBidi" w:cstheme="majorBidi"/>
          <w:noProof/>
          <w:sz w:val="24"/>
          <w:szCs w:val="24"/>
        </w:rPr>
        <w:t>(1), 59–70. https://eric.ed.gov/?id=EJ1283953</w:t>
      </w:r>
    </w:p>
    <w:p w14:paraId="1FDF26DC"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Sabarudin, M., Al Ayyubi, I. I., Fitriyah, D., Diba, D. I. F., Setiawan, S. S. R., Sholeh, M. I., &amp; Ho, P. V. P. (2024). Analysis Of Islamic Religion Education Learning On Independent Curriculum Based On School Origin. </w:t>
      </w:r>
      <w:r w:rsidRPr="009C322D">
        <w:rPr>
          <w:rFonts w:asciiTheme="majorBidi" w:hAnsiTheme="majorBidi" w:cstheme="majorBidi"/>
          <w:i/>
          <w:iCs/>
          <w:noProof/>
          <w:sz w:val="24"/>
          <w:szCs w:val="24"/>
        </w:rPr>
        <w:t>EDUMULYA: Jurnal Pendidikan Agama Islam</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2</w:t>
      </w:r>
      <w:r w:rsidRPr="009C322D">
        <w:rPr>
          <w:rFonts w:asciiTheme="majorBidi" w:hAnsiTheme="majorBidi" w:cstheme="majorBidi"/>
          <w:noProof/>
          <w:sz w:val="24"/>
          <w:szCs w:val="24"/>
        </w:rPr>
        <w:t>(1), 32–47. https://doi.org/https://doi.org/10.59166/edumulya.v2i1.195</w:t>
      </w:r>
    </w:p>
    <w:p w14:paraId="4EE27C3F"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Salafy, Y. W., &amp; Susanah, S. (2022). </w:t>
      </w:r>
      <w:r w:rsidRPr="009C322D">
        <w:rPr>
          <w:rFonts w:asciiTheme="majorBidi" w:hAnsiTheme="majorBidi" w:cstheme="majorBidi"/>
          <w:noProof/>
          <w:sz w:val="24"/>
          <w:szCs w:val="24"/>
        </w:rPr>
        <w:lastRenderedPageBreak/>
        <w:t xml:space="preserve">Perbandingan Literasi Matematika Siswa Kelas VIII SMP Dalam Pembelajaran Model Eliciting Activities (Meas) Dan Pembelajaran Konvensional. </w:t>
      </w:r>
      <w:r w:rsidRPr="009C322D">
        <w:rPr>
          <w:rFonts w:asciiTheme="majorBidi" w:hAnsiTheme="majorBidi" w:cstheme="majorBidi"/>
          <w:i/>
          <w:iCs/>
          <w:noProof/>
          <w:sz w:val="24"/>
          <w:szCs w:val="24"/>
        </w:rPr>
        <w:t>MATHEdunesa</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11</w:t>
      </w:r>
      <w:r w:rsidRPr="009C322D">
        <w:rPr>
          <w:rFonts w:asciiTheme="majorBidi" w:hAnsiTheme="majorBidi" w:cstheme="majorBidi"/>
          <w:noProof/>
          <w:sz w:val="24"/>
          <w:szCs w:val="24"/>
        </w:rPr>
        <w:t>(1), 302–310. https://doi.org/https://doi.org/10.26740/mathedunesa.v11n1.p302-310</w:t>
      </w:r>
    </w:p>
    <w:p w14:paraId="61C54ACF"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Wardika, I. W. G., &amp; Putra, I. P. S. A. (2019). Pengaruh Model Pembelajaran Kooperatif Tipe STAD berbantuan GeoGebra Terhadap Hasil Belajar Program Linear ditinjau dari Pengetahuan Awal Mahasiswa. </w:t>
      </w:r>
      <w:r w:rsidRPr="009C322D">
        <w:rPr>
          <w:rFonts w:asciiTheme="majorBidi" w:hAnsiTheme="majorBidi" w:cstheme="majorBidi"/>
          <w:i/>
          <w:iCs/>
          <w:noProof/>
          <w:sz w:val="24"/>
          <w:szCs w:val="24"/>
        </w:rPr>
        <w:t>Journal of Songke Math</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2</w:t>
      </w:r>
      <w:r w:rsidRPr="009C322D">
        <w:rPr>
          <w:rFonts w:asciiTheme="majorBidi" w:hAnsiTheme="majorBidi" w:cstheme="majorBidi"/>
          <w:noProof/>
          <w:sz w:val="24"/>
          <w:szCs w:val="24"/>
        </w:rPr>
        <w:t>(1), 23–34. https://unikastpaulus.ac.id/jurnal/index.php/jsm/article/view/382</w:t>
      </w:r>
    </w:p>
    <w:p w14:paraId="68D3E3CE" w14:textId="77777777" w:rsidR="009C322D" w:rsidRPr="009C322D" w:rsidRDefault="009C322D" w:rsidP="009C322D">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9C322D">
        <w:rPr>
          <w:rFonts w:asciiTheme="majorBidi" w:hAnsiTheme="majorBidi" w:cstheme="majorBidi"/>
          <w:noProof/>
          <w:sz w:val="24"/>
          <w:szCs w:val="24"/>
        </w:rPr>
        <w:t xml:space="preserve">Widayanti, R., &amp; Nur’aini, K. D. (2020). Penerapan Model Pembelajaran Problem Based Learning untuk Meningkatkan Prestasi Belajar Matematika dan Aktivitas Siswa. </w:t>
      </w:r>
      <w:r w:rsidRPr="009C322D">
        <w:rPr>
          <w:rFonts w:asciiTheme="majorBidi" w:hAnsiTheme="majorBidi" w:cstheme="majorBidi"/>
          <w:i/>
          <w:iCs/>
          <w:noProof/>
          <w:sz w:val="24"/>
          <w:szCs w:val="24"/>
        </w:rPr>
        <w:t>Mathema: Jurnal Pendidikan Matematika</w:t>
      </w:r>
      <w:r w:rsidRPr="009C322D">
        <w:rPr>
          <w:rFonts w:asciiTheme="majorBidi" w:hAnsiTheme="majorBidi" w:cstheme="majorBidi"/>
          <w:noProof/>
          <w:sz w:val="24"/>
          <w:szCs w:val="24"/>
        </w:rPr>
        <w:t xml:space="preserve">, </w:t>
      </w:r>
      <w:r w:rsidRPr="009C322D">
        <w:rPr>
          <w:rFonts w:asciiTheme="majorBidi" w:hAnsiTheme="majorBidi" w:cstheme="majorBidi"/>
          <w:i/>
          <w:iCs/>
          <w:noProof/>
          <w:sz w:val="24"/>
          <w:szCs w:val="24"/>
        </w:rPr>
        <w:t>2</w:t>
      </w:r>
      <w:r w:rsidRPr="009C322D">
        <w:rPr>
          <w:rFonts w:asciiTheme="majorBidi" w:hAnsiTheme="majorBidi" w:cstheme="majorBidi"/>
          <w:noProof/>
          <w:sz w:val="24"/>
          <w:szCs w:val="24"/>
        </w:rPr>
        <w:t>(1), 12–23. https://doi.org/https://doi.org/10.33365/jm.v2i1.480</w:t>
      </w:r>
    </w:p>
    <w:p w14:paraId="10903B18" w14:textId="5EAF2EE1" w:rsidR="009121CD" w:rsidRPr="009C322D" w:rsidRDefault="009C322D" w:rsidP="009C322D">
      <w:pPr>
        <w:spacing w:after="0" w:line="240" w:lineRule="auto"/>
        <w:jc w:val="both"/>
        <w:rPr>
          <w:rFonts w:asciiTheme="majorBidi" w:hAnsiTheme="majorBidi" w:cstheme="majorBidi"/>
          <w:sz w:val="24"/>
          <w:szCs w:val="24"/>
        </w:rPr>
      </w:pPr>
      <w:r w:rsidRPr="009C322D">
        <w:rPr>
          <w:rFonts w:asciiTheme="majorBidi" w:hAnsiTheme="majorBidi" w:cstheme="majorBidi"/>
          <w:sz w:val="24"/>
          <w:szCs w:val="24"/>
        </w:rPr>
        <w:fldChar w:fldCharType="end"/>
      </w:r>
    </w:p>
    <w:p w14:paraId="3D3ACBBA" w14:textId="13A66A1A" w:rsidR="008A0B68" w:rsidRDefault="008A0B68" w:rsidP="005D69CD">
      <w:pPr>
        <w:spacing w:after="0" w:line="240" w:lineRule="auto"/>
      </w:pPr>
    </w:p>
    <w:p w14:paraId="72411E84" w14:textId="473C9B33" w:rsidR="008A0B68" w:rsidRDefault="008A0B68" w:rsidP="005D69CD">
      <w:pPr>
        <w:spacing w:after="0" w:line="240" w:lineRule="auto"/>
      </w:pPr>
    </w:p>
    <w:p w14:paraId="0B7F8577" w14:textId="362FDCDB" w:rsidR="008A0B68" w:rsidRDefault="008A0B68" w:rsidP="00EA5C5F">
      <w:pPr>
        <w:spacing w:after="0" w:line="240" w:lineRule="auto"/>
      </w:pPr>
    </w:p>
    <w:p w14:paraId="653880FE" w14:textId="43B97C65" w:rsidR="008A0B68" w:rsidRDefault="008A0B68" w:rsidP="00EA5C5F">
      <w:pPr>
        <w:spacing w:after="0" w:line="240" w:lineRule="auto"/>
      </w:pPr>
    </w:p>
    <w:p w14:paraId="3DE60CA7" w14:textId="3D8033F7" w:rsidR="008A0B68" w:rsidRDefault="008A0B68" w:rsidP="00EA5C5F">
      <w:pPr>
        <w:spacing w:after="0" w:line="240" w:lineRule="auto"/>
      </w:pPr>
    </w:p>
    <w:p w14:paraId="7A5667A3" w14:textId="5FD2E168" w:rsidR="008A0B68" w:rsidRDefault="008A0B68" w:rsidP="00EA5C5F">
      <w:pPr>
        <w:spacing w:after="0" w:line="240" w:lineRule="auto"/>
      </w:pPr>
    </w:p>
    <w:p w14:paraId="381E4319" w14:textId="77777777" w:rsidR="008A0B68" w:rsidRPr="00EA5C5F" w:rsidRDefault="008A0B68" w:rsidP="00EA5C5F">
      <w:pPr>
        <w:spacing w:after="0" w:line="240" w:lineRule="auto"/>
      </w:pPr>
    </w:p>
    <w:sectPr w:rsidR="008A0B68" w:rsidRPr="00EA5C5F" w:rsidSect="00122333">
      <w:headerReference w:type="even" r:id="rId12"/>
      <w:headerReference w:type="default" r:id="rId13"/>
      <w:footerReference w:type="even" r:id="rId14"/>
      <w:type w:val="continuous"/>
      <w:pgSz w:w="11907" w:h="16839"/>
      <w:pgMar w:top="1701" w:right="1701" w:bottom="1701" w:left="1701" w:header="708" w:footer="708" w:gutter="0"/>
      <w:cols w:num="2" w:space="720" w:equalWidth="0">
        <w:col w:w="3898" w:space="708"/>
        <w:col w:w="389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BE54" w14:textId="77777777" w:rsidR="007462FF" w:rsidRDefault="007462FF">
      <w:pPr>
        <w:spacing w:after="0" w:line="240" w:lineRule="auto"/>
      </w:pPr>
      <w:r>
        <w:separator/>
      </w:r>
    </w:p>
  </w:endnote>
  <w:endnote w:type="continuationSeparator" w:id="0">
    <w:p w14:paraId="736ABD59" w14:textId="77777777" w:rsidR="007462FF" w:rsidRDefault="0074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D95B"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5F7E606F" w14:textId="77777777" w:rsidR="00EA5C5F" w:rsidRDefault="00EA5C5F">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80A" w14:textId="77777777" w:rsidR="00D90AF4" w:rsidRDefault="003D4D3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26BC4AD6" w14:textId="77777777" w:rsidR="00D90AF4" w:rsidRDefault="003D4D3E">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p w14:paraId="272686D4" w14:textId="77777777" w:rsidR="007D5475" w:rsidRDefault="007D54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05527" w14:textId="77777777" w:rsidR="007462FF" w:rsidRDefault="007462FF">
      <w:pPr>
        <w:spacing w:after="0" w:line="240" w:lineRule="auto"/>
      </w:pPr>
      <w:r>
        <w:separator/>
      </w:r>
    </w:p>
  </w:footnote>
  <w:footnote w:type="continuationSeparator" w:id="0">
    <w:p w14:paraId="554D3055" w14:textId="77777777" w:rsidR="007462FF" w:rsidRDefault="00746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436" w14:textId="77777777" w:rsidR="00EA5C5F" w:rsidRDefault="00EA5C5F">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28F" w14:textId="635C3A23"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6E4C7890" wp14:editId="06396820">
          <wp:simplePos x="0" y="0"/>
          <wp:positionH relativeFrom="column">
            <wp:posOffset>-3810</wp:posOffset>
          </wp:positionH>
          <wp:positionV relativeFrom="paragraph">
            <wp:posOffset>-174625</wp:posOffset>
          </wp:positionV>
          <wp:extent cx="1162050" cy="581093"/>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59057F3D"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1980CA91" w14:textId="42EF3874" w:rsidR="00EA5C5F"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r>
    <w:r w:rsidR="00EA5C5F">
      <w:rPr>
        <w:rFonts w:ascii="Times New Roman" w:eastAsia="Times New Roman" w:hAnsi="Times New Roman" w:cs="Times New Roman"/>
        <w:sz w:val="20"/>
        <w:szCs w:val="20"/>
      </w:rPr>
      <w:t xml:space="preserve"> </w:t>
    </w:r>
  </w:p>
  <w:p w14:paraId="23227C69" w14:textId="77777777" w:rsidR="002B14A0"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5D5F97DA" w14:textId="77777777" w:rsidR="002B14A0" w:rsidRDefault="00EA5C5F">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422962" w14:textId="7FF0259C"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r>
      <w:rPr>
        <w:rFonts w:ascii="Times New Roman" w:eastAsia="Times New Roman" w:hAnsi="Times New Roman" w:cs="Times New Roman"/>
        <w:b/>
        <w:color w:val="000000"/>
        <w:sz w:val="20"/>
        <w:szCs w:val="20"/>
      </w:rPr>
      <w:t xml:space="preserve"> </w:t>
    </w:r>
  </w:p>
  <w:p w14:paraId="5C3A6453"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71FA" w14:textId="77777777" w:rsidR="00D90AF4" w:rsidRDefault="003D4D3E">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p w14:paraId="063ED5E8" w14:textId="77777777" w:rsidR="007D5475" w:rsidRDefault="007D54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87C"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60288" behindDoc="0" locked="0" layoutInCell="1" allowOverlap="1" wp14:anchorId="5BB367DD" wp14:editId="0CA46AFF">
          <wp:simplePos x="0" y="0"/>
          <wp:positionH relativeFrom="column">
            <wp:posOffset>-3810</wp:posOffset>
          </wp:positionH>
          <wp:positionV relativeFrom="paragraph">
            <wp:posOffset>-174625</wp:posOffset>
          </wp:positionV>
          <wp:extent cx="1162050" cy="581093"/>
          <wp:effectExtent l="0" t="0" r="0" b="0"/>
          <wp:wrapNone/>
          <wp:docPr id="1485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65359250"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533AFC06"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t xml:space="preserve"> </w:t>
    </w:r>
  </w:p>
  <w:p w14:paraId="18E360C7"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660469AA" w14:textId="77777777" w:rsid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F30FC62" w14:textId="52568183" w:rsidR="00D90AF4" w:rsidRDefault="002B14A0" w:rsidP="002B14A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p>
  <w:p w14:paraId="5DEE7848" w14:textId="77777777" w:rsidR="007D5475" w:rsidRDefault="007D54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50"/>
    <w:multiLevelType w:val="multilevel"/>
    <w:tmpl w:val="3C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30A2"/>
    <w:multiLevelType w:val="multilevel"/>
    <w:tmpl w:val="F35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D4"/>
    <w:multiLevelType w:val="multilevel"/>
    <w:tmpl w:val="170C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D96"/>
    <w:multiLevelType w:val="multilevel"/>
    <w:tmpl w:val="022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21C1A"/>
    <w:multiLevelType w:val="multilevel"/>
    <w:tmpl w:val="9E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A72C8"/>
    <w:multiLevelType w:val="multilevel"/>
    <w:tmpl w:val="64E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D3F8E"/>
    <w:multiLevelType w:val="multilevel"/>
    <w:tmpl w:val="CCC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6A7"/>
    <w:multiLevelType w:val="multilevel"/>
    <w:tmpl w:val="93F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46BB0"/>
    <w:multiLevelType w:val="multilevel"/>
    <w:tmpl w:val="0D2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C73E2"/>
    <w:multiLevelType w:val="multilevel"/>
    <w:tmpl w:val="FC4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4067">
    <w:abstractNumId w:val="7"/>
  </w:num>
  <w:num w:numId="2" w16cid:durableId="1834753917">
    <w:abstractNumId w:val="3"/>
  </w:num>
  <w:num w:numId="3" w16cid:durableId="1837920673">
    <w:abstractNumId w:val="4"/>
  </w:num>
  <w:num w:numId="4" w16cid:durableId="1379623289">
    <w:abstractNumId w:val="8"/>
  </w:num>
  <w:num w:numId="5" w16cid:durableId="144128298">
    <w:abstractNumId w:val="0"/>
  </w:num>
  <w:num w:numId="6" w16cid:durableId="279411789">
    <w:abstractNumId w:val="9"/>
  </w:num>
  <w:num w:numId="7" w16cid:durableId="899486390">
    <w:abstractNumId w:val="5"/>
  </w:num>
  <w:num w:numId="8" w16cid:durableId="1628586074">
    <w:abstractNumId w:val="6"/>
  </w:num>
  <w:num w:numId="9" w16cid:durableId="458954277">
    <w:abstractNumId w:val="2"/>
  </w:num>
  <w:num w:numId="10" w16cid:durableId="40202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5"/>
    <w:rsid w:val="00020A40"/>
    <w:rsid w:val="00044C6F"/>
    <w:rsid w:val="00112D31"/>
    <w:rsid w:val="00122333"/>
    <w:rsid w:val="00167B15"/>
    <w:rsid w:val="00177367"/>
    <w:rsid w:val="001A7959"/>
    <w:rsid w:val="001E0867"/>
    <w:rsid w:val="002B14A0"/>
    <w:rsid w:val="002C6A26"/>
    <w:rsid w:val="00375D45"/>
    <w:rsid w:val="0039399B"/>
    <w:rsid w:val="003D4D3E"/>
    <w:rsid w:val="00422EC8"/>
    <w:rsid w:val="004A1FE0"/>
    <w:rsid w:val="004A4D70"/>
    <w:rsid w:val="005616E7"/>
    <w:rsid w:val="00563095"/>
    <w:rsid w:val="00573F45"/>
    <w:rsid w:val="005D69CD"/>
    <w:rsid w:val="005F2234"/>
    <w:rsid w:val="0062466E"/>
    <w:rsid w:val="006475E4"/>
    <w:rsid w:val="006869C1"/>
    <w:rsid w:val="006D57D0"/>
    <w:rsid w:val="00707543"/>
    <w:rsid w:val="007234DB"/>
    <w:rsid w:val="007462FF"/>
    <w:rsid w:val="00755068"/>
    <w:rsid w:val="00762F8E"/>
    <w:rsid w:val="007A0D34"/>
    <w:rsid w:val="007D5475"/>
    <w:rsid w:val="00822AE9"/>
    <w:rsid w:val="00861638"/>
    <w:rsid w:val="00861F35"/>
    <w:rsid w:val="00881D94"/>
    <w:rsid w:val="008A0B68"/>
    <w:rsid w:val="008E5029"/>
    <w:rsid w:val="0090453F"/>
    <w:rsid w:val="009121CD"/>
    <w:rsid w:val="009B2838"/>
    <w:rsid w:val="009C322D"/>
    <w:rsid w:val="009E2DA1"/>
    <w:rsid w:val="00A136E2"/>
    <w:rsid w:val="00A5277C"/>
    <w:rsid w:val="00A96B70"/>
    <w:rsid w:val="00AF4B12"/>
    <w:rsid w:val="00B30636"/>
    <w:rsid w:val="00B33E9C"/>
    <w:rsid w:val="00B34036"/>
    <w:rsid w:val="00B87D3B"/>
    <w:rsid w:val="00BB69E6"/>
    <w:rsid w:val="00BD471D"/>
    <w:rsid w:val="00BF6C3D"/>
    <w:rsid w:val="00C5415A"/>
    <w:rsid w:val="00C545C1"/>
    <w:rsid w:val="00CC7776"/>
    <w:rsid w:val="00D056E9"/>
    <w:rsid w:val="00D16E4C"/>
    <w:rsid w:val="00D90AF4"/>
    <w:rsid w:val="00DA4D24"/>
    <w:rsid w:val="00DC298E"/>
    <w:rsid w:val="00E219FF"/>
    <w:rsid w:val="00E42CBA"/>
    <w:rsid w:val="00EA5C5F"/>
    <w:rsid w:val="00F27551"/>
    <w:rsid w:val="00F76453"/>
    <w:rsid w:val="00FF3E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8AF2"/>
  <w15:chartTrackingRefBased/>
  <w15:docId w15:val="{597CB0BF-F252-4D3D-BC00-20C7719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3"/>
    <w:pPr>
      <w:spacing w:after="200" w:line="276" w:lineRule="auto"/>
    </w:pPr>
    <w:rPr>
      <w:rFonts w:ascii="Calibri" w:eastAsia="Calibri" w:hAnsi="Calibri" w:cs="Calibri"/>
      <w:kern w:val="0"/>
      <w:lang w:eastAsia="id-ID"/>
    </w:rPr>
  </w:style>
  <w:style w:type="paragraph" w:styleId="Heading2">
    <w:name w:val="heading 2"/>
    <w:basedOn w:val="Normal"/>
    <w:next w:val="Normal"/>
    <w:link w:val="Heading2Char"/>
    <w:uiPriority w:val="9"/>
    <w:semiHidden/>
    <w:unhideWhenUsed/>
    <w:qFormat/>
    <w:rsid w:val="008E50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77C"/>
    <w:rPr>
      <w:color w:val="0563C1" w:themeColor="hyperlink"/>
      <w:u w:val="single"/>
    </w:rPr>
  </w:style>
  <w:style w:type="character" w:styleId="UnresolvedMention">
    <w:name w:val="Unresolved Mention"/>
    <w:basedOn w:val="DefaultParagraphFont"/>
    <w:uiPriority w:val="99"/>
    <w:semiHidden/>
    <w:unhideWhenUsed/>
    <w:rsid w:val="00A5277C"/>
    <w:rPr>
      <w:color w:val="605E5C"/>
      <w:shd w:val="clear" w:color="auto" w:fill="E1DFDD"/>
    </w:rPr>
  </w:style>
  <w:style w:type="paragraph" w:styleId="Footer">
    <w:name w:val="footer"/>
    <w:basedOn w:val="Normal"/>
    <w:link w:val="FooterChar"/>
    <w:uiPriority w:val="99"/>
    <w:unhideWhenUsed/>
    <w:rsid w:val="00B3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E9C"/>
    <w:rPr>
      <w:rFonts w:ascii="Calibri" w:eastAsia="Calibri" w:hAnsi="Calibri" w:cs="Calibri"/>
      <w:kern w:val="0"/>
      <w:lang w:eastAsia="id-ID"/>
    </w:rPr>
  </w:style>
  <w:style w:type="paragraph" w:styleId="Header">
    <w:name w:val="header"/>
    <w:basedOn w:val="Normal"/>
    <w:link w:val="HeaderChar"/>
    <w:uiPriority w:val="99"/>
    <w:unhideWhenUsed/>
    <w:rsid w:val="00B3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E9C"/>
    <w:rPr>
      <w:rFonts w:ascii="Calibri" w:eastAsia="Calibri" w:hAnsi="Calibri" w:cs="Calibri"/>
      <w:kern w:val="0"/>
      <w:lang w:eastAsia="id-ID"/>
    </w:rPr>
  </w:style>
  <w:style w:type="character" w:customStyle="1" w:styleId="Heading2Char">
    <w:name w:val="Heading 2 Char"/>
    <w:basedOn w:val="DefaultParagraphFont"/>
    <w:link w:val="Heading2"/>
    <w:uiPriority w:val="9"/>
    <w:semiHidden/>
    <w:rsid w:val="008E5029"/>
    <w:rPr>
      <w:rFonts w:asciiTheme="majorHAnsi" w:eastAsiaTheme="majorEastAsia" w:hAnsiTheme="majorHAnsi" w:cstheme="majorBidi"/>
      <w:color w:val="2F5496" w:themeColor="accent1" w:themeShade="BF"/>
      <w:kern w:val="0"/>
      <w:sz w:val="26"/>
      <w:szCs w:val="26"/>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uimamalayyubi@indaf.ac.id" TargetMode="Externa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CBAF1F0-9D4D-4E69-81E5-A076B98E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8813</Words>
  <Characters>50235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Ibnu imam Al Ayyubi</cp:lastModifiedBy>
  <cp:revision>16</cp:revision>
  <dcterms:created xsi:type="dcterms:W3CDTF">2026-07-21T00:18:00Z</dcterms:created>
  <dcterms:modified xsi:type="dcterms:W3CDTF">2026-08-30T03:02:00Z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http://csl.mendeley.com/styles/654921641/apa-25</vt:lpwstr>
  </property>
  <property fmtid="{D5CDD505-2E9C-101B-9397-08002B2CF9AE}" pid="7" name="Mendeley Recent Style Name 2_1">
    <vt:lpwstr>American Psychological Association 7th edition - Tatang Muh Nasir 25</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http://www.zotero.org/styles/chicago-fullnote-bibliography-with-ibid</vt:lpwstr>
  </property>
  <property fmtid="{D5CDD505-2E9C-101B-9397-08002B2CF9AE}" pid="13" name="Mendeley Recent Style Name 5_1">
    <vt:lpwstr>Chicago Manual of Style 17th edition (full note, with Ibid.)</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49d80101-07b8-3995-8ce4-1be8b4b9a862</vt:lpwstr>
  </property>
  <property fmtid="{D5CDD505-2E9C-101B-9397-08002B2CF9AE}" pid="24" name="Mendeley Citation Style_1">
    <vt:lpwstr>http://www.zotero.org/styles/apa</vt:lpwstr>
  </property>
</Properties>
</file>