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F4E78"/>
          <w:sz w:val="44"/>
        </w:rPr>
        <w:t>Quantitative Reliability Optimization (QRO)</w:t>
      </w:r>
    </w:p>
    <w:p>
      <w:pPr>
        <w:spacing w:after="280"/>
      </w:pPr>
      <w:r>
        <w:rPr>
          <w:rFonts w:ascii="Segoe UI" w:hAnsi="Segoe UI"/>
          <w:i/>
          <w:color w:val="475569"/>
          <w:sz w:val="24"/>
        </w:rPr>
        <w:t>Complete Operational Guide, Workflows &amp; Methodological Architecture</w:t>
      </w:r>
    </w:p>
    <w:p>
      <w:pPr>
        <w:keepNext/>
        <w:spacing w:before="280" w:after="80"/>
      </w:pPr>
      <w:r>
        <w:rPr>
          <w:rFonts w:ascii="Segoe UI" w:hAnsi="Segoe UI"/>
          <w:b/>
          <w:color w:val="1F4E78"/>
          <w:sz w:val="26"/>
        </w:rPr>
        <w:t xml:space="preserve">1. </w:t>
      </w:r>
      <w:r>
        <w:rPr>
          <w:rFonts w:ascii="Segoe UI" w:hAnsi="Segoe UI"/>
          <w:b/>
          <w:color w:val="1F4E78"/>
          <w:sz w:val="26"/>
        </w:rPr>
        <w:t>Understanding the Industrial Context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Industrial facilities—refineries, chemical plants, lumber mills, pharmaceutical plants, mining operations, wastewater treatment facilities, and many others—all share one fundamental characteristic:</w:t>
      </w:r>
    </w:p>
    <w:p>
      <w:pPr>
        <w:spacing w:before="40" w:after="80" w:line="276" w:lineRule="auto"/>
      </w:pPr>
      <w:r>
        <w:rPr>
          <w:rFonts w:ascii="Segoe UI" w:hAnsi="Segoe UI"/>
          <w:b w:val="0"/>
          <w:i/>
          <w:color w:val="0F172A"/>
          <w:sz w:val="20"/>
        </w:rPr>
        <w:t>they rely on thousands of interconnected, complex, and expensive assets that must function together for the facility to operate safely and profitably.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When conditions are normal and markets are stable, most facilities operate safely and generate significant margins. But the failure of any individual asset in this network—whether a pump, a pipeline segment, a heat exchanger, a conveyor, or a reactor—can have immediate consequences: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Lost production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Safety incidents or injuries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Environmental releases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Community or regulatory impacts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Very high financial losses, sometimes hundreds of thousands or millions of dollars within a few days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Industrial operators therefore aim to optimize their investments in: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Maintenance activities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Reliability programs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Inspection efforts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Spare parts and inventory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Capital improvements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However, making these decisions is extremely challenging when thousands of assets and countless uncertainties are involved.</w:t>
      </w:r>
    </w:p>
    <w:p>
      <w:pPr>
        <w:keepNext/>
        <w:spacing w:before="280" w:after="80"/>
      </w:pPr>
      <w:r>
        <w:rPr>
          <w:rFonts w:ascii="Segoe UI" w:hAnsi="Segoe UI"/>
          <w:b/>
          <w:color w:val="1F4E78"/>
          <w:sz w:val="26"/>
        </w:rPr>
        <w:t xml:space="preserve">2. </w:t>
      </w:r>
      <w:r>
        <w:rPr>
          <w:rFonts w:ascii="Segoe UI" w:hAnsi="Segoe UI"/>
          <w:b/>
          <w:color w:val="1F4E78"/>
          <w:sz w:val="26"/>
        </w:rPr>
        <w:t>The Historical Approaches and Their Limitations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For decades, facilities have relied on structured programs to manage this complexity—most notably:</w:t>
      </w:r>
    </w:p>
    <w:p>
      <w:pPr>
        <w:spacing w:before="40" w:after="80" w:line="276" w:lineRule="auto"/>
      </w:pPr>
      <w:r>
        <w:rPr>
          <w:rFonts w:ascii="Segoe UI" w:hAnsi="Segoe UI"/>
          <w:b/>
          <w:i w:val="0"/>
          <w:color w:val="0F172A"/>
          <w:sz w:val="20"/>
        </w:rPr>
        <w:t>Reliability-Centered Maintenance (RCM):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Originated in the 1970s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Formalized with major publications in the 1980s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Designed to systematically determine what maintenance tasks should exist for a given asset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Highly dependent on human judgment and team (consensus) decision making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Slow, subjective, and often conservative</w:t>
      </w:r>
    </w:p>
    <w:p>
      <w:pPr>
        <w:spacing w:before="40" w:after="80" w:line="276" w:lineRule="auto"/>
      </w:pPr>
      <w:r>
        <w:rPr>
          <w:rFonts w:ascii="Segoe UI" w:hAnsi="Segoe UI"/>
          <w:b/>
          <w:i w:val="0"/>
          <w:color w:val="0F172A"/>
          <w:sz w:val="20"/>
        </w:rPr>
        <w:t>Risk-Based Inspection (RBI):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Developed in the 1990s by industry experts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Widely used in refining and petrochemical industries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Provides a risk-informed approach for inspection planning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Still heavily reliant on expert opinion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Typically siloed within “fixed equipment” and not integrated across all asset types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While RCM and RBI were important advancements for their time, they share several limitations: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Heavy reliance on subjective human decision-making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Slow and labor-intensive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Often overly conservative, leading to unnecessary tasks and spending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Siloed execution, with fixed equipment, electrical, rotating machinery, and maintenance teams all working independently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Limited use of modern data, ignoring readily available operational and condition-based datasets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Poor system-level prioritization, causing facilities to overinvest in some areas while missing critical risks in others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As a result, even the best-run facilities still experience avoidable failures and significant wasted effort, amounting to hundreds of millions of dollars annually.</w:t>
      </w:r>
    </w:p>
    <w:p>
      <w:pPr>
        <w:keepNext/>
        <w:spacing w:before="280" w:after="80"/>
      </w:pPr>
      <w:r>
        <w:rPr>
          <w:rFonts w:ascii="Segoe UI" w:hAnsi="Segoe UI"/>
          <w:b/>
          <w:color w:val="1F4E78"/>
          <w:sz w:val="26"/>
        </w:rPr>
        <w:t xml:space="preserve">3. </w:t>
      </w:r>
      <w:r>
        <w:rPr>
          <w:rFonts w:ascii="Segoe UI" w:hAnsi="Segoe UI"/>
          <w:b/>
          <w:color w:val="1F4E78"/>
          <w:sz w:val="26"/>
        </w:rPr>
        <w:t>The Origin and Development of QRO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QRO was created to overcome the limitations of traditional approaches. Over the past decade, Pinnacle developed QRO through a combination of: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Advanced machine learning algorithms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First-principles engineering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Extensive real-world industrial data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The core idea behind QRO is straightforward:</w:t>
      </w:r>
    </w:p>
    <w:p>
      <w:pPr>
        <w:spacing w:before="40" w:after="80" w:line="276" w:lineRule="auto"/>
      </w:pPr>
      <w:r>
        <w:rPr>
          <w:rFonts w:ascii="Segoe UI" w:hAnsi="Segoe UI"/>
          <w:b w:val="0"/>
          <w:i/>
          <w:color w:val="0F172A"/>
          <w:sz w:val="20"/>
        </w:rPr>
        <w:t>If a facility systematically combines operational data, inspection data, physics-based degradation models, and statistical techniques, it should be able to predict asset performance far more accurately than human-driven methods allow.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QRO was developed through years of: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Designing algorithms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Testing them against real plant data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Iterating models to incorporate first-principles physics (e.g., corrosion mechanisms, temperature effects, material properties)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Validating predictions against actual asset histories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Proving that quantitative, data-driven models outperform human subjective estimates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spacing w:before="0" w:after="60"/>
        <w:jc w:val="center"/>
      </w:pPr>
      <w:r>
        <w:rPr>
          <w:rFonts w:ascii="Segoe UI" w:hAnsi="Segoe UI"/>
          <w:b/>
          <w:color w:val="1F4E78"/>
          <w:sz w:val="28"/>
        </w:rPr>
        <w:t>Workflow 1: Base Model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2592"/>
            <w:vAlign w:val="center"/>
            <w:shd w:fill="F0F7FF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1D4ED8"/>
                <w:sz w:val="16"/>
              </w:rPr>
              <w:t>Make a tenant</w:t>
            </w:r>
          </w:p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FFF"/>
            <w:tcMar>
              <w:top w:w="20" w:type="dxa"/>
              <w:bottom w:w="28" w:type="dxa"/>
              <w:left w:w="40" w:type="dxa"/>
              <w:right w:w="4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334155"/>
                <w:sz w:val="17"/>
              </w:rPr>
              <w:t>Asset_Register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600"/>
              <w:gridCol w:w="1600"/>
              <w:gridCol w:w="1600"/>
              <w:gridCol w:w="1600"/>
              <w:gridCol w:w="1600"/>
              <w:gridCol w:w="1600"/>
              <w:gridCol w:w="1600"/>
              <w:gridCol w:w="1600"/>
              <w:gridCol w:w="1600"/>
            </w:tblGrid>
            <w:tr>
              <w:tc>
                <w:tcPr>
                  <w:tcW w:type="dxa" w:w="2477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Build one in the front end all the dummy to placeholders from area to Assessment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Export Asset Register from Newton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Populate Asset Register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Import Asset Register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Troubleshoot Asset Register Errors</w:t>
                  </w:r>
                </w:p>
              </w:tc>
            </w:tr>
          </w:tbl>
          <w:p/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FFF"/>
            <w:tcMar>
              <w:top w:w="20" w:type="dxa"/>
              <w:bottom w:w="28" w:type="dxa"/>
              <w:left w:w="40" w:type="dxa"/>
              <w:right w:w="4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334155"/>
                <w:sz w:val="17"/>
              </w:rPr>
              <w:t>Build_System_Model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057"/>
              <w:gridCol w:w="2057"/>
              <w:gridCol w:w="2057"/>
              <w:gridCol w:w="2057"/>
              <w:gridCol w:w="2057"/>
              <w:gridCol w:w="2057"/>
              <w:gridCol w:w="2057"/>
            </w:tblGrid>
            <w:tr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Build Linear RBD Unit System Model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Run 'Validate' RBD Unit System Model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Troubleshoot RBD Unit System Model Errors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Set RBD Unit System Model to Active</w:t>
                  </w:r>
                </w:p>
              </w:tc>
            </w:tr>
          </w:tbl>
          <w:p/>
          <w:p>
            <w:pPr>
              <w:spacing w:before="40" w:after="40" w:line="40" w:lineRule="exact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057"/>
              <w:gridCol w:w="2057"/>
              <w:gridCol w:w="2057"/>
              <w:gridCol w:w="2057"/>
              <w:gridCol w:w="2057"/>
              <w:gridCol w:w="2057"/>
              <w:gridCol w:w="2057"/>
            </w:tblGrid>
            <w:tr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Build Linear RBD Facility System Model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Run 'Validate' RBD Facility System Model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Troubleshoot RBD Facility System Model Errors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186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Set RBD Facility System Model to Active</w:t>
                  </w:r>
                </w:p>
              </w:tc>
            </w:tr>
          </w:tbl>
          <w:p/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FFF"/>
            <w:tcMar>
              <w:top w:w="20" w:type="dxa"/>
              <w:bottom w:w="28" w:type="dxa"/>
              <w:left w:w="40" w:type="dxa"/>
              <w:right w:w="4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334155"/>
                <w:sz w:val="17"/>
              </w:rPr>
              <w:t>Inspection_Data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600"/>
              <w:gridCol w:w="1600"/>
              <w:gridCol w:w="1600"/>
              <w:gridCol w:w="1600"/>
              <w:gridCol w:w="1600"/>
              <w:gridCol w:w="1600"/>
              <w:gridCol w:w="1600"/>
              <w:gridCol w:w="1600"/>
              <w:gridCol w:w="1600"/>
            </w:tblGrid>
            <w:tr>
              <w:tc>
                <w:tcPr>
                  <w:tcW w:type="dxa" w:w="2477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Correlate CMLs/Monitoring to Assessment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Export Inspection Data from Newton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Populate Inspection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Import Inspection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477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Troubleshoot Inspection Data Errors</w:t>
                  </w:r>
                </w:p>
              </w:tc>
            </w:tr>
          </w:tbl>
          <w:p/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FFF"/>
            <w:tcMar>
              <w:top w:w="20" w:type="dxa"/>
              <w:bottom w:w="28" w:type="dxa"/>
              <w:left w:w="40" w:type="dxa"/>
              <w:right w:w="4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334155"/>
                <w:sz w:val="17"/>
              </w:rPr>
              <w:t>PoF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</w:tblGrid>
            <w:tr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Configure Damage Modes and Damage Mechanisms to match client's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Build one POF in the front end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Export PoF Assessment Data from Newton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Populate PoF Assessment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Import PoF Assessment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Troubleshoot PoF Assessment Data Errors</w:t>
                  </w:r>
                </w:p>
              </w:tc>
            </w:tr>
          </w:tbl>
          <w:p/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FFF"/>
            <w:tcMar>
              <w:top w:w="20" w:type="dxa"/>
              <w:bottom w:w="28" w:type="dxa"/>
              <w:left w:w="40" w:type="dxa"/>
              <w:right w:w="4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334155"/>
                <w:sz w:val="17"/>
              </w:rPr>
              <w:t>Task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  <w:gridCol w:w="1309"/>
            </w:tblGrid>
            <w:tr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Export Asset Register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Export Asset Task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Copy Assessment from Asset Register to Asset Task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Populate Replace task to Asset Task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Import Asset Task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004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Troubleshoot Asset Task Data Errors</w:t>
                  </w:r>
                </w:p>
              </w:tc>
            </w:tr>
          </w:tbl>
          <w:p/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FFF"/>
            <w:tcMar>
              <w:top w:w="20" w:type="dxa"/>
              <w:bottom w:w="28" w:type="dxa"/>
              <w:left w:w="40" w:type="dxa"/>
              <w:right w:w="40" w:type="dxa"/>
            </w:tcMar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334155"/>
                <w:sz w:val="17"/>
              </w:rPr>
              <w:t>Calculate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880"/>
              <w:gridCol w:w="2880"/>
              <w:gridCol w:w="2880"/>
              <w:gridCol w:w="2880"/>
              <w:gridCol w:w="2880"/>
            </w:tblGrid>
            <w:tr>
              <w:tc>
                <w:tcPr>
                  <w:tcW w:type="dxa" w:w="4368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Export PoF Assessment Data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4368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Change Assessment status to 'ACTIVE'</w:t>
                  </w:r>
                </w:p>
              </w:tc>
              <w:tc>
                <w:tcPr>
                  <w:tcW w:type="dxa" w:w="360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4368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Import PoF Assessment Data</w:t>
                  </w:r>
                </w:p>
              </w:tc>
            </w:tr>
          </w:tbl>
          <w:p/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2592"/>
            <w:vAlign w:val="center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Troubleshoot and QC</w:t>
            </w:r>
          </w:p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2592"/>
            <w:vAlign w:val="center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Base Model Complete</w:t>
            </w:r>
          </w:p>
        </w:tc>
      </w:tr>
    </w:tbl>
    <w:p>
      <w:r>
        <w:br w:type="page"/>
      </w:r>
    </w:p>
    <w:p>
      <w:pPr>
        <w:spacing w:before="80" w:after="80"/>
        <w:jc w:val="center"/>
      </w:pPr>
      <w:r>
        <w:rPr>
          <w:rFonts w:ascii="Segoe UI" w:hAnsi="Segoe UI"/>
          <w:b/>
          <w:color w:val="1F4E78"/>
          <w:sz w:val="28"/>
        </w:rPr>
        <w:t>Workflow 2: Tuned Model Development Workflow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152"/>
            <w:vAlign w:val="center"/>
            <w:shd w:fill="FFFBEB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2" w:space="0" w:color="D97706"/>
              <w:left w:val="single" w:sz="12" w:space="0" w:color="D97706"/>
              <w:bottom w:val="single" w:sz="12" w:space="0" w:color="D97706"/>
              <w:right w:val="single" w:sz="12" w:space="0" w:color="D97706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color w:val="C2410C"/>
                <w:sz w:val="16"/>
              </w:rPr>
              <w:t xml:space="preserve">◆ </w:t>
            </w:r>
            <w:r>
              <w:rPr>
                <w:rFonts w:ascii="Segoe UI" w:hAnsi="Segoe UI"/>
                <w:b/>
                <w:color w:val="C2410C"/>
                <w:sz w:val="16"/>
              </w:rPr>
              <w:t>Base</w:t>
            </w:r>
          </w:p>
        </w:tc>
        <w:tc>
          <w:tcPr>
            <w:tcW w:type="dxa" w:w="360"/>
            <w:vAlign w:val="center"/>
            <w:tcMar>
              <w:top w:w="10" w:type="dxa"/>
              <w:bottom w:w="10" w:type="dxa"/>
              <w:left w:w="4" w:type="dxa"/>
              <w:right w:w="4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color w:val="475569"/>
                <w:sz w:val="19"/>
              </w:rPr>
              <w:t>➔</w:t>
            </w:r>
          </w:p>
        </w:tc>
        <w:tc>
          <w:tcPr>
            <w:tcW w:type="dxa" w:w="2592"/>
            <w:vAlign w:val="center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Define Customer Performance Objectives &amp; Goals</w:t>
            </w:r>
          </w:p>
        </w:tc>
        <w:tc>
          <w:tcPr>
            <w:tcW w:type="dxa" w:w="360"/>
            <w:vAlign w:val="center"/>
            <w:tcMar>
              <w:top w:w="10" w:type="dxa"/>
              <w:bottom w:w="10" w:type="dxa"/>
              <w:left w:w="4" w:type="dxa"/>
              <w:right w:w="4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color w:val="475569"/>
                <w:sz w:val="19"/>
              </w:rPr>
              <w:t>➔</w:t>
            </w:r>
          </w:p>
        </w:tc>
        <w:tc>
          <w:tcPr>
            <w:tcW w:type="dxa" w:w="2592"/>
            <w:vAlign w:val="center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Load Current Planned Tasks into Newton™</w:t>
            </w:r>
          </w:p>
        </w:tc>
        <w:tc>
          <w:tcPr>
            <w:tcW w:type="dxa" w:w="360"/>
            <w:vAlign w:val="center"/>
            <w:tcMar>
              <w:top w:w="10" w:type="dxa"/>
              <w:bottom w:w="10" w:type="dxa"/>
              <w:left w:w="4" w:type="dxa"/>
              <w:right w:w="4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color w:val="475569"/>
                <w:sz w:val="19"/>
              </w:rPr>
              <w:t>➔</w:t>
            </w:r>
          </w:p>
        </w:tc>
        <w:tc>
          <w:tcPr>
            <w:tcW w:type="dxa" w:w="2304"/>
            <w:vAlign w:val="center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Load COF Data into Newton™</w:t>
            </w:r>
          </w:p>
        </w:tc>
        <w:tc>
          <w:tcPr>
            <w:tcW w:type="dxa" w:w="360"/>
            <w:vAlign w:val="center"/>
            <w:tcMar>
              <w:top w:w="10" w:type="dxa"/>
              <w:bottom w:w="10" w:type="dxa"/>
              <w:left w:w="4" w:type="dxa"/>
              <w:right w:w="4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 Symbol" w:hAnsi="Segoe UI Symbol"/>
                <w:b/>
                <w:color w:val="475569"/>
                <w:sz w:val="19"/>
              </w:rPr>
              <w:t>➔</w:t>
            </w:r>
          </w:p>
        </w:tc>
        <w:tc>
          <w:tcPr>
            <w:tcW w:type="dxa" w:w="3312"/>
            <w:vAlign w:val="center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  <w:tcBorders>
              <w:top w:val="single" w:sz="10" w:space="0" w:color="334155"/>
              <w:left w:val="single" w:sz="10" w:space="0" w:color="334155"/>
              <w:bottom w:val="single" w:sz="10" w:space="0" w:color="334155"/>
              <w:right w:val="single" w:sz="10" w:space="0" w:color="334155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Assess Top 10 Contributors to Downtime</w:t>
              <w:br/>
              <w:t>Validate Newton™ Model with Customer</w:t>
            </w:r>
          </w:p>
        </w:tc>
      </w:tr>
    </w:tbl>
    <w:p>
      <w:pPr>
        <w:spacing w:before="20" w:after="20" w:line="240" w:lineRule="auto"/>
        <w:jc w:val="center"/>
      </w:pPr>
      <w:r>
        <w:rPr>
          <w:rFonts w:ascii="Segoe UI Symbol" w:hAnsi="Segoe UI Symbol"/>
          <w:b/>
          <w:color w:val="475569"/>
          <w:sz w:val="20"/>
        </w:rPr>
        <w:t>↓ (Branches to Tuning Tracks &amp; Scenario Creation)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c>
          <w:tcPr>
            <w:tcW w:type="dxa" w:w="14400"/>
            <w:shd w:fill="F0FDFA"/>
            <w:tcMar>
              <w:top w:w="30" w:type="dxa"/>
              <w:bottom w:w="30" w:type="dxa"/>
              <w:left w:w="40" w:type="dxa"/>
              <w:right w:w="4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880"/>
              <w:gridCol w:w="2880"/>
              <w:gridCol w:w="2880"/>
              <w:gridCol w:w="2880"/>
              <w:gridCol w:w="2880"/>
            </w:tblGrid>
            <w:tr>
              <w:tc>
                <w:tcPr>
                  <w:tcW w:type="dxa" w:w="4896"/>
                  <w:vAlign w:val="center"/>
                  <w:shd w:fill="ECFE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0891B2"/>
                    <w:left w:val="single" w:sz="10" w:space="0" w:color="0891B2"/>
                    <w:bottom w:val="single" w:sz="10" w:space="0" w:color="0891B2"/>
                    <w:right w:val="single" w:sz="10" w:space="0" w:color="0891B2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E7490"/>
                      <w:sz w:val="16"/>
                    </w:rPr>
                    <w:t>Understand Tuning Needed to Align Newton™ Model with Reality</w:t>
                  </w:r>
                </w:p>
              </w:tc>
              <w:tc>
                <w:tcPr>
                  <w:tcW w:type="dxa" w:w="432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880"/>
                  <w:vAlign w:val="center"/>
                  <w:shd w:fill="ECFE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0891B2"/>
                    <w:left w:val="single" w:sz="10" w:space="0" w:color="0891B2"/>
                    <w:bottom w:val="single" w:sz="10" w:space="0" w:color="0891B2"/>
                    <w:right w:val="single" w:sz="10" w:space="0" w:color="0891B2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E7490"/>
                      <w:sz w:val="16"/>
                    </w:rPr>
                    <w:t>Tuning Toolbox</w:t>
                  </w:r>
                </w:p>
              </w:tc>
              <w:tc>
                <w:tcPr>
                  <w:tcW w:type="dxa" w:w="432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456"/>
                  <w:vAlign w:val="center"/>
                  <w:shd w:fill="ECFE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0891B2"/>
                    <w:left w:val="single" w:sz="10" w:space="0" w:color="0891B2"/>
                    <w:bottom w:val="single" w:sz="10" w:space="0" w:color="0891B2"/>
                    <w:right w:val="single" w:sz="10" w:space="0" w:color="0891B2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E7490"/>
                      <w:sz w:val="16"/>
                    </w:rPr>
                    <w:t>Close Tuning Needs</w:t>
                  </w:r>
                </w:p>
              </w:tc>
            </w:tr>
          </w:tbl>
          <w:p/>
        </w:tc>
      </w:tr>
      <w:tr>
        <w:tc>
          <w:tcPr>
            <w:tcW w:type="dxa" w:w="14400"/>
            <w:tcMar>
              <w:top w:w="20" w:type="dxa"/>
              <w:bottom w:w="20" w:type="dxa"/>
              <w:left w:w="40" w:type="dxa"/>
              <w:right w:w="4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800"/>
              <w:gridCol w:w="4800"/>
              <w:gridCol w:w="4800"/>
            </w:tblGrid>
            <w:tr>
              <w:tc>
                <w:tcPr>
                  <w:tcW w:type="dxa" w:w="6480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Create New Scenario for Newton™ Tuned Model</w:t>
                  </w:r>
                </w:p>
              </w:tc>
              <w:tc>
                <w:tcPr>
                  <w:tcW w:type="dxa" w:w="576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2160"/>
                  <w:vAlign w:val="center"/>
                  <w:shd w:fill="FFFBE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2" w:space="0" w:color="D97706"/>
                    <w:left w:val="single" w:sz="12" w:space="0" w:color="D97706"/>
                    <w:bottom w:val="single" w:sz="12" w:space="0" w:color="D97706"/>
                    <w:right w:val="single" w:sz="12" w:space="0" w:color="D9770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color w:val="C2410C"/>
                      <w:sz w:val="16"/>
                    </w:rPr>
                    <w:t xml:space="preserve">◆ </w:t>
                  </w:r>
                  <w:r>
                    <w:rPr>
                      <w:rFonts w:ascii="Segoe UI" w:hAnsi="Segoe UI"/>
                      <w:b/>
                      <w:color w:val="C2410C"/>
                      <w:sz w:val="16"/>
                    </w:rPr>
                    <w:t>Tuned</w:t>
                  </w:r>
                </w:p>
              </w:tc>
            </w:tr>
          </w:tbl>
          <w:p/>
        </w:tc>
      </w:tr>
      <w:tr>
        <w:tc>
          <w:tcPr>
            <w:tcW w:type="dxa" w:w="14400"/>
            <w:shd w:fill="FAF5FF"/>
            <w:tcMar>
              <w:top w:w="30" w:type="dxa"/>
              <w:bottom w:w="30" w:type="dxa"/>
              <w:left w:w="40" w:type="dxa"/>
              <w:right w:w="4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2880"/>
              <w:gridCol w:w="2880"/>
              <w:gridCol w:w="2880"/>
              <w:gridCol w:w="2880"/>
              <w:gridCol w:w="2880"/>
            </w:tblGrid>
            <w:tr>
              <w:tc>
                <w:tcPr>
                  <w:tcW w:type="dxa" w:w="4896"/>
                  <w:vAlign w:val="center"/>
                  <w:shd w:fill="FAF5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9333EA"/>
                    <w:left w:val="single" w:sz="10" w:space="0" w:color="9333EA"/>
                    <w:bottom w:val="single" w:sz="10" w:space="0" w:color="9333EA"/>
                    <w:right w:val="single" w:sz="10" w:space="0" w:color="9333E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6B21A8"/>
                      <w:sz w:val="16"/>
                    </w:rPr>
                    <w:t>Understand Foundational Program Gaps to Close to Align Model</w:t>
                  </w:r>
                </w:p>
              </w:tc>
              <w:tc>
                <w:tcPr>
                  <w:tcW w:type="dxa" w:w="432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312"/>
                  <w:vAlign w:val="center"/>
                  <w:shd w:fill="FAF5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9333EA"/>
                    <w:left w:val="single" w:sz="10" w:space="0" w:color="9333EA"/>
                    <w:bottom w:val="single" w:sz="10" w:space="0" w:color="9333EA"/>
                    <w:right w:val="single" w:sz="10" w:space="0" w:color="9333E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6B21A8"/>
                      <w:sz w:val="16"/>
                    </w:rPr>
                    <w:t>Uncertainty Based Gap Closure</w:t>
                  </w:r>
                </w:p>
              </w:tc>
              <w:tc>
                <w:tcPr>
                  <w:tcW w:type="dxa" w:w="432"/>
                  <w:vAlign w:val="center"/>
                  <w:tcMar>
                    <w:top w:w="10" w:type="dxa"/>
                    <w:bottom w:w="10" w:type="dxa"/>
                    <w:left w:w="4" w:type="dxa"/>
                    <w:right w:w="4" w:type="dxa"/>
                  </w:tcMar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Segoe UI Symbol" w:hAnsi="Segoe UI Symbol"/>
                      <w:b/>
                      <w:color w:val="475569"/>
                      <w:sz w:val="19"/>
                    </w:rPr>
                    <w:t>➔</w:t>
                  </w:r>
                </w:p>
              </w:tc>
              <w:tc>
                <w:tcPr>
                  <w:tcW w:type="dxa" w:w="3456"/>
                  <w:vAlign w:val="center"/>
                  <w:shd w:fill="FAF5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9333EA"/>
                    <w:left w:val="single" w:sz="10" w:space="0" w:color="9333EA"/>
                    <w:bottom w:val="single" w:sz="10" w:space="0" w:color="9333EA"/>
                    <w:right w:val="single" w:sz="10" w:space="0" w:color="9333E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6B21A8"/>
                      <w:sz w:val="16"/>
                    </w:rPr>
                    <w:t>Close Foundational Program Gaps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0"/>
        <w:gridCol w:w="7200"/>
      </w:tblGrid>
      <w:tr>
        <w:tc>
          <w:tcPr>
            <w:tcW w:type="dxa" w:w="6912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F4E78"/>
                <w:sz w:val="22"/>
              </w:rPr>
              <w:t>Workflow 3: CML Optimization Setup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912"/>
            </w:tblGrid>
            <w:tr>
              <w:tc>
                <w:tcPr>
                  <w:tcW w:type="dxa" w:w="4896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Load Asset Register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At least one child component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912"/>
            </w:tblGrid>
            <w:tr>
              <w:tc>
                <w:tcPr>
                  <w:tcW w:type="dxa" w:w="4896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Assign Failure Mode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Thinning — Multi-Path Linear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912"/>
            </w:tblGrid>
            <w:tr>
              <w:tc>
                <w:tcPr>
                  <w:tcW w:type="dxa" w:w="4896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Configure Failure Mechanism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Sets % Affected Area on all CMLs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912"/>
            </w:tblGrid>
            <w:tr>
              <w:tc>
                <w:tcPr>
                  <w:tcW w:type="dxa" w:w="4896"/>
                  <w:vAlign w:val="center"/>
                  <w:shd w:fill="F0F7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2563EB"/>
                    <w:left w:val="single" w:sz="10" w:space="0" w:color="2563EB"/>
                    <w:bottom w:val="single" w:sz="10" w:space="0" w:color="2563EB"/>
                    <w:right w:val="single" w:sz="10" w:space="0" w:color="2563EB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Load CoF Data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At least HSE or Economic CoF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912"/>
            </w:tblGrid>
            <w:tr>
              <w:tc>
                <w:tcPr>
                  <w:tcW w:type="dxa" w:w="5184"/>
                  <w:vAlign w:val="center"/>
                  <w:shd w:fill="FFFBE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2" w:space="0" w:color="D97706"/>
                    <w:left w:val="single" w:sz="12" w:space="0" w:color="D97706"/>
                    <w:bottom w:val="single" w:sz="12" w:space="0" w:color="D97706"/>
                    <w:right w:val="single" w:sz="12" w:space="0" w:color="D9770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color w:val="C2410C"/>
                      <w:sz w:val="16"/>
                    </w:rPr>
                    <w:t xml:space="preserve">◆ </w:t>
                  </w:r>
                  <w:r>
                    <w:rPr>
                      <w:rFonts w:ascii="Segoe UI" w:hAnsi="Segoe UI"/>
                      <w:b/>
                      <w:color w:val="C2410C"/>
                      <w:sz w:val="16"/>
                    </w:rPr>
                    <w:t>Using customer's existing inspection tasks?</w:t>
                  </w:r>
                </w:p>
              </w:tc>
            </w:tr>
          </w:tbl>
          <w:p/>
          <w:p>
            <w:pPr>
              <w:spacing w:before="40" w:after="40"/>
              <w:jc w:val="center"/>
            </w:pPr>
            <w:r>
              <w:rPr>
                <w:color w:val="475569"/>
                <w:sz w:val="15"/>
              </w:rPr>
              <w:t>↙ [YES: Load Planned Tasks]  |  ↘ [NO: Run Task Automation]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456"/>
              <w:gridCol w:w="3456"/>
            </w:tblGrid>
            <w:tr>
              <w:tc>
                <w:tcPr>
                  <w:tcW w:type="dxa" w:w="2592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Load Planned Inspection Tasks</w:t>
                    <w:br/>
                    <w:t>(Dates set inspection)</w:t>
                  </w:r>
                </w:p>
              </w:tc>
              <w:tc>
                <w:tcPr>
                  <w:tcW w:type="dxa" w:w="2592"/>
                  <w:vAlign w:val="center"/>
                  <w:shd w:fill="F8FAFC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334155"/>
                    <w:left w:val="single" w:sz="10" w:space="0" w:color="334155"/>
                    <w:bottom w:val="single" w:sz="10" w:space="0" w:color="334155"/>
                    <w:right w:val="single" w:sz="10" w:space="0" w:color="334155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0F172A"/>
                      <w:sz w:val="16"/>
                    </w:rPr>
                    <w:t>Run Task Automation</w:t>
                    <w:br/>
                    <w:t>(Newton generates tasks)</w:t>
                  </w:r>
                </w:p>
              </w:tc>
            </w:tr>
          </w:tbl>
          <w:p/>
          <w:p>
            <w:pPr>
              <w:spacing w:before="40" w:after="40"/>
              <w:jc w:val="center"/>
            </w:pPr>
            <w:r>
              <w:rPr>
                <w:color w:val="475569"/>
                <w:sz w:val="15"/>
              </w:rPr>
              <w:t>↓ (Also requires: Load CMLs &amp; Readings ➔ Run Newton Calculation)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912"/>
            </w:tblGrid>
            <w:tr>
              <w:tc>
                <w:tcPr>
                  <w:tcW w:type="dxa" w:w="4320"/>
                  <w:vAlign w:val="center"/>
                  <w:shd w:fill="EFF6FF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2" w:space="0" w:color="3B82F6"/>
                    <w:left w:val="single" w:sz="12" w:space="0" w:color="3B82F6"/>
                    <w:bottom w:val="single" w:sz="12" w:space="0" w:color="3B82F6"/>
                    <w:right w:val="single" w:sz="12" w:space="0" w:color="3B82F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D4ED8"/>
                      <w:sz w:val="16"/>
                    </w:rPr>
                    <w:t>Ready to Run CML Optimization</w:t>
                  </w:r>
                </w:p>
              </w:tc>
            </w:tr>
          </w:tbl>
          <w:p/>
        </w:tc>
        <w:tc>
          <w:tcPr>
            <w:tcW w:type="dxa" w:w="720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F4E78"/>
                <w:sz w:val="22"/>
              </w:rPr>
              <w:t>Workflow 4: Running CML Optimization Execution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4608"/>
                  <w:vAlign w:val="center"/>
                  <w:shd w:fill="F0FDF4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16A34A"/>
                    <w:left w:val="single" w:sz="10" w:space="0" w:color="16A34A"/>
                    <w:bottom w:val="single" w:sz="10" w:space="0" w:color="16A34A"/>
                    <w:right w:val="single" w:sz="10" w:space="0" w:color="16A34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5803D"/>
                      <w:sz w:val="16"/>
                    </w:rPr>
                    <w:t>Navigate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Optimize menu ➔ CML Optimization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4608"/>
                  <w:vAlign w:val="center"/>
                  <w:shd w:fill="F0FDF4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16A34A"/>
                    <w:left w:val="single" w:sz="10" w:space="0" w:color="16A34A"/>
                    <w:bottom w:val="single" w:sz="10" w:space="0" w:color="16A34A"/>
                    <w:right w:val="single" w:sz="10" w:space="0" w:color="16A34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5803D"/>
                      <w:sz w:val="16"/>
                    </w:rPr>
                    <w:t>Validate Data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Click Validate Data button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3744"/>
                  <w:vAlign w:val="center"/>
                  <w:shd w:fill="FFFBE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2" w:space="0" w:color="D97706"/>
                    <w:left w:val="single" w:sz="12" w:space="0" w:color="D97706"/>
                    <w:bottom w:val="single" w:sz="12" w:space="0" w:color="D97706"/>
                    <w:right w:val="single" w:sz="12" w:space="0" w:color="D9770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color w:val="C2410C"/>
                      <w:sz w:val="16"/>
                    </w:rPr>
                    <w:t xml:space="preserve">◆ </w:t>
                  </w:r>
                  <w:r>
                    <w:rPr>
                      <w:rFonts w:ascii="Segoe UI" w:hAnsi="Segoe UI"/>
                      <w:b/>
                      <w:color w:val="C2410C"/>
                      <w:sz w:val="16"/>
                    </w:rPr>
                    <w:t>Errors found?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</w:tblGrid>
            <w:tr>
              <w:tc>
                <w:tcPr>
                  <w:tcW w:type="dxa" w:w="2880"/>
                  <w:vAlign w:val="center"/>
                  <w:shd w:fill="FEF2F2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DC2626"/>
                    <w:left w:val="single" w:sz="10" w:space="0" w:color="DC2626"/>
                    <w:bottom w:val="single" w:sz="10" w:space="0" w:color="DC2626"/>
                    <w:right w:val="single" w:sz="10" w:space="0" w:color="DC262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B91C1C"/>
                      <w:sz w:val="16"/>
                    </w:rPr>
                    <w:t>[Yes] Fix errors in assessment data ↺</w:t>
                  </w:r>
                </w:p>
              </w:tc>
              <w:tc>
                <w:tcPr>
                  <w:tcW w:type="dxa" w:w="2880"/>
                  <w:vAlign w:val="center"/>
                  <w:shd w:fill="F0FDF4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16A34A"/>
                    <w:left w:val="single" w:sz="10" w:space="0" w:color="16A34A"/>
                    <w:bottom w:val="single" w:sz="10" w:space="0" w:color="16A34A"/>
                    <w:right w:val="single" w:sz="10" w:space="0" w:color="16A34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5803D"/>
                      <w:sz w:val="16"/>
                    </w:rPr>
                    <w:t>[No] Proceed to Configure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4896"/>
                  <w:vAlign w:val="center"/>
                  <w:shd w:fill="F0FDF4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16A34A"/>
                    <w:left w:val="single" w:sz="10" w:space="0" w:color="16A34A"/>
                    <w:bottom w:val="single" w:sz="10" w:space="0" w:color="16A34A"/>
                    <w:right w:val="single" w:sz="10" w:space="0" w:color="16A34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5803D"/>
                      <w:sz w:val="16"/>
                    </w:rPr>
                    <w:t>Start and Configure Run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• Optimization Date</w:t>
                    <w:br/>
                    <w:t>• Economic Risk Threshold</w:t>
                    <w:br/>
                    <w:t>• HSE Risk Threshold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4320"/>
                  <w:vAlign w:val="center"/>
                  <w:shd w:fill="F0FDF4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16A34A"/>
                    <w:left w:val="single" w:sz="10" w:space="0" w:color="16A34A"/>
                    <w:bottom w:val="single" w:sz="10" w:space="0" w:color="16A34A"/>
                    <w:right w:val="single" w:sz="10" w:space="0" w:color="16A34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5803D"/>
                      <w:sz w:val="16"/>
                    </w:rPr>
                    <w:t>Execute</w:t>
                  </w:r>
                </w:p>
                <w:p>
                  <w:pPr>
                    <w:spacing w:before="20" w:after="0" w:line="240" w:lineRule="auto"/>
                    <w:jc w:val="center"/>
                  </w:pPr>
                  <w:r>
                    <w:rPr>
                      <w:rFonts w:ascii="Segoe UI" w:hAnsi="Segoe UI"/>
                      <w:i/>
                      <w:color w:val="475569"/>
                      <w:sz w:val="15"/>
                    </w:rPr>
                    <w:t>Click Run / Execute</w:t>
                  </w:r>
                </w:p>
              </w:tc>
            </w:tr>
          </w:tbl>
          <w:p/>
          <w:p>
            <w:pPr>
              <w:spacing w:before="20" w:after="20"/>
              <w:jc w:val="center"/>
            </w:pPr>
            <w:r>
              <w:rPr>
                <w:rFonts w:ascii="Segoe UI Symbol" w:hAnsi="Segoe UI Symbol"/>
                <w:color w:val="475569"/>
                <w:sz w:val="19"/>
              </w:rPr>
              <w:t>↓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7200"/>
            </w:tblGrid>
            <w:tr>
              <w:tc>
                <w:tcPr>
                  <w:tcW w:type="dxa" w:w="4032"/>
                  <w:vAlign w:val="center"/>
                  <w:shd w:fill="FFFBEB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2" w:space="0" w:color="D97706"/>
                    <w:left w:val="single" w:sz="12" w:space="0" w:color="D97706"/>
                    <w:bottom w:val="single" w:sz="12" w:space="0" w:color="D97706"/>
                    <w:right w:val="single" w:sz="12" w:space="0" w:color="D9770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color w:val="C2410C"/>
                      <w:sz w:val="16"/>
                    </w:rPr>
                    <w:t xml:space="preserve">◆ </w:t>
                  </w:r>
                  <w:r>
                    <w:rPr>
                      <w:rFonts w:ascii="Segoe UI" w:hAnsi="Segoe UI"/>
                      <w:b/>
                      <w:color w:val="C2410C"/>
                      <w:sz w:val="16"/>
                    </w:rPr>
                    <w:t>Server validation passes?</w:t>
                  </w:r>
                </w:p>
              </w:tc>
            </w:tr>
          </w:tbl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600"/>
              <w:gridCol w:w="3600"/>
            </w:tblGrid>
            <w:tr>
              <w:tc>
                <w:tcPr>
                  <w:tcW w:type="dxa" w:w="3168"/>
                  <w:vAlign w:val="center"/>
                  <w:shd w:fill="FEF2F2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DC2626"/>
                    <w:left w:val="single" w:sz="10" w:space="0" w:color="DC2626"/>
                    <w:bottom w:val="single" w:sz="10" w:space="0" w:color="DC2626"/>
                    <w:right w:val="single" w:sz="10" w:space="0" w:color="DC2626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B91C1C"/>
                      <w:sz w:val="16"/>
                    </w:rPr>
                    <w:t>[Errors] Review error messages and fix data ↺</w:t>
                  </w:r>
                </w:p>
              </w:tc>
              <w:tc>
                <w:tcPr>
                  <w:tcW w:type="dxa" w:w="2880"/>
                  <w:vAlign w:val="center"/>
                  <w:shd w:fill="F0FDF4"/>
                  <w:tcMar>
                    <w:top w:w="60" w:type="dxa"/>
                    <w:bottom w:w="60" w:type="dxa"/>
                    <w:left w:w="70" w:type="dxa"/>
                    <w:right w:w="70" w:type="dxa"/>
                  </w:tcMar>
                  <w:tcBorders>
                    <w:top w:val="single" w:sz="10" w:space="0" w:color="16A34A"/>
                    <w:left w:val="single" w:sz="10" w:space="0" w:color="16A34A"/>
                    <w:bottom w:val="single" w:sz="10" w:space="0" w:color="16A34A"/>
                    <w:right w:val="single" w:sz="10" w:space="0" w:color="16A34A"/>
                  </w:tcBorders>
                </w:tcPr>
                <w:p>
                  <w:pPr>
                    <w:spacing w:before="0" w:after="0" w:line="252" w:lineRule="auto"/>
                    <w:jc w:val="center"/>
                  </w:pPr>
                  <w:r>
                    <w:rPr>
                      <w:rFonts w:ascii="Segoe UI" w:hAnsi="Segoe UI"/>
                      <w:b/>
                      <w:color w:val="15803D"/>
                      <w:sz w:val="16"/>
                    </w:rPr>
                    <w:t>[Passes] Review Results ✔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76" w:right="720" w:bottom="576" w:left="720" w:header="720" w:footer="720" w:gutter="0"/>
          <w:cols w:space="720"/>
          <w:docGrid w:linePitch="360"/>
        </w:sectPr>
      </w:pPr>
    </w:p>
    <w:p>
      <w:pPr>
        <w:spacing w:before="0" w:after="200"/>
      </w:pPr>
      <w:r>
        <w:rPr>
          <w:rFonts w:ascii="Segoe UI" w:hAnsi="Segoe UI"/>
          <w:b/>
          <w:color w:val="1F4E78"/>
          <w:sz w:val="32"/>
        </w:rPr>
        <w:t>5. Model Progression Lifecycle</w:t>
      </w:r>
    </w:p>
    <w:p>
      <w:pPr>
        <w:keepNext/>
        <w:spacing w:before="280" w:after="80"/>
      </w:pPr>
      <w:r>
        <w:rPr>
          <w:rFonts w:ascii="Segoe UI" w:hAnsi="Segoe UI"/>
          <w:b/>
          <w:color w:val="1F4E78"/>
          <w:sz w:val="26"/>
        </w:rPr>
        <w:t xml:space="preserve">5.1 </w:t>
      </w:r>
      <w:r>
        <w:rPr>
          <w:rFonts w:ascii="Segoe UI" w:hAnsi="Segoe UI"/>
          <w:b/>
          <w:color w:val="1F4E78"/>
          <w:sz w:val="26"/>
        </w:rPr>
        <w:t>Stage 1: Base Model Generation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The process begins by loading into Newton: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The accepted "Master Asset List" for the system being modeled.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A simplified System Model for the assets being included.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Next, the team loads any readily available data (i.e. data that maintenance, reliability or operations personnel would have easy access to in normal conditions):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thickness data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vibration data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failure modes (documented)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Process and operating information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Relevant system model parameters (downtime)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Newton then produces an initial base model, which represents what the data currently says about asset risk and degradation.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These base models are almost always inaccurate at first—not because of QRO, but because: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Data is missing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Data contains errors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Asset records are incomplete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Inputs have never been standardized across systems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Human-driven systems allowed data quality issues to propagate for years</w:t>
      </w:r>
    </w:p>
    <w:p>
      <w:pPr>
        <w:spacing w:before="40" w:after="80" w:line="276" w:lineRule="auto"/>
      </w:pPr>
      <w:r>
        <w:rPr>
          <w:rFonts w:ascii="Segoe UI" w:hAnsi="Segoe UI"/>
          <w:b w:val="0"/>
          <w:i/>
          <w:color w:val="0F172A"/>
          <w:sz w:val="20"/>
        </w:rPr>
        <w:t>This initial model is invaluable because it immediately shows where the data is wrong or insufficient, and what should be done to get initial priorities from the model.</w:t>
      </w:r>
    </w:p>
    <w:p>
      <w:pPr>
        <w:keepNext/>
        <w:spacing w:before="280" w:after="80"/>
      </w:pPr>
      <w:r>
        <w:rPr>
          <w:rFonts w:ascii="Segoe UI" w:hAnsi="Segoe UI"/>
          <w:b/>
          <w:color w:val="1F4E78"/>
          <w:sz w:val="26"/>
        </w:rPr>
        <w:t xml:space="preserve">5.2 </w:t>
      </w:r>
      <w:r>
        <w:rPr>
          <w:rFonts w:ascii="Segoe UI" w:hAnsi="Segoe UI"/>
          <w:b/>
          <w:color w:val="1F4E78"/>
          <w:sz w:val="26"/>
        </w:rPr>
        <w:t>Stage 2: Tuned Model Development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Next, the engineering and operations teams collaborate to refine the model by: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Correcting data issues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Incorporating missing data streams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Adjusting inputs to reflect real operating behavior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Applying additional physics-based rules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Cleaning up or reconciling historical records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This stage results in a tuned model—a digital representation of the facility that accurately reflects real-world performance.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Once the tuned model resembles reality, QRO can then be used to evaluate improvements.</w:t>
      </w:r>
    </w:p>
    <w:p>
      <w:pPr>
        <w:keepNext/>
        <w:spacing w:before="280" w:after="80"/>
      </w:pPr>
      <w:r>
        <w:rPr>
          <w:rFonts w:ascii="Segoe UI" w:hAnsi="Segoe UI"/>
          <w:b/>
          <w:color w:val="1F4E78"/>
          <w:sz w:val="26"/>
        </w:rPr>
        <w:t xml:space="preserve">5.3 </w:t>
      </w:r>
      <w:r>
        <w:rPr>
          <w:rFonts w:ascii="Segoe UI" w:hAnsi="Segoe UI"/>
          <w:b/>
          <w:color w:val="1F4E78"/>
          <w:sz w:val="26"/>
        </w:rPr>
        <w:t>Stage 3: Optimized Model Generation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The final stage is to create the optimized model, where QRO determines: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Which tasks or activities should be performed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How frequently they should occur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How they should be prioritized against each other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What the return on investment is for each task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How to achieve the greatest total risk reduction at the lowest total cost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This optimized model becomes a practical, executable plan that operators can deploy directly into the facility. It enables: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Maximum reliability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Minimum cost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Highest safety performance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Better alignment of maintenance, inspection, and engineering activities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0F172A"/>
          <w:sz w:val="20"/>
        </w:rPr>
        <w:t>Data-driven capital planning</w:t>
      </w:r>
    </w:p>
    <w:p>
      <w:pPr>
        <w:spacing w:before="40" w:after="80" w:line="276" w:lineRule="auto"/>
      </w:pPr>
      <w:r>
        <w:rPr>
          <w:rFonts w:ascii="Segoe UI" w:hAnsi="Segoe UI"/>
          <w:b w:val="0"/>
          <w:i w:val="0"/>
          <w:color w:val="0F172A"/>
          <w:sz w:val="20"/>
        </w:rPr>
        <w:t>This is the stage where QRO fully demonstrates its value—providing a strategic, financially optimized roadmap for improving facility operations.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