
<file path=[Content_Types].xml><?xml version="1.0" encoding="utf-8"?>
<Types xmlns="http://schemas.openxmlformats.org/package/2006/content-types">
  <Default Extension="xml" ContentType="application/xml"/>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672D24">
      <w:pPr>
        <w:pStyle w:val="31"/>
        <w:tabs>
          <w:tab w:val="left" w:pos="2977"/>
        </w:tabs>
        <w:rPr>
          <w:szCs w:val="24"/>
        </w:rPr>
      </w:pPr>
      <w:r>
        <w:rPr>
          <w:szCs w:val="24"/>
        </w:rPr>
        <w:t>Design of a Blockchain-Based B2B Platform for Hotel Venue Booking in Indonesia’s MICE Industry: A Case Study of Platform BuatEvent.id</w:t>
      </w:r>
    </w:p>
    <w:p w14:paraId="573BB151">
      <w:pPr>
        <w:pStyle w:val="31"/>
        <w:tabs>
          <w:tab w:val="left" w:pos="2977"/>
        </w:tabs>
        <w:rPr>
          <w:szCs w:val="24"/>
        </w:rPr>
      </w:pPr>
    </w:p>
    <w:p w14:paraId="280E585A">
      <w:pPr>
        <w:pStyle w:val="32"/>
        <w:rPr>
          <w:sz w:val="22"/>
          <w:szCs w:val="22"/>
        </w:rPr>
      </w:pPr>
      <w:r>
        <w:rPr>
          <w:sz w:val="22"/>
          <w:szCs w:val="22"/>
        </w:rPr>
        <w:t>Nuryani Mawar Putri*</w:t>
      </w:r>
      <w:r>
        <w:rPr>
          <w:sz w:val="22"/>
          <w:szCs w:val="22"/>
          <w:vertAlign w:val="superscript"/>
        </w:rPr>
        <w:t>1</w:t>
      </w:r>
      <w:r>
        <w:rPr>
          <w:sz w:val="22"/>
          <w:szCs w:val="22"/>
          <w:lang w:val="id-ID"/>
        </w:rPr>
        <w:t xml:space="preserve">, </w:t>
      </w:r>
      <w:r>
        <w:rPr>
          <w:sz w:val="22"/>
          <w:szCs w:val="22"/>
        </w:rPr>
        <w:t>Muhammad Supriyadi</w:t>
      </w:r>
      <w:r>
        <w:rPr>
          <w:sz w:val="22"/>
          <w:szCs w:val="22"/>
          <w:vertAlign w:val="superscript"/>
        </w:rPr>
        <w:t>2</w:t>
      </w:r>
      <w:r>
        <w:rPr>
          <w:sz w:val="22"/>
          <w:szCs w:val="22"/>
        </w:rPr>
        <w:t>, Ary Suryadi</w:t>
      </w:r>
      <w:r>
        <w:rPr>
          <w:sz w:val="22"/>
          <w:szCs w:val="22"/>
          <w:vertAlign w:val="superscript"/>
        </w:rPr>
        <w:t>3</w:t>
      </w:r>
      <w:r>
        <w:rPr>
          <w:sz w:val="22"/>
          <w:szCs w:val="22"/>
        </w:rPr>
        <w:t xml:space="preserve">, </w:t>
      </w:r>
    </w:p>
    <w:p w14:paraId="49604C10">
      <w:pPr>
        <w:pStyle w:val="32"/>
        <w:rPr>
          <w:sz w:val="22"/>
          <w:szCs w:val="22"/>
        </w:rPr>
      </w:pPr>
      <w:r>
        <w:rPr>
          <w:sz w:val="22"/>
          <w:szCs w:val="22"/>
        </w:rPr>
        <w:t>Muhammad Farhan Abdurrahman</w:t>
      </w:r>
      <w:r>
        <w:rPr>
          <w:sz w:val="22"/>
          <w:szCs w:val="22"/>
          <w:vertAlign w:val="superscript"/>
        </w:rPr>
        <w:t>4</w:t>
      </w:r>
      <w:r>
        <w:rPr>
          <w:sz w:val="22"/>
          <w:szCs w:val="22"/>
        </w:rPr>
        <w:t>, Kursehi Falgenti</w:t>
      </w:r>
      <w:r>
        <w:rPr>
          <w:sz w:val="22"/>
          <w:szCs w:val="22"/>
          <w:vertAlign w:val="superscript"/>
        </w:rPr>
        <w:t>5</w:t>
      </w:r>
    </w:p>
    <w:p w14:paraId="0E52D3B6">
      <w:pPr>
        <w:pStyle w:val="33"/>
        <w:rPr>
          <w:sz w:val="22"/>
          <w:szCs w:val="22"/>
        </w:rPr>
      </w:pPr>
      <w:r>
        <w:rPr>
          <w:sz w:val="22"/>
          <w:szCs w:val="22"/>
          <w:vertAlign w:val="superscript"/>
        </w:rPr>
        <w:t>1, 2, 3, 4, 5</w:t>
      </w:r>
      <w:r>
        <w:rPr>
          <w:sz w:val="22"/>
          <w:szCs w:val="22"/>
        </w:rPr>
        <w:t xml:space="preserve"> Computer Science, Universitas Nusa Mandiri, Indonesia</w:t>
      </w:r>
    </w:p>
    <w:p w14:paraId="1A90B50D">
      <w:pPr>
        <w:pStyle w:val="33"/>
        <w:rPr>
          <w:color w:val="FF0000"/>
          <w:sz w:val="22"/>
          <w:szCs w:val="22"/>
        </w:rPr>
      </w:pPr>
    </w:p>
    <w:p w14:paraId="3C7E7596">
      <w:pPr>
        <w:pStyle w:val="34"/>
        <w:rPr>
          <w:sz w:val="22"/>
          <w:szCs w:val="22"/>
          <w:lang w:val="id-ID"/>
        </w:rPr>
      </w:pPr>
      <w:r>
        <w:rPr>
          <w:sz w:val="22"/>
          <w:szCs w:val="22"/>
          <w:lang w:val="id-ID"/>
        </w:rPr>
        <w:t xml:space="preserve">Email: </w:t>
      </w:r>
      <w:r>
        <w:rPr>
          <w:sz w:val="22"/>
          <w:szCs w:val="22"/>
          <w:vertAlign w:val="superscript"/>
          <w:lang w:val="id-ID"/>
        </w:rPr>
        <w:t>1</w:t>
      </w:r>
      <w:r>
        <w:rPr>
          <w:sz w:val="22"/>
          <w:szCs w:val="22"/>
        </w:rPr>
        <w:t>14240017@nusamandiri.ac.id</w:t>
      </w:r>
    </w:p>
    <w:p w14:paraId="5A71C85E">
      <w:pPr>
        <w:pStyle w:val="36"/>
        <w:spacing w:before="0" w:after="0"/>
        <w:rPr>
          <w:b w:val="0"/>
          <w:sz w:val="22"/>
          <w:szCs w:val="22"/>
        </w:rPr>
      </w:pPr>
      <w:r>
        <w:rPr>
          <w:b w:val="0"/>
          <w:sz w:val="22"/>
          <w:szCs w:val="22"/>
        </w:rPr>
        <w:t xml:space="preserve">Received : Jun 9, 2025; Revised : Nov 20, 2025; Accepted : Nov 22, 2025; Published : Dec 11, 2025 </w:t>
      </w:r>
    </w:p>
    <w:p w14:paraId="5A20A5EC">
      <w:pPr>
        <w:pStyle w:val="34"/>
        <w:spacing w:after="0"/>
        <w:rPr>
          <w:sz w:val="16"/>
          <w:szCs w:val="18"/>
        </w:rPr>
      </w:pPr>
      <w:r>
        <w:rPr>
          <w:sz w:val="22"/>
          <w:szCs w:val="22"/>
        </w:rPr>
        <w:t xml:space="preserve">Phone Number : +62 </w:t>
      </w:r>
      <w:r>
        <w:rPr>
          <w:rFonts w:hint="default"/>
          <w:sz w:val="22"/>
          <w:szCs w:val="22"/>
        </w:rPr>
        <w:t>813-3339-3630</w:t>
      </w:r>
      <w:bookmarkStart w:id="1" w:name="_GoBack"/>
      <w:bookmarkEnd w:id="1"/>
    </w:p>
    <w:p w14:paraId="318A3E87">
      <w:pPr>
        <w:pStyle w:val="36"/>
        <w:rPr>
          <w:sz w:val="22"/>
          <w:szCs w:val="22"/>
          <w:lang w:val="en-GB"/>
        </w:rPr>
      </w:pPr>
      <w:r>
        <w:rPr>
          <w:bCs/>
          <w:sz w:val="22"/>
          <w:szCs w:val="22"/>
          <w:lang w:val="en-IN"/>
        </w:rPr>
        <mc:AlternateContent>
          <mc:Choice Requires="wps">
            <w:drawing>
              <wp:anchor distT="0" distB="0" distL="114300" distR="114300" simplePos="0" relativeHeight="251659264" behindDoc="0" locked="0" layoutInCell="1" allowOverlap="1">
                <wp:simplePos x="0" y="0"/>
                <wp:positionH relativeFrom="column">
                  <wp:posOffset>-105410</wp:posOffset>
                </wp:positionH>
                <wp:positionV relativeFrom="paragraph">
                  <wp:posOffset>300990</wp:posOffset>
                </wp:positionV>
                <wp:extent cx="5952490" cy="0"/>
                <wp:effectExtent l="0" t="0" r="0" b="0"/>
                <wp:wrapNone/>
                <wp:docPr id="634834257" name="Straight Arrow Connector 2"/>
                <wp:cNvGraphicFramePr/>
                <a:graphic xmlns:a="http://schemas.openxmlformats.org/drawingml/2006/main">
                  <a:graphicData uri="http://schemas.microsoft.com/office/word/2010/wordprocessingShape">
                    <wps:wsp>
                      <wps:cNvCnPr>
                        <a:cxnSpLocks noChangeShapeType="1"/>
                      </wps:cNvCnPr>
                      <wps:spPr bwMode="auto">
                        <a:xfrm flipV="1">
                          <a:off x="0" y="0"/>
                          <a:ext cx="5952490" cy="0"/>
                        </a:xfrm>
                        <a:prstGeom prst="straightConnector1">
                          <a:avLst/>
                        </a:prstGeom>
                        <a:noFill/>
                        <a:ln w="19050">
                          <a:solidFill>
                            <a:srgbClr val="000000"/>
                          </a:solidFill>
                          <a:round/>
                        </a:ln>
                      </wps:spPr>
                      <wps:bodyPr/>
                    </wps:wsp>
                  </a:graphicData>
                </a:graphic>
              </wp:anchor>
            </w:drawing>
          </mc:Choice>
          <mc:Fallback>
            <w:pict>
              <v:shape id="Straight Arrow Connector 2" o:spid="_x0000_s1026" o:spt="32" type="#_x0000_t32" style="position:absolute;left:0pt;flip:y;margin-left:-8.3pt;margin-top:23.7pt;height:0pt;width:468.7pt;z-index:251659264;mso-width-relative:page;mso-height-relative:page;" filled="f" stroked="t" coordsize="21600,21600" o:gfxdata="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2X8bK&#10;2AAAAAkBAAAPAAAAAAAAAAEAIAAAACIAAABkcnMvZG93bnJldi54bWxQSwECFAAUAAAACACHTuJA&#10;/WLyRegBAADUAwAADgAAAAAAAAABACAAAAAnAQAAZHJzL2Uyb0RvYy54bWxQSwUGAAAAAAYABgBZ&#10;AQAAgQUAAAAA&#10;">
                <v:fill on="f" focussize="0,0"/>
                <v:stroke weight="1.5pt" color="#000000" joinstyle="round"/>
                <v:imagedata o:title=""/>
                <o:lock v:ext="edit" aspectratio="f"/>
              </v:shape>
            </w:pict>
          </mc:Fallback>
        </mc:AlternateContent>
      </w:r>
      <w:r>
        <w:rPr>
          <w:sz w:val="22"/>
          <w:szCs w:val="22"/>
          <w:lang w:val="en-GB"/>
        </w:rPr>
        <w:t>Abstract</w:t>
      </w:r>
    </w:p>
    <w:tbl>
      <w:tblPr>
        <w:tblStyle w:val="29"/>
        <w:tblW w:w="9503" w:type="dxa"/>
        <w:tblInd w:w="-28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9503"/>
      </w:tblGrid>
      <w:tr w14:paraId="4A3BC915">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076" w:hRule="atLeast"/>
        </w:trPr>
        <w:tc>
          <w:tcPr>
            <w:tcW w:w="9503" w:type="dxa"/>
          </w:tcPr>
          <w:p w14:paraId="1F8D9B2F">
            <w:pPr>
              <w:pStyle w:val="36"/>
              <w:spacing w:before="0" w:after="0"/>
              <w:jc w:val="both"/>
              <w:rPr>
                <w:b w:val="0"/>
                <w:lang w:val="en-IN"/>
              </w:rPr>
            </w:pPr>
            <w:r>
              <w:rPr>
                <w:b w:val="0"/>
                <w:lang w:val="en-IN"/>
              </w:rPr>
              <w:t>The rapid expansion of Indonesia’s Meetings, Incentives, Conferences, and Exhibitions (MICE) industry has increased demand for reliable B2B hotel venue procurement. However, existing booking processes remain fragmented, opaque, and prone to double booking and data disputes. This study proposes a blockchain-based B2B hotel venue booking platform implemented on a permissioned Ethereum-compatible network, with smart contracts developed and tested using the Hardhat framework.</w:t>
            </w:r>
          </w:p>
          <w:p w14:paraId="16872142">
            <w:pPr>
              <w:pStyle w:val="36"/>
              <w:spacing w:before="0" w:after="0"/>
              <w:jc w:val="both"/>
              <w:rPr>
                <w:b w:val="0"/>
                <w:lang w:val="en-IN"/>
              </w:rPr>
            </w:pPr>
          </w:p>
          <w:p w14:paraId="5913A9E1">
            <w:pPr>
              <w:pStyle w:val="36"/>
              <w:spacing w:before="0" w:after="0"/>
              <w:jc w:val="both"/>
              <w:rPr>
                <w:b w:val="0"/>
                <w:lang w:val="en-IN"/>
              </w:rPr>
            </w:pPr>
            <w:r>
              <w:rPr>
                <w:b w:val="0"/>
                <w:lang w:val="en-IN"/>
              </w:rPr>
              <w:t>The platform automates booking creation, availability locking, price commitment, and audit logging through smart contracts, ensuring data integrity and trust between hotels and corporate clients without reliance on intermediaries. A proof-of-concept (PoC) and minimum viable product (MVP) are developed to validate feasibility using real MICE venue datasets from major Indonesian destinations. Unlike prior blockchain studies focused on consumer tourism or public networks, this research introduces an enterprise-oriented architecture tailored to B2B MICE procurement in emerging markets. The results demonstrate the potential of distributed ledger technology to improve transparency, reduce disputes, and support digital transformation in Indonesia’s hotel procurement ecosystem.</w:t>
            </w:r>
          </w:p>
          <w:p w14:paraId="626912D3">
            <w:pPr>
              <w:pStyle w:val="36"/>
              <w:spacing w:before="0" w:after="0"/>
              <w:jc w:val="both"/>
              <w:rPr>
                <w:b w:val="0"/>
                <w:lang w:val="en-IN"/>
              </w:rPr>
            </w:pPr>
          </w:p>
          <w:p w14:paraId="74040CAE">
            <w:pPr>
              <w:pStyle w:val="36"/>
              <w:spacing w:before="0" w:after="0"/>
              <w:jc w:val="both"/>
              <w:rPr>
                <w:b w:val="0"/>
                <w:i/>
              </w:rPr>
            </w:pPr>
            <w:r>
              <w:rPr>
                <w:bCs/>
                <w:i/>
                <w:sz w:val="22"/>
                <w:szCs w:val="22"/>
              </w:rPr>
              <w:t xml:space="preserve">Keywords : </w:t>
            </w:r>
            <w:r>
              <w:rPr>
                <w:b w:val="0"/>
                <w:i/>
              </w:rPr>
              <w:t>B2B Booking System; Blockchain; Distributed Ledger Technology (DLT); Group Booking Hotel; Reservation Event Venue; MICE Industry; Smart Contracts.</w:t>
            </w:r>
          </w:p>
          <w:p w14:paraId="5A675BDB">
            <w:pPr>
              <w:pStyle w:val="36"/>
              <w:spacing w:before="0" w:after="0"/>
              <w:jc w:val="left"/>
              <w:rPr>
                <w:bCs/>
                <w:i/>
                <w:sz w:val="22"/>
                <w:szCs w:val="22"/>
              </w:rPr>
            </w:pPr>
          </w:p>
        </w:tc>
      </w:tr>
      <w:tr w14:paraId="65FE4A2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503" w:type="dxa"/>
            <w:vAlign w:val="bottom"/>
          </w:tcPr>
          <w:p w14:paraId="729E1360">
            <w:pPr>
              <w:pStyle w:val="36"/>
              <w:spacing w:before="0" w:after="0"/>
              <w:jc w:val="right"/>
              <w:rPr>
                <w:bCs/>
                <w:lang w:val="en-IN"/>
              </w:rPr>
            </w:pPr>
          </w:p>
          <w:p w14:paraId="355A4788">
            <w:pPr>
              <w:pStyle w:val="36"/>
              <w:spacing w:before="0" w:after="0"/>
              <w:jc w:val="right"/>
              <w:rPr>
                <w:bCs/>
                <w:lang w:val="en-IN"/>
              </w:rPr>
            </w:pPr>
            <w:r>
              <w:rPr>
                <w:bCs/>
                <w:lang w:val="en-IN"/>
              </w:rPr>
              <w:t>This work is an open access article and licensed under a Creative Commons Attribution-Non Commercial 4.0 International License</w:t>
            </w:r>
          </w:p>
          <w:p w14:paraId="6376F768">
            <w:pPr>
              <w:pStyle w:val="36"/>
              <w:spacing w:before="0" w:after="0"/>
              <w:jc w:val="right"/>
              <w:rPr>
                <w:bCs/>
                <w:lang w:val="en-IN"/>
              </w:rPr>
            </w:pPr>
            <w:r>
              <w:drawing>
                <wp:inline distT="0" distB="0" distL="0" distR="0">
                  <wp:extent cx="685800" cy="236220"/>
                  <wp:effectExtent l="0" t="0" r="0" b="0"/>
                  <wp:docPr id="1291260595" name="Picture 1291260595">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60595" name="Picture 129126059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685800" cy="236220"/>
                          </a:xfrm>
                          <a:prstGeom prst="rect">
                            <a:avLst/>
                          </a:prstGeom>
                          <a:noFill/>
                          <a:ln>
                            <a:noFill/>
                          </a:ln>
                        </pic:spPr>
                      </pic:pic>
                    </a:graphicData>
                  </a:graphic>
                </wp:inline>
              </w:drawing>
            </w:r>
            <w:r>
              <w:rPr>
                <w:bCs/>
                <w:lang w:val="en-IN"/>
              </w:rPr>
              <w:t xml:space="preserve"> </w:t>
            </w:r>
          </w:p>
        </w:tc>
      </w:tr>
    </w:tbl>
    <w:p w14:paraId="677010FC">
      <w:pPr>
        <w:pStyle w:val="36"/>
        <w:jc w:val="both"/>
        <w:rPr>
          <w:bCs/>
          <w:lang w:val="en-IN"/>
        </w:rPr>
      </w:pPr>
      <w:r>
        <w:rPr>
          <w:bCs/>
          <w:lang w:val="en-IN"/>
        </w:rPr>
        <mc:AlternateContent>
          <mc:Choice Requires="wps">
            <w:drawing>
              <wp:anchor distT="0" distB="0" distL="114300" distR="114300" simplePos="0" relativeHeight="251660288" behindDoc="0" locked="0" layoutInCell="1" allowOverlap="1">
                <wp:simplePos x="0" y="0"/>
                <wp:positionH relativeFrom="column">
                  <wp:posOffset>-161290</wp:posOffset>
                </wp:positionH>
                <wp:positionV relativeFrom="paragraph">
                  <wp:posOffset>94615</wp:posOffset>
                </wp:positionV>
                <wp:extent cx="5952490" cy="0"/>
                <wp:effectExtent l="0" t="0" r="0" b="0"/>
                <wp:wrapNone/>
                <wp:docPr id="2013041825" name="Straight Arrow Connector 1"/>
                <wp:cNvGraphicFramePr/>
                <a:graphic xmlns:a="http://schemas.openxmlformats.org/drawingml/2006/main">
                  <a:graphicData uri="http://schemas.microsoft.com/office/word/2010/wordprocessingShape">
                    <wps:wsp>
                      <wps:cNvCnPr>
                        <a:cxnSpLocks noChangeShapeType="1"/>
                      </wps:cNvCnPr>
                      <wps:spPr bwMode="auto">
                        <a:xfrm flipV="1">
                          <a:off x="0" y="0"/>
                          <a:ext cx="5952490" cy="0"/>
                        </a:xfrm>
                        <a:prstGeom prst="straightConnector1">
                          <a:avLst/>
                        </a:prstGeom>
                        <a:noFill/>
                        <a:ln w="19050">
                          <a:solidFill>
                            <a:srgbClr val="000000"/>
                          </a:solidFill>
                          <a:round/>
                        </a:ln>
                      </wps:spPr>
                      <wps:bodyPr/>
                    </wps:wsp>
                  </a:graphicData>
                </a:graphic>
              </wp:anchor>
            </w:drawing>
          </mc:Choice>
          <mc:Fallback>
            <w:pict>
              <v:shape id="Straight Arrow Connector 1" o:spid="_x0000_s1026" o:spt="32" type="#_x0000_t32" style="position:absolute;left:0pt;flip:y;margin-left:-12.7pt;margin-top:7.45pt;height:0pt;width:468.7pt;z-index:251660288;mso-width-relative:page;mso-height-relative:page;" filled="f" stroked="t" coordsize="21600,21600" o:gfxdata="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LvingHY&#10;AAAACQEAAA8AAAAAAAAAAQAgAAAAIgAAAGRycy9kb3ducmV2LnhtbFBLAQIUABQAAAAIAIdO4kDU&#10;AcqY5wEAANUDAAAOAAAAAAAAAAEAIAAAACcBAABkcnMvZTJvRG9jLnhtbFBLBQYAAAAABgAGAFkB&#10;AACABQAAAAA=&#10;">
                <v:fill on="f" focussize="0,0"/>
                <v:stroke weight="1.5pt" color="#000000" joinstyle="round"/>
                <v:imagedata o:title=""/>
                <o:lock v:ext="edit" aspectratio="f"/>
              </v:shape>
            </w:pict>
          </mc:Fallback>
        </mc:AlternateContent>
      </w:r>
    </w:p>
    <w:p w14:paraId="51488AAF">
      <w:pPr>
        <w:pStyle w:val="41"/>
        <w:numPr>
          <w:ilvl w:val="0"/>
          <w:numId w:val="11"/>
        </w:numPr>
        <w:ind w:left="567" w:hanging="578"/>
        <w:rPr>
          <w:rFonts w:ascii="Times New Roman" w:hAnsi="Times New Roman"/>
          <w:b/>
          <w:color w:val="auto"/>
          <w:sz w:val="24"/>
        </w:rPr>
      </w:pPr>
      <w:r>
        <w:rPr>
          <w:rFonts w:ascii="Times New Roman" w:hAnsi="Times New Roman"/>
          <w:b/>
          <w:color w:val="auto"/>
          <w:sz w:val="24"/>
        </w:rPr>
        <w:t>INTRODUCTION</w:t>
      </w:r>
    </w:p>
    <w:p w14:paraId="66FD2E11">
      <w:pPr>
        <w:pStyle w:val="41"/>
        <w:ind w:firstLine="567"/>
        <w:rPr>
          <w:rFonts w:ascii="Times New Roman" w:hAnsi="Times New Roman"/>
          <w:lang w:val="zh-CN"/>
        </w:rPr>
      </w:pPr>
      <w:r>
        <w:rPr>
          <w:rFonts w:ascii="Times New Roman" w:hAnsi="Times New Roman"/>
        </w:rPr>
        <w:t>In recent years t</w:t>
      </w:r>
      <w:r>
        <w:rPr>
          <w:rFonts w:ascii="Times New Roman" w:hAnsi="Times New Roman"/>
          <w:lang w:val="zh-CN"/>
        </w:rPr>
        <w:t>h</w:t>
      </w:r>
      <w:r>
        <w:rPr>
          <w:rFonts w:ascii="Times New Roman" w:hAnsi="Times New Roman"/>
        </w:rPr>
        <w:t>e</w:t>
      </w:r>
      <w:r>
        <w:rPr>
          <w:rFonts w:ascii="Times New Roman" w:hAnsi="Times New Roman"/>
          <w:lang w:val="zh-CN"/>
        </w:rPr>
        <w:t xml:space="preserve"> Meetings, Incentives, Conferences, and Exhibitions (MICE) industry has grown rapidly </w:t>
      </w:r>
      <w:r>
        <w:rPr>
          <w:rFonts w:ascii="Times New Roman" w:hAnsi="Times New Roman"/>
        </w:rPr>
        <w:t>in Indonesia. A</w:t>
      </w:r>
      <w:r>
        <w:rPr>
          <w:rFonts w:ascii="Times New Roman" w:hAnsi="Times New Roman"/>
          <w:lang w:val="zh-CN"/>
        </w:rPr>
        <w:t>s corporate</w:t>
      </w:r>
      <w:r>
        <w:rPr>
          <w:rFonts w:ascii="Times New Roman" w:hAnsi="Times New Roman"/>
        </w:rPr>
        <w:t xml:space="preserve"> and</w:t>
      </w:r>
      <w:r>
        <w:rPr>
          <w:rFonts w:ascii="Times New Roman" w:hAnsi="Times New Roman"/>
          <w:lang w:val="zh-CN"/>
        </w:rPr>
        <w:t xml:space="preserve"> organizations increasingly require reliable venue procurement for annual meetings</w:t>
      </w:r>
      <w:r>
        <w:rPr>
          <w:rFonts w:ascii="Times New Roman" w:hAnsi="Times New Roman"/>
        </w:rPr>
        <w:t>,</w:t>
      </w:r>
      <w:r>
        <w:rPr>
          <w:rFonts w:ascii="Times New Roman" w:hAnsi="Times New Roman"/>
          <w:lang w:val="zh-CN"/>
        </w:rPr>
        <w:t xml:space="preserve"> conferences, and corporate events. Despite this growth, the business-to-business (B2B) hotel booking process remains highly fragmented, relying heavily on manual communication</w:t>
      </w:r>
      <w:r>
        <w:rPr>
          <w:rFonts w:ascii="Times New Roman" w:hAnsi="Times New Roman"/>
        </w:rPr>
        <w:t xml:space="preserve"> and</w:t>
      </w:r>
      <w:r>
        <w:rPr>
          <w:rFonts w:ascii="Times New Roman" w:hAnsi="Times New Roman"/>
          <w:lang w:val="zh-CN"/>
        </w:rPr>
        <w:t xml:space="preserve"> email-based negotiation, and </w:t>
      </w:r>
      <w:r>
        <w:rPr>
          <w:rFonts w:ascii="Times New Roman" w:hAnsi="Times New Roman"/>
        </w:rPr>
        <w:t>traditional</w:t>
      </w:r>
      <w:r>
        <w:rPr>
          <w:rFonts w:ascii="Times New Roman" w:hAnsi="Times New Roman"/>
          <w:lang w:val="zh-CN"/>
        </w:rPr>
        <w:t xml:space="preserve"> reservation systems. Prior studies indicate that the hospitality industry continues to suffer from inefficiencies, opaque pricing mechanisms, and data inconsistencies, leading to operational friction and frequent disputes </w:t>
      </w:r>
      <w:sdt>
        <w:sdtPr>
          <w:rPr>
            <w:rFonts w:ascii="Times New Roman" w:hAnsi="Times New Roman"/>
            <w:lang w:val="zh-CN"/>
          </w:rPr>
          <w:tag w:val="MENDELEY_CITATION_v3_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"/>
          <w:id w:val="-1682899039"/>
          <w:placeholder>
            <w:docPart w:val="DefaultPlaceholder_-1854013440"/>
          </w:placeholder>
        </w:sdtPr>
        <w:sdtEndPr>
          <w:rPr>
            <w:rFonts w:ascii="Times New Roman" w:hAnsi="Times New Roman"/>
            <w:lang w:val="zh-CN"/>
          </w:rPr>
        </w:sdtEndPr>
        <w:sdtContent>
          <w:r>
            <w:rPr>
              <w:rFonts w:ascii="Times New Roman" w:hAnsi="Times New Roman"/>
              <w:lang w:val="zh-CN"/>
            </w:rPr>
            <w:t>[1], [2], [3]</w:t>
          </w:r>
        </w:sdtContent>
      </w:sdt>
      <w:r>
        <w:rPr>
          <w:rFonts w:ascii="Times New Roman" w:hAnsi="Times New Roman"/>
          <w:lang w:val="zh-CN"/>
        </w:rPr>
        <w:t xml:space="preserve">. These challenges are particularly pronounced in Indonesia, where hotels often distribute multiple price tiers across different sales channels, resulting in non-transparent quotations, double bookings, and booking verification conflicts. As demand for large-scale corporate events increases, the absence of a unified, trusted reservation mechanism presents a critical barrier to digital transformation within hotel procurement ecosystem </w:t>
      </w:r>
      <w:sdt>
        <w:sdtPr>
          <w:rPr>
            <w:rFonts w:ascii="Times New Roman" w:hAnsi="Times New Roman"/>
            <w:lang w:val="zh-CN"/>
          </w:rPr>
          <w:tag w:val="MENDELEY_CITATION_v3_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"/>
          <w:id w:val="-1327436640"/>
          <w:placeholder>
            <w:docPart w:val="DefaultPlaceholder_-1854013440"/>
          </w:placeholder>
        </w:sdtPr>
        <w:sdtEndPr>
          <w:rPr>
            <w:rFonts w:ascii="Times New Roman" w:hAnsi="Times New Roman"/>
            <w:lang w:val="zh-CN"/>
          </w:rPr>
        </w:sdtEndPr>
        <w:sdtContent>
          <w:r>
            <w:rPr>
              <w:rFonts w:ascii="Times New Roman" w:hAnsi="Times New Roman"/>
              <w:lang w:val="zh-CN"/>
            </w:rPr>
            <w:t>[4]</w:t>
          </w:r>
        </w:sdtContent>
      </w:sdt>
      <w:r>
        <w:rPr>
          <w:rFonts w:ascii="Times New Roman" w:hAnsi="Times New Roman"/>
          <w:lang w:val="zh-CN"/>
        </w:rPr>
        <w:t>.</w:t>
      </w:r>
    </w:p>
    <w:p w14:paraId="19DD41DB">
      <w:pPr>
        <w:pStyle w:val="41"/>
        <w:ind w:firstLine="567"/>
        <w:rPr>
          <w:rFonts w:ascii="Times New Roman" w:hAnsi="Times New Roman"/>
          <w:lang w:val="zh-CN"/>
        </w:rPr>
      </w:pPr>
      <w:r>
        <w:rPr>
          <w:rFonts w:ascii="Times New Roman" w:hAnsi="Times New Roman"/>
          <w:lang w:val="zh-CN"/>
        </w:rPr>
        <w:t xml:space="preserve">In response to such challenges, blockchain technology has been widely discussed as a potential solution to improve transparency, trust, and efficiency in the tourism and hospitality sector, particularly in environments characterized by fragmented stakeholders and complex coordination requirements, as highlighted in prior tourism-focused blockchain studies </w:t>
      </w:r>
      <w:sdt>
        <w:sdtPr>
          <w:rPr>
            <w:rFonts w:ascii="Times New Roman" w:hAnsi="Times New Roman"/>
            <w:lang w:val="zh-CN"/>
          </w:rPr>
          <w:tag w:val="MENDELEY_CITATION_v3_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"/>
          <w:id w:val="-1795752652"/>
          <w:placeholder>
            <w:docPart w:val="DefaultPlaceholder_-1854013440"/>
          </w:placeholder>
        </w:sdtPr>
        <w:sdtEndPr>
          <w:rPr>
            <w:rFonts w:ascii="Times New Roman" w:hAnsi="Times New Roman"/>
            <w:lang w:val="zh-CN"/>
          </w:rPr>
        </w:sdtEndPr>
        <w:sdtContent>
          <w:r>
            <w:rPr>
              <w:rFonts w:ascii="Times New Roman" w:hAnsi="Times New Roman"/>
              <w:lang w:val="zh-CN"/>
            </w:rPr>
            <w:t>[5], [6]</w:t>
          </w:r>
        </w:sdtContent>
      </w:sdt>
      <w:r>
        <w:rPr>
          <w:rFonts w:ascii="Times New Roman" w:hAnsi="Times New Roman"/>
          <w:lang w:val="zh-CN"/>
        </w:rPr>
        <w:t xml:space="preserve">. Existing research demonstrates that distributed ledger technologies can authenticate booking records, prevent price manipulation, and improve traceability across industry </w:t>
      </w:r>
      <w:sdt>
        <w:sdtPr>
          <w:rPr>
            <w:rFonts w:ascii="Times New Roman" w:hAnsi="Times New Roman"/>
            <w:lang w:val="zh-CN"/>
          </w:rPr>
          <w:tag w:val="MENDELEY_CITATION_v3_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"/>
          <w:id w:val="1175082072"/>
          <w:placeholder>
            <w:docPart w:val="DefaultPlaceholder_-1854013440"/>
          </w:placeholder>
        </w:sdtPr>
        <w:sdtEndPr>
          <w:rPr>
            <w:rFonts w:ascii="Times New Roman" w:hAnsi="Times New Roman"/>
            <w:lang w:val="zh-CN"/>
          </w:rPr>
        </w:sdtEndPr>
        <w:sdtContent>
          <w:r>
            <w:rPr>
              <w:rFonts w:ascii="Times New Roman" w:hAnsi="Times New Roman"/>
              <w:lang w:val="zh-CN"/>
            </w:rPr>
            <w:t>[7]</w:t>
          </w:r>
        </w:sdtContent>
      </w:sdt>
      <w:r>
        <w:rPr>
          <w:rFonts w:ascii="Times New Roman" w:hAnsi="Times New Roman"/>
          <w:lang w:val="zh-CN"/>
        </w:rPr>
        <w:t xml:space="preserve">. Smart contracts, in particular, have been shown to enable automated, tamper-proof execution of agreements, reducing reliance on intermediaries and minimizing operational disputes </w:t>
      </w:r>
      <w:sdt>
        <w:sdtPr>
          <w:rPr>
            <w:rFonts w:ascii="Times New Roman" w:hAnsi="Times New Roman"/>
            <w:lang w:val="zh-CN"/>
          </w:rPr>
          <w:tag w:val="MENDELEY_CITATION_v3_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"/>
          <w:id w:val="2085332210"/>
          <w:placeholder>
            <w:docPart w:val="DefaultPlaceholder_-1854013440"/>
          </w:placeholder>
        </w:sdtPr>
        <w:sdtEndPr>
          <w:rPr>
            <w:rFonts w:ascii="Times New Roman" w:hAnsi="Times New Roman"/>
            <w:lang w:val="zh-CN"/>
          </w:rPr>
        </w:sdtEndPr>
        <w:sdtContent>
          <w:r>
            <w:rPr>
              <w:rFonts w:ascii="Times New Roman" w:hAnsi="Times New Roman"/>
              <w:lang w:val="zh-CN"/>
            </w:rPr>
            <w:t>[8]</w:t>
          </w:r>
        </w:sdtContent>
      </w:sdt>
      <w:r>
        <w:rPr>
          <w:rFonts w:ascii="Times New Roman" w:hAnsi="Times New Roman"/>
          <w:lang w:val="zh-CN"/>
        </w:rPr>
        <w:t xml:space="preserve">. These characteristics suggest strong potential for blockchain adoption in hotel booking and procurement contexts </w:t>
      </w:r>
      <w:sdt>
        <w:sdtPr>
          <w:rPr>
            <w:rFonts w:ascii="Times New Roman" w:hAnsi="Times New Roman"/>
            <w:lang w:val="zh-CN"/>
          </w:rPr>
          <w:tag w:val="MENDELEY_CITATION_v3_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"/>
          <w:id w:val="-1865895943"/>
          <w:placeholder>
            <w:docPart w:val="DefaultPlaceholder_-1854013440"/>
          </w:placeholder>
        </w:sdtPr>
        <w:sdtEndPr>
          <w:rPr>
            <w:rFonts w:ascii="Times New Roman" w:hAnsi="Times New Roman"/>
            <w:lang w:val="zh-CN"/>
          </w:rPr>
        </w:sdtEndPr>
        <w:sdtContent>
          <w:r>
            <w:rPr>
              <w:rFonts w:ascii="Times New Roman" w:hAnsi="Times New Roman"/>
              <w:lang w:val="zh-CN"/>
            </w:rPr>
            <w:t>[9]</w:t>
          </w:r>
        </w:sdtContent>
      </w:sdt>
      <w:r>
        <w:rPr>
          <w:rFonts w:ascii="Times New Roman" w:hAnsi="Times New Roman"/>
          <w:lang w:val="zh-CN"/>
        </w:rPr>
        <w:t xml:space="preserve">. For example, </w:t>
      </w:r>
      <w:sdt>
        <w:sdtPr>
          <w:rPr>
            <w:rFonts w:ascii="Times New Roman" w:hAnsi="Times New Roman"/>
            <w:lang w:val="zh-CN"/>
          </w:rPr>
          <w:tag w:val="MENDELEY_CITATION_v3_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"/>
          <w:id w:val="-743336896"/>
          <w:placeholder>
            <w:docPart w:val="DefaultPlaceholder_-1854013440"/>
          </w:placeholder>
        </w:sdtPr>
        <w:sdtEndPr>
          <w:rPr>
            <w:rFonts w:ascii="Times New Roman" w:hAnsi="Times New Roman"/>
            <w:lang w:val="zh-CN"/>
          </w:rPr>
        </w:sdtEndPr>
        <w:sdtContent>
          <w:r>
            <w:rPr>
              <w:rFonts w:ascii="Times New Roman" w:hAnsi="Times New Roman"/>
              <w:lang w:val="zh-CN"/>
            </w:rPr>
            <w:t>[10]</w:t>
          </w:r>
        </w:sdtContent>
      </w:sdt>
      <w:r>
        <w:rPr>
          <w:rFonts w:ascii="Times New Roman" w:hAnsi="Times New Roman"/>
          <w:lang w:val="zh-CN"/>
        </w:rPr>
        <w:t xml:space="preserve"> proposed an Ethereum-based decentralized hotel booking system that leverages smart contracts to improve transparency and trust while reducing reliance on centralized intermediaries. However, their work primarily focuses on consumer-oriented booking scenarios and does not address enterprise-level B2B procurement workflows, standardized MICE packages, or corporate booking verification requirements. Recent conceptual studies suggest that smart contracts can streamline decentralized transactions and improve transparency in tourism </w:t>
      </w:r>
      <w:sdt>
        <w:sdtPr>
          <w:rPr>
            <w:rFonts w:ascii="Times New Roman" w:hAnsi="Times New Roman"/>
            <w:lang w:val="zh-CN"/>
          </w:rPr>
          <w:tag w:val="MENDELEY_CITATION_v3_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"/>
          <w:id w:val="-2138789906"/>
          <w:placeholder>
            <w:docPart w:val="DefaultPlaceholder_-1854013440"/>
          </w:placeholder>
        </w:sdtPr>
        <w:sdtEndPr>
          <w:rPr>
            <w:rFonts w:ascii="Times New Roman" w:hAnsi="Times New Roman"/>
            <w:lang w:val="zh-CN"/>
          </w:rPr>
        </w:sdtEndPr>
        <w:sdtContent>
          <w:r>
            <w:rPr>
              <w:rFonts w:ascii="Times New Roman" w:hAnsi="Times New Roman"/>
              <w:lang w:val="zh-CN"/>
            </w:rPr>
            <w:t>[11]</w:t>
          </w:r>
        </w:sdtContent>
      </w:sdt>
      <w:r>
        <w:rPr>
          <w:rFonts w:ascii="Times New Roman" w:hAnsi="Times New Roman"/>
          <w:lang w:val="zh-CN"/>
        </w:rPr>
        <w:t>.</w:t>
      </w:r>
    </w:p>
    <w:p w14:paraId="583435D0">
      <w:pPr>
        <w:pStyle w:val="41"/>
        <w:ind w:firstLine="567"/>
        <w:rPr>
          <w:rFonts w:ascii="Times New Roman" w:hAnsi="Times New Roman"/>
          <w:lang w:val="zh-CN"/>
        </w:rPr>
      </w:pPr>
      <w:r>
        <w:rPr>
          <w:rFonts w:ascii="Times New Roman" w:hAnsi="Times New Roman"/>
          <w:lang w:val="zh-CN"/>
        </w:rPr>
        <w:t xml:space="preserve">However, most existing blockchain-based booking systems focus primarily on consumer-oriented tourism applications and public blockchain environments. Several studies propose decentralized hotel booking frameworks but emphasize open marketplaces rather than enterprise-grade procurement workflows </w:t>
      </w:r>
      <w:sdt>
        <w:sdtPr>
          <w:rPr>
            <w:rFonts w:ascii="Times New Roman" w:hAnsi="Times New Roman"/>
            <w:lang w:val="zh-CN"/>
          </w:rPr>
          <w:tag w:val="MENDELEY_CITATION_v3_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"/>
          <w:id w:val="645004074"/>
          <w:placeholder>
            <w:docPart w:val="DefaultPlaceholder_-1854013440"/>
          </w:placeholder>
        </w:sdtPr>
        <w:sdtEndPr>
          <w:rPr>
            <w:rFonts w:ascii="Times New Roman" w:hAnsi="Times New Roman"/>
            <w:lang w:val="zh-CN"/>
          </w:rPr>
        </w:sdtEndPr>
        <w:sdtContent>
          <w:r>
            <w:rPr>
              <w:rFonts w:ascii="Times New Roman" w:hAnsi="Times New Roman"/>
              <w:lang w:val="zh-CN"/>
            </w:rPr>
            <w:t>[12], [13]</w:t>
          </w:r>
        </w:sdtContent>
      </w:sdt>
      <w:r>
        <w:rPr>
          <w:rFonts w:ascii="Times New Roman" w:hAnsi="Times New Roman"/>
          <w:lang w:val="zh-CN"/>
        </w:rPr>
        <w:t>. Other works introduce blockchain architectures for hotel room listing and reservation but fail to address critical B2B requirements such as confidential pricing, corporate rate negotiation, multi-party approval processes, and guaranteed allocation contracts. Furthermore, studies on blockchain-enabled travel logistics and supply chain management rarely consider enterprise features such as permissioned networks, private data collections, or endorsement policies that are essential for corporate procurement use cases.</w:t>
      </w:r>
    </w:p>
    <w:p w14:paraId="660162CC">
      <w:pPr>
        <w:pStyle w:val="41"/>
        <w:ind w:firstLine="567"/>
        <w:rPr>
          <w:rFonts w:ascii="Times New Roman" w:hAnsi="Times New Roman"/>
          <w:lang w:val="zh-CN"/>
        </w:rPr>
      </w:pPr>
      <w:r>
        <w:rPr>
          <w:rFonts w:ascii="Times New Roman" w:hAnsi="Times New Roman"/>
          <w:lang w:val="zh-CN"/>
        </w:rPr>
        <w:t xml:space="preserve">Within the broader procurement literature, blockchain has been widely recognized for its potential to enhance transparency, integrity, and automation through smart contract–driven workflows </w:t>
      </w:r>
      <w:sdt>
        <w:sdtPr>
          <w:rPr>
            <w:rFonts w:ascii="Times New Roman" w:hAnsi="Times New Roman"/>
            <w:lang w:val="zh-CN"/>
          </w:rPr>
          <w:tag w:val="MENDELEY_CITATION_v3_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"/>
          <w:id w:val="284315351"/>
          <w:placeholder>
            <w:docPart w:val="DefaultPlaceholder_-1854013440"/>
          </w:placeholder>
        </w:sdtPr>
        <w:sdtEndPr>
          <w:rPr>
            <w:rFonts w:ascii="Times New Roman" w:hAnsi="Times New Roman"/>
            <w:lang w:val="zh-CN"/>
          </w:rPr>
        </w:sdtEndPr>
        <w:sdtContent>
          <w:r>
            <w:rPr>
              <w:rFonts w:ascii="Times New Roman" w:hAnsi="Times New Roman"/>
              <w:lang w:val="zh-CN"/>
            </w:rPr>
            <w:t>[14]</w:t>
          </w:r>
        </w:sdtContent>
      </w:sdt>
      <w:r>
        <w:rPr>
          <w:rFonts w:ascii="Times New Roman" w:hAnsi="Times New Roman"/>
          <w:lang w:val="zh-CN"/>
        </w:rPr>
        <w:t xml:space="preserve">. Research on smart contract models in the tourism industry also shows how blockchain can automate and secure booking processes by encoding services and transactions in self-executing contracts, reducing reliance on intermediaries </w:t>
      </w:r>
      <w:sdt>
        <w:sdtPr>
          <w:rPr>
            <w:rFonts w:ascii="Times New Roman" w:hAnsi="Times New Roman"/>
            <w:lang w:val="zh-CN"/>
          </w:rPr>
          <w:tag w:val="MENDELEY_CITATION_v3_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"/>
          <w:id w:val="2085872795"/>
          <w:placeholder>
            <w:docPart w:val="DefaultPlaceholder_-1854013440"/>
          </w:placeholder>
        </w:sdtPr>
        <w:sdtEndPr>
          <w:rPr>
            <w:rFonts w:ascii="Times New Roman" w:hAnsi="Times New Roman"/>
            <w:lang w:val="zh-CN"/>
          </w:rPr>
        </w:sdtEndPr>
        <w:sdtContent>
          <w:r>
            <w:rPr>
              <w:rFonts w:ascii="Times New Roman" w:hAnsi="Times New Roman"/>
              <w:lang w:val="zh-CN"/>
            </w:rPr>
            <w:t>[15]</w:t>
          </w:r>
        </w:sdtContent>
      </w:sdt>
      <w:r>
        <w:rPr>
          <w:rFonts w:ascii="Times New Roman" w:hAnsi="Times New Roman"/>
          <w:lang w:val="zh-CN"/>
        </w:rPr>
        <w:t xml:space="preserve">. Nevertheless, no prior study specifically examines blockchain-enabled procurement models for hotel meeting packages or residential meeting products, which are central to Indonesia’s MICE sector. Existing approaches do not incorporate real-time venue availability verification, contract-based reservation guarantees, or the complex multi-channel pricing structures that characterize the Indonesian hotel industry. This gap highlights the need for a specialized blockchain architecture tailored to B2B hotel venue procurement in emerging MICE markets. From a procurement perspective, </w:t>
      </w:r>
      <w:sdt>
        <w:sdtPr>
          <w:rPr>
            <w:rFonts w:ascii="Times New Roman" w:hAnsi="Times New Roman"/>
            <w:lang w:val="zh-CN"/>
          </w:rPr>
          <w:tag w:val="MENDELEY_CITATION_v3_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"/>
          <w:id w:val="-837606733"/>
          <w:placeholder>
            <w:docPart w:val="DefaultPlaceholder_-1854013440"/>
          </w:placeholder>
        </w:sdtPr>
        <w:sdtEndPr>
          <w:rPr>
            <w:rFonts w:ascii="Times New Roman" w:hAnsi="Times New Roman"/>
            <w:lang w:val="zh-CN"/>
          </w:rPr>
        </w:sdtEndPr>
        <w:sdtContent>
          <w:r>
            <w:rPr>
              <w:rFonts w:ascii="Times New Roman" w:hAnsi="Times New Roman"/>
              <w:lang w:val="zh-CN"/>
            </w:rPr>
            <w:t>[16]</w:t>
          </w:r>
        </w:sdtContent>
      </w:sdt>
      <w:r>
        <w:rPr>
          <w:rFonts w:ascii="Times New Roman" w:hAnsi="Times New Roman"/>
          <w:lang w:val="zh-CN"/>
        </w:rPr>
        <w:t xml:space="preserve"> provide a comprehensive review of smart contract applications across multiple industries, highlighting their role in improving transparency, trust, and automation in complex B2B transactions.</w:t>
      </w:r>
    </w:p>
    <w:p w14:paraId="5E381E13">
      <w:pPr>
        <w:pStyle w:val="41"/>
        <w:ind w:firstLine="567"/>
        <w:rPr>
          <w:rFonts w:ascii="Times New Roman" w:hAnsi="Times New Roman"/>
          <w:lang w:val="zh-CN"/>
        </w:rPr>
      </w:pPr>
      <w:r>
        <w:rPr>
          <w:rFonts w:ascii="Times New Roman" w:hAnsi="Times New Roman"/>
          <w:lang w:val="zh-CN"/>
        </w:rPr>
        <w:t xml:space="preserve">To address this gap, </w:t>
      </w:r>
      <w:r>
        <w:rPr>
          <w:rFonts w:ascii="Times New Roman" w:hAnsi="Times New Roman"/>
        </w:rPr>
        <w:t>t</w:t>
      </w:r>
      <w:r>
        <w:rPr>
          <w:rFonts w:ascii="Times New Roman" w:hAnsi="Times New Roman"/>
          <w:lang w:val="zh-CN"/>
        </w:rPr>
        <w:t>his study proposes BuatEvent.id, a blockchain-based B2B booking platform implemented on a permissioned Ethereum-compatible network, with smart contracts developed using the Hardhat framework. The system adapts online travel agency (OTA)-like business flows for corporate event procurement while replacing traditional room-type bookings with tokenized meeting packages, including Full Board Residential (Single and Twin occupancy) and Full Board Meeting (Day Use) configurations. Payments are secured through blockchain-based escrow mechanisms, eliminating manual bank transfers, while indexed public queries enable fast, OTA-style venue discovery. Leveraging a permissioned Ethereum-compatible architecture, the platform enforces role-based access control, auditability, and enterprise governance through smart contract logic. Early prototyping was conducted using Hardhat and Alchemy to validate smart contract functionality and transaction workflows in a controlled development environment.</w:t>
      </w:r>
    </w:p>
    <w:p w14:paraId="29E6A34F">
      <w:pPr>
        <w:pStyle w:val="41"/>
        <w:ind w:firstLine="567"/>
        <w:rPr>
          <w:rFonts w:ascii="Times New Roman" w:hAnsi="Times New Roman"/>
          <w:lang w:val="zh-CN"/>
        </w:rPr>
      </w:pPr>
      <w:r>
        <w:rPr>
          <w:rFonts w:ascii="Times New Roman" w:hAnsi="Times New Roman"/>
          <w:lang w:val="zh-CN"/>
        </w:rPr>
        <w:t>Through this approach, the proposed system contributes a novel blockchain architecture specifically designed for Indonesia’s B2B hotel MICE procurement context. By integrating decentralized trust, smart contract automation, immutable audit trails, and private data handling, this research directly addresses operational, pricing, and verification challenges that remain unresolved in prior literature.</w:t>
      </w:r>
    </w:p>
    <w:p w14:paraId="1013D077">
      <w:pPr>
        <w:pStyle w:val="41"/>
        <w:ind w:firstLine="567"/>
        <w:rPr>
          <w:rFonts w:ascii="Times New Roman" w:hAnsi="Times New Roman"/>
          <w:szCs w:val="22"/>
          <w:lang w:val="zh-CN"/>
        </w:rPr>
      </w:pPr>
    </w:p>
    <w:p w14:paraId="633112A3">
      <w:pPr>
        <w:pStyle w:val="45"/>
        <w:numPr>
          <w:ilvl w:val="0"/>
          <w:numId w:val="11"/>
        </w:numPr>
        <w:ind w:left="567" w:hanging="567"/>
        <w:rPr>
          <w:szCs w:val="24"/>
        </w:rPr>
      </w:pPr>
      <w:r>
        <w:rPr>
          <w:szCs w:val="24"/>
        </w:rPr>
        <w:t>METHOD</w:t>
      </w:r>
    </w:p>
    <w:p w14:paraId="6CA4D3E6">
      <w:pPr>
        <w:pStyle w:val="46"/>
        <w:numPr>
          <w:ilvl w:val="1"/>
          <w:numId w:val="11"/>
        </w:numPr>
        <w:ind w:left="567" w:hanging="567"/>
        <w:rPr>
          <w:color w:val="auto"/>
          <w:sz w:val="22"/>
          <w:szCs w:val="22"/>
        </w:rPr>
      </w:pPr>
      <w:r>
        <w:rPr>
          <w:color w:val="auto"/>
          <w:sz w:val="22"/>
          <w:szCs w:val="22"/>
          <w:lang w:val="en-US"/>
        </w:rPr>
        <w:t>Research Design</w:t>
      </w:r>
    </w:p>
    <w:p w14:paraId="0A6212D9">
      <w:pPr>
        <w:pStyle w:val="41"/>
        <w:ind w:firstLine="567"/>
        <w:rPr>
          <w:rFonts w:ascii="Times New Roman" w:hAnsi="Times New Roman"/>
          <w:color w:val="auto"/>
          <w:szCs w:val="22"/>
          <w:lang w:val="en-AU"/>
        </w:rPr>
      </w:pPr>
      <w:r>
        <w:rPr>
          <w:rFonts w:ascii="Times New Roman" w:hAnsi="Times New Roman"/>
          <w:color w:val="auto"/>
          <w:szCs w:val="22"/>
          <w:lang w:val="en-AU"/>
        </w:rPr>
        <w:t>This study adopts a Design Science Research (DSR) methodology to design, implement, and evaluate a blockchain-based artifact addressing inefficiencies in Indonesia’s B2B hotel MICE procurement process. The approach is appropriate because the research focuses on building and validating a functional system artifact rather than testing behavioral hypotheses.</w:t>
      </w:r>
      <w:r>
        <w:rPr>
          <w:rFonts w:ascii="Times New Roman" w:hAnsi="Times New Roman"/>
          <w:color w:val="auto"/>
          <w:szCs w:val="22"/>
        </w:rPr>
        <w:t xml:space="preserve"> </w:t>
      </w:r>
      <w:r>
        <w:rPr>
          <w:rFonts w:ascii="Times New Roman" w:hAnsi="Times New Roman"/>
          <w:color w:val="auto"/>
          <w:szCs w:val="22"/>
          <w:lang w:val="en-AU"/>
        </w:rPr>
        <w:t>The research process follows three structured phases:</w:t>
      </w:r>
    </w:p>
    <w:p w14:paraId="6F79BEB5">
      <w:pPr>
        <w:pStyle w:val="49"/>
        <w:numPr>
          <w:ilvl w:val="0"/>
          <w:numId w:val="12"/>
        </w:numPr>
        <w:spacing w:before="0" w:after="0"/>
        <w:jc w:val="both"/>
        <w:rPr>
          <w:rFonts w:ascii="Times New Roman" w:hAnsi="Times New Roman"/>
          <w:lang w:val="en-US"/>
        </w:rPr>
      </w:pPr>
      <w:r>
        <w:rPr>
          <w:rFonts w:ascii="Times New Roman" w:hAnsi="Times New Roman"/>
          <w:lang w:val="en-US"/>
        </w:rPr>
        <w:t>Problem Identification &amp; Requirement Analysis</w:t>
      </w:r>
    </w:p>
    <w:p w14:paraId="2C962895">
      <w:pPr>
        <w:pStyle w:val="49"/>
        <w:numPr>
          <w:ilvl w:val="0"/>
          <w:numId w:val="0"/>
        </w:numPr>
        <w:spacing w:before="0" w:after="0"/>
        <w:ind w:left="420"/>
        <w:jc w:val="both"/>
        <w:rPr>
          <w:rFonts w:ascii="Times New Roman" w:hAnsi="Times New Roman"/>
          <w:lang w:val="en-US"/>
        </w:rPr>
      </w:pPr>
      <w:r>
        <w:rPr>
          <w:rFonts w:ascii="Times New Roman" w:hAnsi="Times New Roman"/>
          <w:lang w:val="en-US"/>
        </w:rPr>
        <w:t>Initial analysis was conducted through document review and semi-structured interviews with hotel partners and corporate event organizers. Key requirements identified include immutable booking records, real-time availability verification, transparent price locking, and automated booking validation without third-party intermediaries.</w:t>
      </w:r>
    </w:p>
    <w:p w14:paraId="179F954D">
      <w:pPr>
        <w:pStyle w:val="49"/>
        <w:numPr>
          <w:ilvl w:val="0"/>
          <w:numId w:val="0"/>
        </w:numPr>
        <w:spacing w:before="0" w:after="0"/>
        <w:ind w:left="420"/>
        <w:jc w:val="both"/>
        <w:rPr>
          <w:rFonts w:ascii="Times New Roman" w:hAnsi="Times New Roman"/>
          <w:lang w:val="en-US"/>
        </w:rPr>
      </w:pPr>
    </w:p>
    <w:p w14:paraId="602F7526">
      <w:pPr>
        <w:pStyle w:val="49"/>
        <w:numPr>
          <w:ilvl w:val="0"/>
          <w:numId w:val="12"/>
        </w:numPr>
        <w:spacing w:before="0" w:after="0"/>
        <w:jc w:val="both"/>
        <w:rPr>
          <w:rFonts w:ascii="Times New Roman" w:hAnsi="Times New Roman"/>
          <w:lang w:val="en-US"/>
        </w:rPr>
      </w:pPr>
      <w:r>
        <w:rPr>
          <w:rFonts w:ascii="Times New Roman" w:hAnsi="Times New Roman"/>
          <w:lang w:val="en-US"/>
        </w:rPr>
        <w:t>System Architecture Design</w:t>
      </w:r>
    </w:p>
    <w:p w14:paraId="17AE2C44">
      <w:pPr>
        <w:pStyle w:val="49"/>
        <w:numPr>
          <w:ilvl w:val="0"/>
          <w:numId w:val="0"/>
        </w:numPr>
        <w:spacing w:before="0" w:after="0"/>
        <w:ind w:left="420"/>
        <w:jc w:val="both"/>
        <w:rPr>
          <w:rFonts w:ascii="Times New Roman" w:hAnsi="Times New Roman"/>
          <w:lang w:val="en-US"/>
        </w:rPr>
      </w:pPr>
      <w:r>
        <w:rPr>
          <w:rFonts w:ascii="Times New Roman" w:hAnsi="Times New Roman"/>
          <w:lang w:val="en-US"/>
        </w:rPr>
        <w:t>A permissioned Ethereum-compatible blockchain architecture was selected to support enterprise B2B requirements. Smart contracts were developed using the Hardhat framework to support automated booking validation and transaction recording.</w:t>
      </w:r>
    </w:p>
    <w:p w14:paraId="0FE4F10A">
      <w:pPr>
        <w:pStyle w:val="49"/>
        <w:numPr>
          <w:ilvl w:val="0"/>
          <w:numId w:val="0"/>
        </w:numPr>
        <w:spacing w:before="0" w:after="0"/>
        <w:ind w:left="420"/>
        <w:jc w:val="both"/>
        <w:rPr>
          <w:rFonts w:ascii="Times New Roman" w:hAnsi="Times New Roman"/>
          <w:lang w:val="en-US"/>
        </w:rPr>
      </w:pPr>
      <w:r>
        <w:rPr>
          <w:rFonts w:ascii="Times New Roman" w:hAnsi="Times New Roman"/>
          <w:lang w:val="en-US"/>
        </w:rPr>
        <w:t>The smart contract model governs the booking lifecycle, including booking creation, availability locking, price confirmation, cancellation handling, and audit event logging. Access control is enforced at the contract level, ensuring that only authorized hotel and corporate wallet addresses can invoke sensitive functions.</w:t>
      </w:r>
    </w:p>
    <w:p w14:paraId="5CFFD948">
      <w:pPr>
        <w:pStyle w:val="49"/>
        <w:numPr>
          <w:ilvl w:val="0"/>
          <w:numId w:val="0"/>
        </w:numPr>
        <w:spacing w:before="0" w:after="0"/>
        <w:ind w:left="420"/>
        <w:jc w:val="both"/>
        <w:rPr>
          <w:rFonts w:ascii="Times New Roman" w:hAnsi="Times New Roman"/>
          <w:lang w:val="en-US"/>
        </w:rPr>
      </w:pPr>
    </w:p>
    <w:p w14:paraId="5E3F9864">
      <w:pPr>
        <w:pStyle w:val="49"/>
        <w:numPr>
          <w:ilvl w:val="0"/>
          <w:numId w:val="12"/>
        </w:numPr>
        <w:spacing w:before="0" w:after="0"/>
        <w:jc w:val="both"/>
        <w:rPr>
          <w:rFonts w:ascii="Times New Roman" w:hAnsi="Times New Roman"/>
          <w:lang w:val="en-US"/>
        </w:rPr>
      </w:pPr>
      <w:r>
        <w:rPr>
          <w:rFonts w:ascii="Times New Roman" w:hAnsi="Times New Roman"/>
          <w:lang w:val="en-US"/>
        </w:rPr>
        <w:t>Implementation of Proof-of-Concept (PoC) &amp; Minimum Viable Product (MVP)</w:t>
      </w:r>
    </w:p>
    <w:p w14:paraId="48C60A1F">
      <w:pPr>
        <w:pStyle w:val="49"/>
        <w:numPr>
          <w:ilvl w:val="0"/>
          <w:numId w:val="0"/>
        </w:numPr>
        <w:spacing w:before="0" w:after="0"/>
        <w:ind w:left="420"/>
        <w:jc w:val="both"/>
        <w:rPr>
          <w:rFonts w:ascii="Times New Roman" w:hAnsi="Times New Roman"/>
          <w:lang w:val="en-US"/>
        </w:rPr>
      </w:pPr>
      <w:r>
        <w:rPr>
          <w:rFonts w:ascii="Times New Roman" w:hAnsi="Times New Roman"/>
          <w:lang w:val="en-US"/>
        </w:rPr>
        <w:t>A PoC and MVP were implemented to simulate the BuatEvent.id booking workflow using real hotel inventory data from Bogor, Bandung, Bali, Jakarta, and Yogyakarta. Hardhat was used for contract testing and deployment, while a web-based interface was developed to interact with the blockchain via wallet authentication.</w:t>
      </w:r>
    </w:p>
    <w:p w14:paraId="707F2046">
      <w:pPr>
        <w:pStyle w:val="49"/>
        <w:numPr>
          <w:ilvl w:val="0"/>
          <w:numId w:val="0"/>
        </w:numPr>
        <w:spacing w:before="0" w:after="0"/>
        <w:ind w:left="420"/>
        <w:jc w:val="center"/>
        <w:rPr>
          <w:i/>
          <w:iCs/>
        </w:rPr>
      </w:pPr>
      <w:r>
        <w:rPr>
          <w:i/>
          <w:iCs/>
        </w:rPr>
        <w:drawing>
          <wp:inline distT="0" distB="0" distL="0" distR="0">
            <wp:extent cx="1300480" cy="4521835"/>
            <wp:effectExtent l="0" t="0" r="13970" b="12065"/>
            <wp:docPr id="13779805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80530" name="Picture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00480" cy="4521835"/>
                    </a:xfrm>
                    <a:prstGeom prst="rect">
                      <a:avLst/>
                    </a:prstGeom>
                  </pic:spPr>
                </pic:pic>
              </a:graphicData>
            </a:graphic>
          </wp:inline>
        </w:drawing>
      </w:r>
    </w:p>
    <w:p w14:paraId="5806158A">
      <w:pPr>
        <w:pStyle w:val="49"/>
        <w:numPr>
          <w:ilvl w:val="0"/>
          <w:numId w:val="0"/>
        </w:numPr>
        <w:spacing w:before="0" w:after="0"/>
        <w:jc w:val="center"/>
        <w:rPr>
          <w:rFonts w:ascii="Times New Roman" w:hAnsi="Times New Roman"/>
          <w:lang w:val="en-US"/>
        </w:rPr>
      </w:pPr>
      <w:r>
        <w:rPr>
          <w:rFonts w:ascii="Times New Roman" w:hAnsi="Times New Roman"/>
          <w:lang w:val="en-US"/>
        </w:rPr>
        <w:t>Figure 1. Research Process Structured</w:t>
      </w:r>
    </w:p>
    <w:p w14:paraId="7C752F90">
      <w:pPr>
        <w:pStyle w:val="49"/>
        <w:numPr>
          <w:ilvl w:val="0"/>
          <w:numId w:val="0"/>
        </w:numPr>
        <w:spacing w:before="0" w:after="0"/>
        <w:ind w:left="420"/>
        <w:jc w:val="center"/>
        <w:rPr>
          <w:i/>
          <w:iCs/>
          <w:lang w:val="en-US"/>
        </w:rPr>
      </w:pPr>
    </w:p>
    <w:p w14:paraId="36AE9EC0">
      <w:pPr>
        <w:pStyle w:val="46"/>
        <w:numPr>
          <w:ilvl w:val="1"/>
          <w:numId w:val="11"/>
        </w:numPr>
        <w:ind w:left="567" w:hanging="567"/>
        <w:rPr>
          <w:color w:val="auto"/>
          <w:sz w:val="22"/>
          <w:szCs w:val="22"/>
        </w:rPr>
      </w:pPr>
      <w:r>
        <w:rPr>
          <w:color w:val="auto"/>
          <w:sz w:val="22"/>
          <w:szCs w:val="22"/>
          <w:lang w:val="en-US"/>
        </w:rPr>
        <w:t>System Architecture</w:t>
      </w:r>
    </w:p>
    <w:p w14:paraId="640CF3E7">
      <w:pPr>
        <w:pStyle w:val="41"/>
        <w:ind w:firstLine="567"/>
        <w:rPr>
          <w:rFonts w:ascii="Times New Roman" w:hAnsi="Times New Roman"/>
          <w:color w:val="auto"/>
          <w:szCs w:val="22"/>
          <w:lang w:val="en-AU"/>
        </w:rPr>
      </w:pPr>
      <w:r>
        <w:rPr>
          <w:rFonts w:ascii="Times New Roman" w:hAnsi="Times New Roman"/>
          <w:color w:val="auto"/>
          <w:szCs w:val="22"/>
          <w:lang w:val="en-AU"/>
        </w:rPr>
        <w:t xml:space="preserve">The proposed system is implemented on a permissioned Ethereum-compatible blockchain network and designed in accordance with established design principles for decentralized applications, which emphasize modular separation between blockchain protocol logic, smart contract execution, application interfaces, and supporting off-chain components to ensure scalability, maintainability, and usability </w:t>
      </w:r>
      <w:sdt>
        <w:sdtPr>
          <w:rPr>
            <w:rFonts w:ascii="Times New Roman" w:hAnsi="Times New Roman"/>
            <w:szCs w:val="22"/>
            <w:lang w:val="en-AU"/>
          </w:rPr>
          <w:tag w:val="MENDELEY_CITATION_v3_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"/>
          <w:id w:val="-1912305462"/>
          <w:placeholder>
            <w:docPart w:val="DefaultPlaceholder_-1854013440"/>
          </w:placeholder>
        </w:sdtPr>
        <w:sdtEndPr>
          <w:rPr>
            <w:rFonts w:ascii="Times New Roman" w:hAnsi="Times New Roman"/>
            <w:szCs w:val="22"/>
            <w:lang w:val="en-AU"/>
          </w:rPr>
        </w:sdtEndPr>
        <w:sdtContent>
          <w:r>
            <w:rPr>
              <w:rFonts w:ascii="Times New Roman" w:hAnsi="Times New Roman"/>
              <w:szCs w:val="22"/>
              <w:lang w:val="en-AU"/>
            </w:rPr>
            <w:t>[17]</w:t>
          </w:r>
        </w:sdtContent>
      </w:sdt>
      <w:r>
        <w:rPr>
          <w:rFonts w:ascii="Times New Roman" w:hAnsi="Times New Roman"/>
          <w:color w:val="auto"/>
          <w:szCs w:val="22"/>
          <w:lang w:val="en-AU"/>
        </w:rPr>
        <w:t>:</w:t>
      </w:r>
    </w:p>
    <w:p w14:paraId="5FF5E20C">
      <w:pPr>
        <w:pStyle w:val="41"/>
        <w:numPr>
          <w:ilvl w:val="0"/>
          <w:numId w:val="13"/>
        </w:numPr>
        <w:ind w:firstLine="0"/>
        <w:rPr>
          <w:rFonts w:ascii="Times New Roman" w:hAnsi="Times New Roman"/>
          <w:color w:val="auto"/>
          <w:szCs w:val="22"/>
          <w:lang w:val="en-AU"/>
        </w:rPr>
      </w:pPr>
      <w:r>
        <w:rPr>
          <w:rFonts w:ascii="Times New Roman" w:hAnsi="Times New Roman"/>
          <w:color w:val="auto"/>
          <w:szCs w:val="22"/>
          <w:lang w:val="en-AU"/>
        </w:rPr>
        <w:t>Blockchain Network Layer</w:t>
      </w:r>
      <w:r>
        <w:rPr>
          <w:rFonts w:ascii="Times New Roman" w:hAnsi="Times New Roman"/>
          <w:color w:val="auto"/>
          <w:szCs w:val="22"/>
        </w:rPr>
        <w:t xml:space="preserve"> </w:t>
      </w:r>
    </w:p>
    <w:p w14:paraId="76EDCD3C">
      <w:pPr>
        <w:pStyle w:val="41"/>
        <w:ind w:left="567" w:firstLine="0"/>
        <w:rPr>
          <w:rFonts w:ascii="Times New Roman" w:hAnsi="Times New Roman"/>
          <w:color w:val="auto"/>
          <w:szCs w:val="22"/>
          <w:lang w:val="en-AU"/>
        </w:rPr>
      </w:pPr>
      <w:r>
        <w:rPr>
          <w:rFonts w:ascii="Times New Roman" w:hAnsi="Times New Roman"/>
          <w:color w:val="auto"/>
          <w:szCs w:val="22"/>
          <w:lang w:val="en-AU"/>
        </w:rPr>
        <w:t>The blockchain layer provides an immutable and tamper-resistant ledger for booking transactions.</w:t>
      </w:r>
      <w:r>
        <w:rPr>
          <w:rFonts w:ascii="Times New Roman" w:hAnsi="Times New Roman"/>
          <w:color w:val="auto"/>
          <w:szCs w:val="22"/>
        </w:rPr>
        <w:t xml:space="preserve"> </w:t>
      </w:r>
      <w:r>
        <w:rPr>
          <w:rFonts w:ascii="Times New Roman" w:hAnsi="Times New Roman"/>
          <w:color w:val="auto"/>
          <w:szCs w:val="22"/>
          <w:lang w:val="en-AU"/>
        </w:rPr>
        <w:t>A permissioned Ethereum-compatible network is used to ensure controlled participation, where validator nodes are operated by authorized stakeholders, including hotels, corporate clients, and the platform provider. This configuration ensures transaction finality, prevents unauthorized access, and maintains data integrity across the network.</w:t>
      </w:r>
    </w:p>
    <w:p w14:paraId="1BE75FB3">
      <w:pPr>
        <w:pStyle w:val="41"/>
        <w:ind w:firstLine="0"/>
        <w:rPr>
          <w:rFonts w:ascii="Times New Roman" w:hAnsi="Times New Roman"/>
          <w:color w:val="auto"/>
          <w:szCs w:val="22"/>
          <w:lang w:val="en-AU"/>
        </w:rPr>
      </w:pPr>
    </w:p>
    <w:p w14:paraId="164F14E5">
      <w:pPr>
        <w:pStyle w:val="41"/>
        <w:numPr>
          <w:ilvl w:val="0"/>
          <w:numId w:val="13"/>
        </w:numPr>
        <w:ind w:firstLine="0"/>
        <w:rPr>
          <w:rFonts w:ascii="Times New Roman" w:hAnsi="Times New Roman"/>
          <w:color w:val="auto"/>
          <w:szCs w:val="22"/>
          <w:lang w:val="en-AU"/>
        </w:rPr>
      </w:pPr>
      <w:r>
        <w:rPr>
          <w:rFonts w:ascii="Times New Roman" w:hAnsi="Times New Roman"/>
          <w:color w:val="auto"/>
          <w:szCs w:val="22"/>
        </w:rPr>
        <w:t>Smart Contract Layer</w:t>
      </w:r>
    </w:p>
    <w:p w14:paraId="72E157E0">
      <w:pPr>
        <w:pStyle w:val="41"/>
        <w:ind w:left="420" w:firstLine="0"/>
        <w:rPr>
          <w:rFonts w:ascii="Times New Roman" w:hAnsi="Times New Roman"/>
          <w:color w:val="auto"/>
          <w:szCs w:val="22"/>
          <w:lang w:val="en-AU"/>
        </w:rPr>
      </w:pPr>
      <w:r>
        <w:rPr>
          <w:rFonts w:ascii="Times New Roman" w:hAnsi="Times New Roman"/>
          <w:color w:val="auto"/>
          <w:szCs w:val="22"/>
          <w:lang w:val="en-AU"/>
        </w:rPr>
        <w:t>The smart contract layer contains Solidity-based smart contracts developed and tested using the Hardhat framework. These smart contracts govern the complete booking lifecycle, including venue availability publishing, booking creation, price locking, booking confirmation, cancellation handling, and status updates. Access control mechanisms are embedded within the smart contracts to restrict critical functions to authorized wallet addresses, ensuring that only verified hotels and corporate clients can initiate or modify bookings. All booking transactions are recorded immutably, enabling transparent verification and auditing.</w:t>
      </w:r>
    </w:p>
    <w:p w14:paraId="49F51F8A">
      <w:pPr>
        <w:pStyle w:val="41"/>
        <w:ind w:left="420" w:firstLine="0"/>
        <w:rPr>
          <w:rFonts w:ascii="Times New Roman" w:hAnsi="Times New Roman"/>
          <w:color w:val="auto"/>
          <w:szCs w:val="22"/>
          <w:lang w:val="en-AU"/>
        </w:rPr>
      </w:pPr>
    </w:p>
    <w:p w14:paraId="5BC7D204">
      <w:pPr>
        <w:pStyle w:val="41"/>
        <w:numPr>
          <w:ilvl w:val="0"/>
          <w:numId w:val="13"/>
        </w:numPr>
        <w:ind w:firstLine="0"/>
        <w:rPr>
          <w:rFonts w:ascii="Times New Roman" w:hAnsi="Times New Roman"/>
          <w:color w:val="auto"/>
          <w:szCs w:val="22"/>
        </w:rPr>
      </w:pPr>
      <w:r>
        <w:rPr>
          <w:rFonts w:ascii="Times New Roman" w:hAnsi="Times New Roman"/>
          <w:color w:val="auto"/>
          <w:szCs w:val="22"/>
        </w:rPr>
        <w:t>Application Layer</w:t>
      </w:r>
    </w:p>
    <w:p w14:paraId="1BD0B7FA">
      <w:pPr>
        <w:pStyle w:val="41"/>
        <w:ind w:left="420" w:firstLine="0"/>
        <w:rPr>
          <w:rFonts w:ascii="Times New Roman" w:hAnsi="Times New Roman"/>
          <w:color w:val="auto"/>
          <w:szCs w:val="22"/>
        </w:rPr>
      </w:pPr>
      <w:r>
        <w:rPr>
          <w:rFonts w:ascii="Times New Roman" w:hAnsi="Times New Roman"/>
          <w:color w:val="auto"/>
          <w:szCs w:val="22"/>
        </w:rPr>
        <w:t>The application layer consists of a web-based B2B booking interface that allows hotels and corporate clients to interact with the blockchain system. Users authenticate through blockchain wallets, which are used to sign and submit transactions to the network. The application layer facilitates venue search, booking submission, booking verification, and booking status monitoring, while abstracting blockchain complexity from end users.</w:t>
      </w:r>
    </w:p>
    <w:p w14:paraId="312EA11A">
      <w:pPr>
        <w:pStyle w:val="41"/>
        <w:ind w:left="420" w:firstLine="0"/>
        <w:rPr>
          <w:rFonts w:ascii="Times New Roman" w:hAnsi="Times New Roman"/>
          <w:color w:val="auto"/>
          <w:szCs w:val="22"/>
        </w:rPr>
      </w:pPr>
    </w:p>
    <w:p w14:paraId="64E72D86">
      <w:pPr>
        <w:pStyle w:val="41"/>
        <w:numPr>
          <w:ilvl w:val="0"/>
          <w:numId w:val="13"/>
        </w:numPr>
        <w:ind w:firstLine="0"/>
        <w:rPr>
          <w:rFonts w:ascii="Times New Roman" w:hAnsi="Times New Roman"/>
          <w:color w:val="auto"/>
          <w:szCs w:val="22"/>
        </w:rPr>
      </w:pPr>
      <w:r>
        <w:rPr>
          <w:rFonts w:ascii="Times New Roman" w:hAnsi="Times New Roman"/>
          <w:color w:val="auto"/>
          <w:szCs w:val="22"/>
        </w:rPr>
        <w:t>Off-Chain Support Layer</w:t>
      </w:r>
    </w:p>
    <w:p w14:paraId="13CA47AC">
      <w:pPr>
        <w:pStyle w:val="41"/>
        <w:ind w:left="420" w:firstLine="0"/>
        <w:rPr>
          <w:rFonts w:ascii="Times New Roman" w:hAnsi="Times New Roman"/>
          <w:color w:val="auto"/>
          <w:szCs w:val="22"/>
        </w:rPr>
      </w:pPr>
      <w:r>
        <w:rPr>
          <w:rFonts w:ascii="Times New Roman" w:hAnsi="Times New Roman"/>
          <w:color w:val="auto"/>
          <w:szCs w:val="22"/>
        </w:rPr>
        <w:t>To support efficient venue discovery and reduce on-chain storage overhead, non-critical data such as detailed venue descriptions, contractual documents, and search indexes are stored off-chain. Cryptographic hashes of relevant records are recorded on-chain to ensure data integrity and verifiability. This hybrid on-chain and off-chain approach balances performance, scalability, and trust requirements for enterprise-level procurement.</w:t>
      </w:r>
    </w:p>
    <w:p w14:paraId="522C4ABB">
      <w:pPr>
        <w:pStyle w:val="41"/>
        <w:ind w:firstLine="567"/>
        <w:jc w:val="center"/>
        <w:rPr>
          <w:i/>
          <w:iCs/>
        </w:rPr>
      </w:pPr>
      <w:r>
        <w:rPr>
          <w:i/>
          <w:iCs/>
        </w:rPr>
        <w:drawing>
          <wp:inline distT="0" distB="0" distL="0" distR="0">
            <wp:extent cx="5889625" cy="7006590"/>
            <wp:effectExtent l="0" t="0" r="15875" b="3810"/>
            <wp:docPr id="185680749"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0749" name="Picture 1" descr="A diagram of a software company&#10;&#10;AI-generated content may be incorrect."/>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89625" cy="7006590"/>
                    </a:xfrm>
                    <a:prstGeom prst="rect">
                      <a:avLst/>
                    </a:prstGeom>
                  </pic:spPr>
                </pic:pic>
              </a:graphicData>
            </a:graphic>
          </wp:inline>
        </w:drawing>
      </w:r>
    </w:p>
    <w:p w14:paraId="083BB916">
      <w:pPr>
        <w:pStyle w:val="49"/>
        <w:numPr>
          <w:ilvl w:val="0"/>
          <w:numId w:val="0"/>
        </w:numPr>
        <w:spacing w:before="0" w:after="0"/>
        <w:jc w:val="center"/>
        <w:rPr>
          <w:rFonts w:ascii="Times New Roman" w:hAnsi="Times New Roman"/>
          <w:lang w:val="en-US"/>
        </w:rPr>
      </w:pPr>
      <w:r>
        <w:rPr>
          <w:rFonts w:ascii="Times New Roman" w:hAnsi="Times New Roman"/>
          <w:lang w:val="en-US"/>
        </w:rPr>
        <w:t>Figure 2. Proposed System Architecture</w:t>
      </w:r>
    </w:p>
    <w:p w14:paraId="7638299A">
      <w:pPr>
        <w:pStyle w:val="49"/>
        <w:numPr>
          <w:ilvl w:val="0"/>
          <w:numId w:val="0"/>
        </w:numPr>
        <w:spacing w:before="0" w:after="0"/>
        <w:rPr>
          <w:rFonts w:ascii="Times New Roman" w:hAnsi="Times New Roman"/>
          <w:lang w:val="en-US"/>
        </w:rPr>
      </w:pPr>
    </w:p>
    <w:p w14:paraId="63A0E404">
      <w:pPr>
        <w:pStyle w:val="46"/>
        <w:numPr>
          <w:ilvl w:val="1"/>
          <w:numId w:val="11"/>
        </w:numPr>
        <w:ind w:left="567" w:hanging="567"/>
        <w:rPr>
          <w:color w:val="auto"/>
          <w:sz w:val="22"/>
          <w:szCs w:val="22"/>
        </w:rPr>
      </w:pPr>
      <w:r>
        <w:rPr>
          <w:color w:val="auto"/>
          <w:sz w:val="22"/>
          <w:szCs w:val="22"/>
          <w:lang w:val="en-US"/>
        </w:rPr>
        <w:t>Dataset Description</w:t>
      </w:r>
    </w:p>
    <w:p w14:paraId="2E585D06">
      <w:pPr>
        <w:pStyle w:val="41"/>
        <w:ind w:firstLine="567"/>
        <w:rPr>
          <w:rFonts w:ascii="Times New Roman" w:hAnsi="Times New Roman"/>
          <w:color w:val="auto"/>
          <w:szCs w:val="22"/>
          <w:lang w:val="en-AU"/>
        </w:rPr>
      </w:pPr>
      <w:r>
        <w:rPr>
          <w:rFonts w:ascii="Times New Roman" w:hAnsi="Times New Roman"/>
          <w:color w:val="auto"/>
          <w:szCs w:val="22"/>
          <w:lang w:val="en-AU"/>
        </w:rPr>
        <w:t>The dataset represents structured hotel venue inventory used for a B2B MICE (Meetings, Incentives, Conferences, and Exhibitions) booking platform. It consolidates hotel availability and pricing information across major MICE destinations in Indonesia, specifically Bogor, Bandung, Bali, Jakarta, and Yogyakarta. Each city contains between 1 and 8 participating hotels, forming a diverse sample of venue providers.</w:t>
      </w:r>
    </w:p>
    <w:p w14:paraId="0EF5746B">
      <w:pPr>
        <w:pStyle w:val="41"/>
        <w:ind w:firstLine="567"/>
        <w:rPr>
          <w:rFonts w:ascii="Times New Roman" w:hAnsi="Times New Roman"/>
          <w:color w:val="auto"/>
          <w:szCs w:val="22"/>
          <w:lang w:val="en-AU"/>
        </w:rPr>
      </w:pPr>
      <w:r>
        <w:rPr>
          <w:rFonts w:ascii="Times New Roman" w:hAnsi="Times New Roman"/>
          <w:color w:val="auto"/>
          <w:szCs w:val="22"/>
          <w:lang w:val="en-AU"/>
        </w:rPr>
        <w:t>The dataset captures two primary room types, Residential Meeting Single Occupancy (SO) and Residential Meeting Twin Sharing (TS), which are commonly used in corporate event bookings. For each room type, the dataset includes detailed operational and pricing attributes relevant to procurement decision-making.</w:t>
      </w:r>
    </w:p>
    <w:p w14:paraId="797FDA0D">
      <w:pPr>
        <w:pStyle w:val="41"/>
        <w:ind w:firstLine="567"/>
        <w:rPr>
          <w:rFonts w:ascii="Times New Roman" w:hAnsi="Times New Roman"/>
          <w:color w:val="auto"/>
          <w:szCs w:val="22"/>
          <w:lang w:val="en-AU"/>
        </w:rPr>
      </w:pPr>
      <w:r>
        <w:rPr>
          <w:rFonts w:ascii="Times New Roman" w:hAnsi="Times New Roman"/>
          <w:color w:val="auto"/>
          <w:szCs w:val="22"/>
          <w:lang w:val="en-AU"/>
        </w:rPr>
        <w:t>Each record is defined by the following attributes:</w:t>
      </w:r>
    </w:p>
    <w:p w14:paraId="38DD12DE">
      <w:pPr>
        <w:pStyle w:val="41"/>
        <w:numPr>
          <w:ilvl w:val="0"/>
          <w:numId w:val="14"/>
        </w:numPr>
        <w:ind w:firstLine="0"/>
        <w:rPr>
          <w:rFonts w:ascii="Times New Roman" w:hAnsi="Times New Roman"/>
          <w:color w:val="auto"/>
          <w:szCs w:val="22"/>
          <w:lang w:val="en-AU"/>
        </w:rPr>
      </w:pPr>
      <w:r>
        <w:rPr>
          <w:rFonts w:ascii="Times New Roman" w:hAnsi="Times New Roman"/>
          <w:color w:val="auto"/>
          <w:szCs w:val="22"/>
          <w:lang w:val="en-AU"/>
        </w:rPr>
        <w:t>room_type; Specifies the meeting package type (SO or TS)</w:t>
      </w:r>
    </w:p>
    <w:p w14:paraId="1429A917">
      <w:pPr>
        <w:pStyle w:val="41"/>
        <w:numPr>
          <w:ilvl w:val="0"/>
          <w:numId w:val="14"/>
        </w:numPr>
        <w:ind w:firstLine="0"/>
        <w:rPr>
          <w:rFonts w:ascii="Times New Roman" w:hAnsi="Times New Roman"/>
          <w:color w:val="auto"/>
          <w:szCs w:val="22"/>
          <w:lang w:val="en-AU"/>
        </w:rPr>
      </w:pPr>
      <w:r>
        <w:rPr>
          <w:rFonts w:ascii="Times New Roman" w:hAnsi="Times New Roman"/>
          <w:color w:val="auto"/>
          <w:szCs w:val="22"/>
          <w:lang w:val="en-AU"/>
        </w:rPr>
        <w:t>Date; The applicable booking or availability date.</w:t>
      </w:r>
    </w:p>
    <w:p w14:paraId="1D48940D">
      <w:pPr>
        <w:pStyle w:val="41"/>
        <w:numPr>
          <w:ilvl w:val="0"/>
          <w:numId w:val="14"/>
        </w:numPr>
        <w:ind w:firstLine="0"/>
        <w:rPr>
          <w:rFonts w:ascii="Times New Roman" w:hAnsi="Times New Roman"/>
          <w:color w:val="auto"/>
          <w:szCs w:val="22"/>
          <w:lang w:val="en-AU"/>
        </w:rPr>
      </w:pPr>
      <w:r>
        <w:rPr>
          <w:rFonts w:ascii="Times New Roman" w:hAnsi="Times New Roman"/>
          <w:color w:val="auto"/>
          <w:szCs w:val="22"/>
          <w:lang w:val="en-AU"/>
        </w:rPr>
        <w:t>max_capacity; Maximum number of participants or guests the room can accommodate.</w:t>
      </w:r>
    </w:p>
    <w:p w14:paraId="04646F26">
      <w:pPr>
        <w:pStyle w:val="41"/>
        <w:numPr>
          <w:ilvl w:val="0"/>
          <w:numId w:val="14"/>
        </w:numPr>
        <w:ind w:firstLine="0"/>
        <w:rPr>
          <w:rFonts w:ascii="Times New Roman" w:hAnsi="Times New Roman"/>
          <w:color w:val="auto"/>
          <w:szCs w:val="22"/>
          <w:lang w:val="en-AU"/>
        </w:rPr>
      </w:pPr>
      <w:r>
        <w:rPr>
          <w:rFonts w:ascii="Times New Roman" w:hAnsi="Times New Roman"/>
          <w:color w:val="auto"/>
          <w:szCs w:val="22"/>
          <w:lang w:val="en-AU"/>
        </w:rPr>
        <w:t>rack_rate; Standard published room or package rate.</w:t>
      </w:r>
    </w:p>
    <w:p w14:paraId="1C08AFAB">
      <w:pPr>
        <w:pStyle w:val="41"/>
        <w:numPr>
          <w:ilvl w:val="0"/>
          <w:numId w:val="14"/>
        </w:numPr>
        <w:ind w:firstLine="0"/>
        <w:rPr>
          <w:rFonts w:ascii="Times New Roman" w:hAnsi="Times New Roman"/>
          <w:color w:val="auto"/>
          <w:szCs w:val="22"/>
          <w:lang w:val="en-AU"/>
        </w:rPr>
      </w:pPr>
      <w:r>
        <w:rPr>
          <w:rFonts w:ascii="Times New Roman" w:hAnsi="Times New Roman"/>
          <w:color w:val="auto"/>
          <w:szCs w:val="22"/>
          <w:lang w:val="en-AU"/>
        </w:rPr>
        <w:t>corporate_rate; Negotiated rate offered to B2B clients.</w:t>
      </w:r>
    </w:p>
    <w:p w14:paraId="1447E2B4">
      <w:pPr>
        <w:pStyle w:val="41"/>
        <w:numPr>
          <w:ilvl w:val="0"/>
          <w:numId w:val="14"/>
        </w:numPr>
        <w:ind w:firstLine="0"/>
        <w:rPr>
          <w:rFonts w:ascii="Times New Roman" w:hAnsi="Times New Roman"/>
          <w:color w:val="auto"/>
          <w:szCs w:val="22"/>
          <w:lang w:val="en-AU"/>
        </w:rPr>
      </w:pPr>
      <w:r>
        <w:rPr>
          <w:rFonts w:ascii="Times New Roman" w:hAnsi="Times New Roman"/>
          <w:color w:val="auto"/>
          <w:szCs w:val="22"/>
          <w:lang w:val="en-AU"/>
        </w:rPr>
        <w:t>availability_status; Indicates whether the room is available, pending, or fully booked.</w:t>
      </w:r>
    </w:p>
    <w:p w14:paraId="24D0D3FB">
      <w:pPr>
        <w:pStyle w:val="41"/>
        <w:numPr>
          <w:ilvl w:val="0"/>
          <w:numId w:val="14"/>
        </w:numPr>
        <w:ind w:firstLine="0"/>
        <w:rPr>
          <w:bCs/>
          <w:color w:val="auto"/>
          <w:szCs w:val="22"/>
        </w:rPr>
      </w:pPr>
      <w:r>
        <w:rPr>
          <w:rFonts w:ascii="Times New Roman" w:hAnsi="Times New Roman"/>
          <w:color w:val="auto"/>
          <w:szCs w:val="22"/>
          <w:lang w:val="en-AU"/>
        </w:rPr>
        <w:t>blackout_dates: Dates during which the venue is unavailable due to internal restrictions or events.</w:t>
      </w:r>
    </w:p>
    <w:p w14:paraId="7A610DAF">
      <w:pPr>
        <w:pStyle w:val="41"/>
        <w:numPr>
          <w:ilvl w:val="0"/>
          <w:numId w:val="14"/>
        </w:numPr>
        <w:ind w:firstLine="0"/>
        <w:rPr>
          <w:bCs/>
          <w:color w:val="auto"/>
          <w:szCs w:val="22"/>
        </w:rPr>
      </w:pPr>
      <w:r>
        <w:rPr>
          <w:rFonts w:ascii="Times New Roman" w:hAnsi="Times New Roman"/>
          <w:color w:val="auto"/>
          <w:szCs w:val="22"/>
          <w:lang w:val="en-AU"/>
        </w:rPr>
        <w:t>booking_id ; A unique, immutable identifier stored on the blockchain to ensure transparent and</w:t>
      </w:r>
      <w:r>
        <w:rPr>
          <w:rFonts w:ascii="Times New Roman" w:hAnsi="Times New Roman"/>
          <w:color w:val="auto"/>
          <w:szCs w:val="22"/>
        </w:rPr>
        <w:t xml:space="preserve"> </w:t>
      </w:r>
      <w:r>
        <w:rPr>
          <w:rFonts w:ascii="Times New Roman" w:hAnsi="Times New Roman"/>
          <w:color w:val="auto"/>
          <w:szCs w:val="22"/>
          <w:lang w:val="en-AU"/>
        </w:rPr>
        <w:t>tamper-proof booking records.</w:t>
      </w:r>
    </w:p>
    <w:p w14:paraId="7856FA0B">
      <w:pPr>
        <w:pStyle w:val="41"/>
        <w:ind w:firstLine="567"/>
        <w:rPr>
          <w:bCs/>
          <w:color w:val="auto"/>
          <w:szCs w:val="22"/>
        </w:rPr>
      </w:pPr>
      <w:r>
        <w:rPr>
          <w:rFonts w:ascii="Times New Roman" w:hAnsi="Times New Roman"/>
          <w:color w:val="auto"/>
          <w:szCs w:val="22"/>
          <w:lang w:val="en-AU"/>
        </w:rPr>
        <w:t>This dataset enables validation of booking workflows, availability locking, and booking verification within the proposed system while reflecting practical conditions in Indonesia’s MICE hotel procurement environment.</w:t>
      </w:r>
    </w:p>
    <w:p w14:paraId="3BC3616C">
      <w:pPr>
        <w:pStyle w:val="46"/>
        <w:numPr>
          <w:ilvl w:val="1"/>
          <w:numId w:val="11"/>
        </w:numPr>
        <w:ind w:left="567" w:hanging="567"/>
        <w:rPr>
          <w:color w:val="auto"/>
          <w:sz w:val="22"/>
          <w:szCs w:val="22"/>
        </w:rPr>
      </w:pPr>
      <w:r>
        <w:rPr>
          <w:color w:val="auto"/>
          <w:sz w:val="22"/>
          <w:szCs w:val="22"/>
          <w:lang w:val="en-US"/>
        </w:rPr>
        <w:t>Performance Evaluation Plan</w:t>
      </w:r>
    </w:p>
    <w:p w14:paraId="517D3597">
      <w:pPr>
        <w:pStyle w:val="41"/>
        <w:ind w:firstLine="567"/>
        <w:rPr>
          <w:rFonts w:ascii="Times New Roman" w:hAnsi="Times New Roman"/>
          <w:color w:val="auto"/>
          <w:szCs w:val="22"/>
          <w:lang w:val="en-AU"/>
        </w:rPr>
      </w:pPr>
      <w:r>
        <w:rPr>
          <w:rFonts w:ascii="Times New Roman" w:hAnsi="Times New Roman"/>
          <w:color w:val="auto"/>
          <w:szCs w:val="22"/>
          <w:lang w:val="en-AU"/>
        </w:rPr>
        <w:t>The performance evaluation in this study is designed to assess the feasibility, reliability, and practical benefits of the proposed blockchain-based B2B hotel venue booking platform for Indonesia’s MICE industry. Instead of focusing on low-level blockchain performance metrics, the evaluation emphasizes system behavior, booking conflict prevention, and data integrity, which are more relevant to enterprise hotel procurement processes.</w:t>
      </w:r>
    </w:p>
    <w:p w14:paraId="4B7DB507">
      <w:pPr>
        <w:pStyle w:val="41"/>
        <w:ind w:firstLine="567"/>
        <w:rPr>
          <w:rFonts w:ascii="Times New Roman" w:hAnsi="Times New Roman"/>
          <w:color w:val="auto"/>
          <w:szCs w:val="22"/>
          <w:lang w:val="en-AU"/>
        </w:rPr>
      </w:pPr>
      <w:r>
        <w:rPr>
          <w:rFonts w:ascii="Times New Roman" w:hAnsi="Times New Roman"/>
          <w:color w:val="auto"/>
          <w:szCs w:val="22"/>
          <w:lang w:val="en-AU"/>
        </w:rPr>
        <w:t>The evaluation is conducted using a proof-of-concept (PoC) and minimum viable product (MVP) implementation of the BuatEvent.id platform in a controlled environment. The assessment focuses on several key aspects that reflect real-world B2B booking scenarios.</w:t>
      </w:r>
    </w:p>
    <w:p w14:paraId="309698D9">
      <w:pPr>
        <w:pStyle w:val="41"/>
        <w:ind w:firstLine="567"/>
        <w:rPr>
          <w:rFonts w:ascii="Times New Roman" w:hAnsi="Times New Roman"/>
          <w:color w:val="auto"/>
          <w:szCs w:val="22"/>
          <w:lang w:val="en-AU"/>
        </w:rPr>
      </w:pPr>
      <w:r>
        <w:rPr>
          <w:rFonts w:ascii="Times New Roman" w:hAnsi="Times New Roman"/>
          <w:color w:val="auto"/>
          <w:szCs w:val="22"/>
          <w:lang w:val="en-AU"/>
        </w:rPr>
        <w:t>Double-booking prevention is evaluated by simulating multiple booking requests for the same venue and date. The system is observed to ensure that once a booking is confirmed, the venue availability is no longer accessible for conflicting reservations. This evaluation demonstrates the system’s ability to eliminate double booking, a common issue in traditional manual booking workflows.</w:t>
      </w:r>
    </w:p>
    <w:p w14:paraId="1C72855D">
      <w:pPr>
        <w:pStyle w:val="41"/>
        <w:ind w:firstLine="567"/>
        <w:rPr>
          <w:rFonts w:ascii="Times New Roman" w:hAnsi="Times New Roman"/>
          <w:color w:val="auto"/>
          <w:szCs w:val="22"/>
          <w:lang w:val="en-AU"/>
        </w:rPr>
      </w:pPr>
      <w:r>
        <w:rPr>
          <w:rFonts w:ascii="Times New Roman" w:hAnsi="Times New Roman"/>
          <w:color w:val="auto"/>
          <w:szCs w:val="22"/>
          <w:lang w:val="en-AU"/>
        </w:rPr>
        <w:t>Data integrity and traceability are assessed by verifying that booking records remain immutable after confirmation and that historical booking information can be transparently retrieved for verification purposes. This ensures that booking data cannot be modified or manipulated after it has been recorded, thereby reducing disputes between hotels and corporate clients.</w:t>
      </w:r>
    </w:p>
    <w:p w14:paraId="70731407">
      <w:pPr>
        <w:pStyle w:val="41"/>
        <w:ind w:firstLine="567"/>
        <w:rPr>
          <w:rFonts w:ascii="Times New Roman" w:hAnsi="Times New Roman"/>
          <w:color w:val="auto"/>
          <w:szCs w:val="22"/>
          <w:lang w:val="en-AU"/>
        </w:rPr>
      </w:pPr>
      <w:r>
        <w:rPr>
          <w:rFonts w:ascii="Times New Roman" w:hAnsi="Times New Roman"/>
          <w:color w:val="auto"/>
          <w:szCs w:val="22"/>
          <w:lang w:val="en-AU"/>
        </w:rPr>
        <w:t>System reliability is evaluated through repeated booking simulations involving multiple hotels and corporate users. The platform is considered reliable if it consistently records booking transactions without data loss, inconsistencies, or system failures during the testing process.</w:t>
      </w:r>
    </w:p>
    <w:p w14:paraId="09D4492E">
      <w:pPr>
        <w:pStyle w:val="41"/>
        <w:ind w:firstLine="567"/>
        <w:rPr>
          <w:rFonts w:ascii="Times New Roman" w:hAnsi="Times New Roman"/>
          <w:color w:val="auto"/>
          <w:szCs w:val="22"/>
          <w:lang w:val="en-AU"/>
        </w:rPr>
      </w:pPr>
      <w:r>
        <w:rPr>
          <w:rFonts w:ascii="Times New Roman" w:hAnsi="Times New Roman"/>
          <w:color w:val="auto"/>
          <w:szCs w:val="22"/>
          <w:lang w:val="en-AU"/>
        </w:rPr>
        <w:t>Finally, a qualitative baseline comparison is conducted against conventional centralized booking processes that rely on email communication and manual confirmation. The comparison focuses on booking verification effort, transparency of booking records, risk of data manipulation, and dispute potential. This comparison highlights the practical advantages of using blockchain technology to support trusted and efficient B2B hotel venue procurement.</w:t>
      </w:r>
    </w:p>
    <w:p w14:paraId="30082E46">
      <w:pPr>
        <w:pStyle w:val="41"/>
        <w:ind w:firstLine="567"/>
        <w:rPr>
          <w:rFonts w:ascii="Times New Roman" w:hAnsi="Times New Roman"/>
          <w:color w:val="auto"/>
          <w:szCs w:val="22"/>
          <w:lang w:val="en-AU"/>
        </w:rPr>
      </w:pPr>
    </w:p>
    <w:p w14:paraId="630308A8">
      <w:pPr>
        <w:pStyle w:val="41"/>
        <w:ind w:firstLine="567"/>
        <w:rPr>
          <w:rFonts w:ascii="Times New Roman" w:hAnsi="Times New Roman"/>
          <w:color w:val="auto"/>
          <w:szCs w:val="22"/>
          <w:lang w:val="en-AU"/>
        </w:rPr>
      </w:pPr>
    </w:p>
    <w:p w14:paraId="44E3EEA0">
      <w:pPr>
        <w:pStyle w:val="47"/>
        <w:numPr>
          <w:ilvl w:val="0"/>
          <w:numId w:val="11"/>
        </w:numPr>
        <w:ind w:left="567" w:hanging="567"/>
        <w:rPr>
          <w:b w:val="0"/>
          <w:bCs/>
          <w:sz w:val="22"/>
          <w:szCs w:val="22"/>
          <w:lang w:val="en-US"/>
        </w:rPr>
      </w:pPr>
      <w:r>
        <w:rPr>
          <w:szCs w:val="24"/>
          <w:lang w:val="en-US"/>
        </w:rPr>
        <w:t>Results</w:t>
      </w:r>
    </w:p>
    <w:p w14:paraId="774636A1">
      <w:pPr>
        <w:pStyle w:val="46"/>
        <w:numPr>
          <w:ilvl w:val="1"/>
          <w:numId w:val="11"/>
        </w:numPr>
        <w:ind w:left="567" w:hanging="567"/>
        <w:rPr>
          <w:color w:val="auto"/>
          <w:sz w:val="22"/>
          <w:szCs w:val="22"/>
        </w:rPr>
      </w:pPr>
      <w:r>
        <w:rPr>
          <w:color w:val="auto"/>
          <w:sz w:val="22"/>
          <w:szCs w:val="22"/>
          <w:lang w:val="en-US"/>
        </w:rPr>
        <w:t>Implementation</w:t>
      </w:r>
    </w:p>
    <w:p w14:paraId="5BAABBC4">
      <w:pPr>
        <w:pStyle w:val="41"/>
        <w:ind w:firstLine="567"/>
        <w:rPr>
          <w:rFonts w:ascii="Times New Roman" w:hAnsi="Times New Roman"/>
          <w:color w:val="auto"/>
          <w:szCs w:val="22"/>
          <w:lang w:val="en-AU"/>
        </w:rPr>
      </w:pPr>
      <w:r>
        <w:rPr>
          <w:rFonts w:ascii="Times New Roman" w:hAnsi="Times New Roman"/>
          <w:color w:val="auto"/>
          <w:szCs w:val="22"/>
          <w:lang w:val="en-AU"/>
        </w:rPr>
        <w:t>A proof-of-concept (PoC) and minimum viable product (MVP) of the BuatEvent.id platform were successfully implemented to validate the proposed blockchain-based B2B hotel venue booking architecture. The system was tested using real hotel venue inventory data collected from major MICE destinations in Indonesia, including Bogor, Bandung, Bali, Jakarta, and Yogyakarta.</w:t>
      </w:r>
    </w:p>
    <w:p w14:paraId="3FF24304">
      <w:pPr>
        <w:pStyle w:val="41"/>
        <w:ind w:firstLine="567"/>
        <w:rPr>
          <w:rFonts w:ascii="Times New Roman" w:hAnsi="Times New Roman"/>
          <w:color w:val="auto"/>
          <w:szCs w:val="22"/>
        </w:rPr>
      </w:pPr>
      <w:r>
        <w:rPr>
          <w:rFonts w:ascii="Times New Roman" w:hAnsi="Times New Roman"/>
          <w:color w:val="auto"/>
          <w:szCs w:val="22"/>
        </w:rPr>
        <w:t>The implementation demonstrated the system’s ability to manage a large number of venue records and booking packages within a unified digital platform. Venue availability, pricing information, and booking identifiers were consistently recorded and maintained, supporting real-world B2B booking scenarios. The results indicate that the proposed architecture is scalable and capable of handling operational data volumes commonly encountered in hotel MICE procurement.</w:t>
      </w:r>
    </w:p>
    <w:p w14:paraId="4C01D11C">
      <w:pPr>
        <w:pStyle w:val="41"/>
        <w:ind w:firstLine="567"/>
        <w:rPr>
          <w:rFonts w:ascii="Times New Roman" w:hAnsi="Times New Roman"/>
          <w:color w:val="auto"/>
          <w:szCs w:val="22"/>
        </w:rPr>
      </w:pPr>
      <w:r>
        <w:rPr>
          <w:rFonts w:ascii="Times New Roman" w:hAnsi="Times New Roman"/>
          <w:color w:val="auto"/>
          <w:szCs w:val="22"/>
        </w:rPr>
        <w:t>The implemented platform also successfully integrated blockchain-based booking records with a web-based application interface, enabling hotels and corporate clients to submit and verify bookings through a structured and standardized workflow</w:t>
      </w:r>
    </w:p>
    <w:p w14:paraId="7CC00525">
      <w:pPr>
        <w:pStyle w:val="46"/>
        <w:numPr>
          <w:ilvl w:val="1"/>
          <w:numId w:val="11"/>
        </w:numPr>
        <w:ind w:left="567" w:hanging="567"/>
        <w:rPr>
          <w:color w:val="auto"/>
          <w:sz w:val="22"/>
          <w:szCs w:val="22"/>
        </w:rPr>
      </w:pPr>
      <w:r>
        <w:rPr>
          <w:color w:val="auto"/>
          <w:sz w:val="22"/>
          <w:szCs w:val="22"/>
          <w:lang w:val="en-US"/>
        </w:rPr>
        <w:t>Evaluation</w:t>
      </w:r>
    </w:p>
    <w:p w14:paraId="6D9264CF">
      <w:pPr>
        <w:pStyle w:val="41"/>
        <w:ind w:firstLine="567"/>
        <w:rPr>
          <w:rFonts w:ascii="Times New Roman" w:hAnsi="Times New Roman"/>
          <w:color w:val="auto"/>
          <w:szCs w:val="22"/>
          <w:lang w:val="en-AU"/>
        </w:rPr>
      </w:pPr>
      <w:r>
        <w:rPr>
          <w:rFonts w:ascii="Times New Roman" w:hAnsi="Times New Roman"/>
          <w:color w:val="auto"/>
          <w:szCs w:val="22"/>
          <w:lang w:val="en-AU"/>
        </w:rPr>
        <w:t>The evaluation results indicate that the proposed system effectively addresses key challenges in traditional B2B hotel venue booking processes. During the evaluation, the system consistently prevented double booking by enforcing immutable booking records and controlled availability updates. Once a booking was confirmed, the corresponding venue and date could no longer be reserved by other parties, eliminating booking conflicts commonly found in manual procurement processes.</w:t>
      </w:r>
    </w:p>
    <w:p w14:paraId="24324985">
      <w:pPr>
        <w:pStyle w:val="41"/>
        <w:ind w:firstLine="567"/>
        <w:rPr>
          <w:rFonts w:ascii="Times New Roman" w:hAnsi="Times New Roman"/>
          <w:color w:val="auto"/>
          <w:szCs w:val="22"/>
          <w:lang w:val="en-AU"/>
        </w:rPr>
      </w:pPr>
      <w:r>
        <w:rPr>
          <w:rFonts w:ascii="Times New Roman" w:hAnsi="Times New Roman"/>
          <w:color w:val="auto"/>
          <w:szCs w:val="22"/>
          <w:lang w:val="en-AU"/>
        </w:rPr>
        <w:t>In terms of process efficiency, the blockchain-based booking workflow significantly reduced the time required for booking verification and confirmation. While traditional B2B hotel bookings often require extended manual coordination through email communication and repeated confirmations, the proposed system enabled booking finalization within a substantially shorter time frame, typically within minutes. This improvement highlights the system’s potential to streamline corporate event procurement workflows.</w:t>
      </w:r>
    </w:p>
    <w:p w14:paraId="383B3195">
      <w:pPr>
        <w:pStyle w:val="41"/>
        <w:ind w:firstLine="567"/>
        <w:rPr>
          <w:rFonts w:ascii="Times New Roman" w:hAnsi="Times New Roman"/>
          <w:color w:val="auto"/>
          <w:szCs w:val="22"/>
          <w:lang w:val="en-AU"/>
        </w:rPr>
      </w:pPr>
      <w:r>
        <w:rPr>
          <w:rFonts w:ascii="Times New Roman" w:hAnsi="Times New Roman"/>
          <w:color w:val="auto"/>
          <w:szCs w:val="22"/>
          <w:lang w:val="en-AU"/>
        </w:rPr>
        <w:t>The system also demonstrated strong compatibility with commonly used MICE booking packages, including residential meeting and full-board meeting configurations. The standardized package model enabled consistent booking validation across different hotels while maintaining flexibility for corporate procurement needs.</w:t>
      </w:r>
    </w:p>
    <w:p w14:paraId="51E9F8CB">
      <w:pPr>
        <w:pStyle w:val="41"/>
        <w:ind w:firstLine="567"/>
      </w:pPr>
      <w:r>
        <w:rPr>
          <w:rFonts w:ascii="Times New Roman" w:hAnsi="Times New Roman"/>
          <w:color w:val="auto"/>
          <w:szCs w:val="22"/>
          <w:lang w:val="en-AU"/>
        </w:rPr>
        <w:t>Furthermore, early adoption feedback from participating stakeholders indicated a positive response toward the proposed platform. Hotels and corporate users expressed strong interest in adopting a transparent and verifiable booking system that reduces disputes, improves trust, and simplifies coordination. These findings suggest that the proposed blockchain-based platform is feasible and well-aligned with the operational requirements of Indonesia’s B2B MICE industry.</w:t>
      </w:r>
    </w:p>
    <w:p w14:paraId="17FA7185">
      <w:pPr>
        <w:pStyle w:val="47"/>
        <w:numPr>
          <w:ilvl w:val="0"/>
          <w:numId w:val="11"/>
        </w:numPr>
        <w:ind w:left="567" w:hanging="567"/>
        <w:rPr>
          <w:szCs w:val="24"/>
        </w:rPr>
      </w:pPr>
      <w:r>
        <w:rPr>
          <w:szCs w:val="24"/>
        </w:rPr>
        <w:t>discussions</w:t>
      </w:r>
    </w:p>
    <w:p w14:paraId="7DE1B2C3">
      <w:pPr>
        <w:pStyle w:val="41"/>
        <w:ind w:firstLine="567"/>
        <w:rPr>
          <w:rFonts w:ascii="Times New Roman" w:hAnsi="Times New Roman"/>
          <w:color w:val="auto"/>
          <w:szCs w:val="22"/>
          <w:lang w:val="id-ID"/>
        </w:rPr>
      </w:pPr>
      <w:r>
        <w:rPr>
          <w:rFonts w:ascii="Times New Roman" w:hAnsi="Times New Roman"/>
          <w:color w:val="auto"/>
          <w:szCs w:val="22"/>
          <w:lang w:val="id-ID"/>
        </w:rPr>
        <w:t>The results of this study demonstrate that a blockchain-based architecture can effectively address long-standing inefficiencies in B2B hotel venue procurement within Indonesia’s MICE industry. The successful implementation of the BuatEvent.id platform confirms that distributed ledger technology can be applied beyond consumer-oriented booking systems and adapted to enterprise-level procurement workflows that require higher levels of trust, transparency, and coordination.</w:t>
      </w:r>
    </w:p>
    <w:p w14:paraId="5693CC90">
      <w:pPr>
        <w:pStyle w:val="41"/>
        <w:ind w:firstLine="567"/>
        <w:rPr>
          <w:rFonts w:ascii="Times New Roman" w:hAnsi="Times New Roman"/>
          <w:color w:val="auto"/>
          <w:szCs w:val="22"/>
          <w:lang w:val="id-ID"/>
        </w:rPr>
      </w:pPr>
      <w:r>
        <w:rPr>
          <w:rFonts w:ascii="Times New Roman" w:hAnsi="Times New Roman"/>
          <w:color w:val="auto"/>
          <w:szCs w:val="22"/>
          <w:lang w:val="id-ID"/>
        </w:rPr>
        <w:t>One of the most significant findings is the system’s ability to prevent double booking through immutable booking records and controlled availability updates. In traditional B2B hotel procurement, booking conflicts frequently arise due to fragmented communication channels and asynchronous confirmation processes. By recording confirmed bookings on a shared and tamper-resistant ledger, the proposed system ensures that venue availability is consistently synchronized across stakeholders, thereby reducing disputes and operational friction.</w:t>
      </w:r>
    </w:p>
    <w:p w14:paraId="7F1B9589">
      <w:pPr>
        <w:pStyle w:val="41"/>
        <w:ind w:firstLine="567"/>
        <w:rPr>
          <w:rFonts w:ascii="Times New Roman" w:hAnsi="Times New Roman"/>
          <w:color w:val="auto"/>
          <w:szCs w:val="22"/>
          <w:lang w:val="id-ID"/>
        </w:rPr>
      </w:pPr>
      <w:r>
        <w:rPr>
          <w:rFonts w:ascii="Times New Roman" w:hAnsi="Times New Roman"/>
          <w:color w:val="auto"/>
          <w:szCs w:val="22"/>
          <w:lang w:val="id-ID"/>
        </w:rPr>
        <w:t>The evaluation also highlights improvements in booking efficiency. Although this study does not focus on low-level performance metrics, the qualitative comparison indicates that the blockchain-based workflow substantially reduces booking verification and confirmation time compared to manual, email-driven processes. This improvement is particularly relevant for corporate event organizers who require rapid confirmation and reliable booking guarantees when planning large-scale meetings and events.</w:t>
      </w:r>
    </w:p>
    <w:p w14:paraId="6044B82E">
      <w:pPr>
        <w:pStyle w:val="41"/>
        <w:ind w:firstLine="567"/>
        <w:rPr>
          <w:rFonts w:ascii="Times New Roman" w:hAnsi="Times New Roman"/>
          <w:color w:val="auto"/>
          <w:szCs w:val="22"/>
          <w:lang w:val="id-ID"/>
        </w:rPr>
      </w:pPr>
      <w:r>
        <w:rPr>
          <w:rFonts w:ascii="Times New Roman" w:hAnsi="Times New Roman"/>
          <w:color w:val="auto"/>
          <w:szCs w:val="22"/>
          <w:lang w:val="id-ID"/>
        </w:rPr>
        <w:t>Another important contribution of this research lies in the use of standardized MICE booking packages. By structuring hotel offerings into predefined residential and meeting configurations, the system reduces ambiguity in pricing and package interpretation across different hotels. This standardization supports more consistent procurement decisions while still allowing flexibility for corporate requirements, addressing a key limitation of existing hotel booking systems in Indonesia.</w:t>
      </w:r>
    </w:p>
    <w:p w14:paraId="475AB007">
      <w:pPr>
        <w:pStyle w:val="41"/>
        <w:ind w:firstLine="567"/>
        <w:rPr>
          <w:rFonts w:ascii="Times New Roman" w:hAnsi="Times New Roman"/>
          <w:color w:val="auto"/>
          <w:szCs w:val="22"/>
          <w:lang w:val="id-ID"/>
        </w:rPr>
      </w:pPr>
      <w:r>
        <w:rPr>
          <w:rFonts w:ascii="Times New Roman" w:hAnsi="Times New Roman"/>
          <w:color w:val="auto"/>
          <w:szCs w:val="22"/>
          <w:lang w:val="id-ID"/>
        </w:rPr>
        <w:t>From an adoption perspective, the positive response from participating stakeholders suggests that the proposed platform aligns well with industry needs. Hotels and corporate clients showed interest in a booking system that enhances trust, improves transparency, and reduces reliance on intermediaries. These findings indicate that blockchain-based procurement platforms have strong potential for real-world adoption in Indonesia’s MICE ecosystem, particularly in environments characterized by complex pricing structures and multi-party coordination.</w:t>
      </w:r>
    </w:p>
    <w:p w14:paraId="7D1FC4EC">
      <w:pPr>
        <w:pStyle w:val="41"/>
        <w:ind w:firstLine="567"/>
        <w:rPr>
          <w:rFonts w:ascii="Times New Roman" w:hAnsi="Times New Roman"/>
          <w:color w:val="auto"/>
          <w:szCs w:val="22"/>
          <w:lang w:val="id-ID"/>
        </w:rPr>
      </w:pPr>
      <w:r>
        <w:rPr>
          <w:rFonts w:ascii="Times New Roman" w:hAnsi="Times New Roman"/>
          <w:color w:val="auto"/>
          <w:szCs w:val="22"/>
          <w:lang w:val="id-ID"/>
        </w:rPr>
        <w:t>Despite these promising results, the study is not without limitations. The evaluation was conducted in a controlled environment using a proof-of-concept and MVP implementation, and large-scale deployment was not examined. Integration with existing hotel property management systems and enterprise resource planning platforms was also beyond the scope of this study. These factors may influence system performance and adoption in real-world settings.</w:t>
      </w:r>
    </w:p>
    <w:p w14:paraId="46D27D68">
      <w:pPr>
        <w:pStyle w:val="41"/>
        <w:ind w:firstLine="567"/>
        <w:rPr>
          <w:rFonts w:ascii="Times New Roman" w:hAnsi="Times New Roman"/>
          <w:color w:val="auto"/>
          <w:szCs w:val="22"/>
          <w:lang w:val="id-ID"/>
        </w:rPr>
      </w:pPr>
      <w:r>
        <w:rPr>
          <w:rFonts w:ascii="Times New Roman" w:hAnsi="Times New Roman"/>
          <w:color w:val="auto"/>
          <w:szCs w:val="22"/>
          <w:lang w:val="id-ID"/>
        </w:rPr>
        <w:t>Overall, the discussion confirms that the proposed blockchain-based B2B booking platform provides a viable and practical solution to critical challenges in Indonesia’s hotel MICE procurement process. The findings support the role of distributed ledger technology as an enabling infrastructure for digital transformation in enterprise hospitality systems.</w:t>
      </w:r>
    </w:p>
    <w:p w14:paraId="1421D95F">
      <w:pPr>
        <w:pStyle w:val="47"/>
        <w:numPr>
          <w:ilvl w:val="0"/>
          <w:numId w:val="11"/>
        </w:numPr>
        <w:ind w:left="567" w:hanging="567"/>
        <w:rPr>
          <w:szCs w:val="24"/>
        </w:rPr>
      </w:pPr>
      <w:r>
        <w:rPr>
          <w:szCs w:val="24"/>
        </w:rPr>
        <w:t>LIMITATIONS AND FUTURE RESEARCH</w:t>
      </w:r>
    </w:p>
    <w:p w14:paraId="719CDC23">
      <w:pPr>
        <w:pStyle w:val="41"/>
        <w:ind w:firstLine="567"/>
        <w:rPr>
          <w:rFonts w:ascii="Times New Roman" w:hAnsi="Times New Roman"/>
          <w:color w:val="auto"/>
          <w:szCs w:val="22"/>
          <w:lang w:val="id-ID"/>
        </w:rPr>
      </w:pPr>
      <w:r>
        <w:rPr>
          <w:rFonts w:ascii="Times New Roman" w:hAnsi="Times New Roman"/>
          <w:color w:val="auto"/>
          <w:szCs w:val="22"/>
          <w:lang w:val="id-ID"/>
        </w:rPr>
        <w:t>Although this study demonstrates the feasibility and potential benefits of a blockchain-based B2B hotel venue booking platform for Indonesia’s MICE industry, several limitations should be acknowledged.</w:t>
      </w:r>
    </w:p>
    <w:p w14:paraId="29B6279F">
      <w:pPr>
        <w:pStyle w:val="41"/>
        <w:ind w:firstLine="567"/>
        <w:rPr>
          <w:rFonts w:ascii="Times New Roman" w:hAnsi="Times New Roman"/>
          <w:color w:val="auto"/>
          <w:szCs w:val="22"/>
          <w:lang w:val="id-ID"/>
        </w:rPr>
      </w:pPr>
      <w:r>
        <w:rPr>
          <w:rFonts w:ascii="Times New Roman" w:hAnsi="Times New Roman"/>
          <w:color w:val="auto"/>
          <w:szCs w:val="22"/>
          <w:lang w:val="id-ID"/>
        </w:rPr>
        <w:t>First, the evaluation was conducted using a proof-of-concept and minimum viable product implementation in a controlled environment. As a result, the findings primarily reflect system feasibility and workflow effectiveness rather than performance under large-scale, real-world deployment. Factors such as high transaction volumes, network congestion, and long-term operational stability were not examined in this study.</w:t>
      </w:r>
    </w:p>
    <w:p w14:paraId="4C1AD0CF">
      <w:pPr>
        <w:pStyle w:val="41"/>
        <w:ind w:firstLine="567"/>
        <w:rPr>
          <w:rFonts w:ascii="Times New Roman" w:hAnsi="Times New Roman"/>
          <w:color w:val="auto"/>
          <w:szCs w:val="22"/>
          <w:lang w:val="id-ID"/>
        </w:rPr>
      </w:pPr>
      <w:r>
        <w:rPr>
          <w:rFonts w:ascii="Times New Roman" w:hAnsi="Times New Roman"/>
          <w:color w:val="auto"/>
          <w:szCs w:val="22"/>
          <w:lang w:val="id-ID"/>
        </w:rPr>
        <w:t>Second, the proposed system was evaluated independently of existing hotel property management systems and enterprise resource planning platforms. Integration with legacy systems may introduce additional technical and organizational challenges that could affect adoption and system performance. These integration aspects were beyond the scope of the current research.</w:t>
      </w:r>
    </w:p>
    <w:p w14:paraId="391D4B29">
      <w:pPr>
        <w:pStyle w:val="41"/>
        <w:ind w:firstLine="567"/>
        <w:rPr>
          <w:rFonts w:ascii="Times New Roman" w:hAnsi="Times New Roman"/>
          <w:color w:val="auto"/>
          <w:szCs w:val="22"/>
          <w:lang w:val="id-ID"/>
        </w:rPr>
      </w:pPr>
      <w:r>
        <w:rPr>
          <w:rFonts w:ascii="Times New Roman" w:hAnsi="Times New Roman"/>
          <w:color w:val="auto"/>
          <w:szCs w:val="22"/>
          <w:lang w:val="id-ID"/>
        </w:rPr>
        <w:t>Third, while early stakeholder feedback indicated positive adoption intent, a formal longitudinal user study involving a broader range of hotels and corporate clients was not conducted. User behavior, organizational readiness, and regulatory considerations may influence adoption outcomes in practice.</w:t>
      </w:r>
    </w:p>
    <w:p w14:paraId="33D93185">
      <w:pPr>
        <w:pStyle w:val="41"/>
        <w:ind w:firstLine="567"/>
        <w:rPr>
          <w:bCs/>
          <w:szCs w:val="22"/>
        </w:rPr>
      </w:pPr>
      <w:r>
        <w:rPr>
          <w:rFonts w:ascii="Times New Roman" w:hAnsi="Times New Roman"/>
          <w:color w:val="auto"/>
          <w:szCs w:val="22"/>
          <w:lang w:val="id-ID"/>
        </w:rPr>
        <w:t>Future research can address these limitations by conducting large-scale pilot deployments involving multiple hotels and corporate organizations, integrating the platform with existing hotel management systems, and performing extended user acceptance and impact studies. Further investigation into regulatory compliance, interoperability with other digital procurement platforms, and economic impact analysis would also strengthen the applicability of blockchain-based solutions in the MICE hospitality sector.</w:t>
      </w:r>
    </w:p>
    <w:p w14:paraId="2E4D9C0D">
      <w:pPr>
        <w:pStyle w:val="51"/>
        <w:rPr>
          <w:szCs w:val="24"/>
        </w:rPr>
      </w:pPr>
      <w:r>
        <w:rPr>
          <w:szCs w:val="24"/>
        </w:rPr>
        <w:t>CONFLICT OF INTEREST</w:t>
      </w:r>
    </w:p>
    <w:p w14:paraId="7268654D">
      <w:pPr>
        <w:pStyle w:val="41"/>
        <w:rPr>
          <w:rFonts w:ascii="Times New Roman" w:hAnsi="Times New Roman"/>
          <w:color w:val="auto"/>
          <w:szCs w:val="22"/>
        </w:rPr>
      </w:pPr>
      <w:bookmarkStart w:id="0" w:name="_Hlk161060606"/>
      <w:r>
        <w:rPr>
          <w:rFonts w:ascii="Times New Roman" w:hAnsi="Times New Roman"/>
          <w:color w:val="auto"/>
          <w:szCs w:val="22"/>
        </w:rPr>
        <w:t>The authors declares that there is no conflict of interest between the authors or with research object in this paper.</w:t>
      </w:r>
      <w:bookmarkEnd w:id="0"/>
    </w:p>
    <w:p w14:paraId="2A033F39">
      <w:pPr>
        <w:pStyle w:val="52"/>
        <w:rPr>
          <w:szCs w:val="24"/>
        </w:rPr>
      </w:pPr>
      <w:r>
        <w:rPr>
          <w:szCs w:val="24"/>
        </w:rPr>
        <w:t>REFERENCES</w:t>
      </w:r>
    </w:p>
    <w:sdt>
      <w:sdtPr>
        <w:rPr>
          <w:rFonts w:ascii="Times New Roman" w:hAnsi="Times New Roman"/>
          <w:color w:val="000000"/>
          <w:sz w:val="20"/>
        </w:rPr>
        <w:tag w:val="MENDELEY_BIBLIOGRAPHY"/>
        <w:id w:val="144719828"/>
        <w:placeholder>
          <w:docPart w:val="DefaultPlaceholder_-1854013440"/>
        </w:placeholder>
      </w:sdtPr>
      <w:sdtEndPr>
        <w:rPr>
          <w:rFonts w:ascii="Times New Roman" w:hAnsi="Times New Roman" w:eastAsia="Times New Roman"/>
          <w:iCs/>
          <w:color w:val="000000"/>
          <w:sz w:val="20"/>
          <w:szCs w:val="24"/>
        </w:rPr>
      </w:sdtEndPr>
      <w:sdtContent>
        <w:p w14:paraId="2348C0CC">
          <w:pPr>
            <w:autoSpaceDE w:val="0"/>
            <w:autoSpaceDN w:val="0"/>
            <w:ind w:hanging="640"/>
            <w:rPr>
              <w:rFonts w:ascii="Times New Roman" w:hAnsi="Times New Roman" w:eastAsia="Times New Roman"/>
              <w:color w:val="000000"/>
              <w:sz w:val="20"/>
              <w:szCs w:val="24"/>
              <w:lang w:eastAsia="zh-CN"/>
            </w:rPr>
          </w:pPr>
          <w:r>
            <w:rPr>
              <w:rFonts w:ascii="Times New Roman" w:hAnsi="Times New Roman" w:eastAsia="Times New Roman"/>
              <w:color w:val="000000"/>
              <w:sz w:val="20"/>
            </w:rPr>
            <w:t>[1]</w:t>
          </w:r>
          <w:r>
            <w:rPr>
              <w:rFonts w:ascii="Times New Roman" w:hAnsi="Times New Roman" w:eastAsia="Times New Roman"/>
              <w:color w:val="000000"/>
              <w:sz w:val="20"/>
            </w:rPr>
            <w:tab/>
          </w:r>
          <w:r>
            <w:rPr>
              <w:rFonts w:ascii="Times New Roman" w:hAnsi="Times New Roman" w:eastAsia="Times New Roman"/>
              <w:color w:val="000000"/>
              <w:sz w:val="20"/>
            </w:rPr>
            <w:t xml:space="preserve">S. Rawat and M. Poonam, “Blockchain in Hotel Business,” </w:t>
          </w:r>
          <w:r>
            <w:rPr>
              <w:rFonts w:ascii="Times New Roman" w:hAnsi="Times New Roman" w:eastAsia="Times New Roman"/>
              <w:i/>
              <w:iCs/>
              <w:color w:val="000000"/>
              <w:sz w:val="20"/>
            </w:rPr>
            <w:t>Int J Res Appl Sci Eng Technol</w:t>
          </w:r>
          <w:r>
            <w:rPr>
              <w:rFonts w:ascii="Times New Roman" w:hAnsi="Times New Roman" w:eastAsia="Times New Roman"/>
              <w:color w:val="000000"/>
              <w:sz w:val="20"/>
            </w:rPr>
            <w:t>, vol. 11, pp. 1785–1788, Jun. 2023, doi: 10.22214/ijraset.2023.53891.</w:t>
          </w:r>
        </w:p>
        <w:p w14:paraId="39190D27">
          <w:pPr>
            <w:autoSpaceDE w:val="0"/>
            <w:autoSpaceDN w:val="0"/>
            <w:ind w:hanging="640"/>
            <w:rPr>
              <w:rFonts w:ascii="Times New Roman" w:hAnsi="Times New Roman" w:eastAsia="Times New Roman"/>
              <w:color w:val="000000"/>
              <w:sz w:val="20"/>
            </w:rPr>
          </w:pPr>
          <w:r>
            <w:rPr>
              <w:rFonts w:ascii="Times New Roman" w:hAnsi="Times New Roman" w:eastAsia="Times New Roman"/>
              <w:color w:val="000000"/>
              <w:sz w:val="20"/>
            </w:rPr>
            <w:t>[2]</w:t>
          </w:r>
          <w:r>
            <w:rPr>
              <w:rFonts w:ascii="Times New Roman" w:hAnsi="Times New Roman" w:eastAsia="Times New Roman"/>
              <w:color w:val="000000"/>
              <w:sz w:val="20"/>
            </w:rPr>
            <w:tab/>
          </w:r>
          <w:r>
            <w:rPr>
              <w:rFonts w:ascii="Times New Roman" w:hAnsi="Times New Roman" w:eastAsia="Times New Roman"/>
              <w:color w:val="000000"/>
              <w:sz w:val="20"/>
            </w:rPr>
            <w:t xml:space="preserve">R. Q. Danish, S. Hafeez, H. F. Ali, R. Shahid, and K. Nadeem, “Impact of online consumer reviews on hotel booking intentions: The case of Pakistan,” </w:t>
          </w:r>
          <w:r>
            <w:rPr>
              <w:rFonts w:ascii="Times New Roman" w:hAnsi="Times New Roman" w:eastAsia="Times New Roman"/>
              <w:i/>
              <w:iCs/>
              <w:color w:val="000000"/>
              <w:sz w:val="20"/>
            </w:rPr>
            <w:t>European Scientific Journal ESJ</w:t>
          </w:r>
          <w:r>
            <w:rPr>
              <w:rFonts w:ascii="Times New Roman" w:hAnsi="Times New Roman" w:eastAsia="Times New Roman"/>
              <w:color w:val="000000"/>
              <w:sz w:val="20"/>
            </w:rPr>
            <w:t>, vol. 15, no. 7, pp. 144–159, 2019.</w:t>
          </w:r>
        </w:p>
        <w:p w14:paraId="111A701B">
          <w:pPr>
            <w:autoSpaceDE w:val="0"/>
            <w:autoSpaceDN w:val="0"/>
            <w:ind w:hanging="640"/>
            <w:rPr>
              <w:rFonts w:ascii="Times New Roman" w:hAnsi="Times New Roman" w:eastAsia="Times New Roman"/>
              <w:color w:val="000000"/>
              <w:sz w:val="20"/>
            </w:rPr>
          </w:pPr>
          <w:r>
            <w:rPr>
              <w:rFonts w:ascii="Times New Roman" w:hAnsi="Times New Roman" w:eastAsia="Times New Roman"/>
              <w:color w:val="000000"/>
              <w:sz w:val="20"/>
            </w:rPr>
            <w:t>[3]</w:t>
          </w:r>
          <w:r>
            <w:rPr>
              <w:rFonts w:ascii="Times New Roman" w:hAnsi="Times New Roman" w:eastAsia="Times New Roman"/>
              <w:color w:val="000000"/>
              <w:sz w:val="20"/>
            </w:rPr>
            <w:tab/>
          </w:r>
          <w:r>
            <w:rPr>
              <w:rFonts w:ascii="Times New Roman" w:hAnsi="Times New Roman" w:eastAsia="Times New Roman"/>
              <w:color w:val="000000"/>
              <w:sz w:val="20"/>
            </w:rPr>
            <w:t>N. Papamatthaiou1 and A. N. Menegaki2, “Blockchain Technology Applications in Tourism: A review of applications, Barriers, and Strategic Horizons,” 2025. [Online]. Available: https://orcid.org/0000-0003-0506-1243</w:t>
          </w:r>
        </w:p>
        <w:p w14:paraId="3E4B749B">
          <w:pPr>
            <w:autoSpaceDE w:val="0"/>
            <w:autoSpaceDN w:val="0"/>
            <w:ind w:hanging="640"/>
            <w:rPr>
              <w:rFonts w:ascii="Times New Roman" w:hAnsi="Times New Roman" w:eastAsia="Times New Roman"/>
              <w:color w:val="000000"/>
              <w:sz w:val="20"/>
            </w:rPr>
          </w:pPr>
          <w:r>
            <w:rPr>
              <w:rFonts w:ascii="Times New Roman" w:hAnsi="Times New Roman" w:eastAsia="Times New Roman"/>
              <w:color w:val="000000"/>
              <w:sz w:val="20"/>
            </w:rPr>
            <w:t>[4]</w:t>
          </w:r>
          <w:r>
            <w:rPr>
              <w:rFonts w:ascii="Times New Roman" w:hAnsi="Times New Roman" w:eastAsia="Times New Roman"/>
              <w:color w:val="000000"/>
              <w:sz w:val="20"/>
            </w:rPr>
            <w:tab/>
          </w:r>
          <w:r>
            <w:rPr>
              <w:rFonts w:ascii="Times New Roman" w:hAnsi="Times New Roman" w:eastAsia="Times New Roman"/>
              <w:color w:val="000000"/>
              <w:sz w:val="20"/>
            </w:rPr>
            <w:t xml:space="preserve">N. Akhtar, U. I. Siddiqi, T. Islam, and J. Paul, “Consumers’ untrust and behavioral intentions in the backdrop of hotel booking attributes,” </w:t>
          </w:r>
          <w:r>
            <w:rPr>
              <w:rFonts w:ascii="Times New Roman" w:hAnsi="Times New Roman" w:eastAsia="Times New Roman"/>
              <w:i/>
              <w:iCs/>
              <w:color w:val="000000"/>
              <w:sz w:val="20"/>
            </w:rPr>
            <w:t>International Journal of Contemporary Hospitality Management</w:t>
          </w:r>
          <w:r>
            <w:rPr>
              <w:rFonts w:ascii="Times New Roman" w:hAnsi="Times New Roman" w:eastAsia="Times New Roman"/>
              <w:color w:val="000000"/>
              <w:sz w:val="20"/>
            </w:rPr>
            <w:t>, vol. 34, no. 5, pp. 2026–2047, 2022.</w:t>
          </w:r>
        </w:p>
        <w:p w14:paraId="6FC52C02">
          <w:pPr>
            <w:autoSpaceDE w:val="0"/>
            <w:autoSpaceDN w:val="0"/>
            <w:ind w:hanging="640"/>
            <w:rPr>
              <w:rFonts w:ascii="Times New Roman" w:hAnsi="Times New Roman" w:eastAsia="Times New Roman"/>
              <w:color w:val="000000"/>
              <w:sz w:val="20"/>
            </w:rPr>
          </w:pPr>
          <w:r>
            <w:rPr>
              <w:rFonts w:ascii="Times New Roman" w:hAnsi="Times New Roman" w:eastAsia="Times New Roman"/>
              <w:color w:val="000000"/>
              <w:sz w:val="20"/>
            </w:rPr>
            <w:t>[5]</w:t>
          </w:r>
          <w:r>
            <w:rPr>
              <w:rFonts w:ascii="Times New Roman" w:hAnsi="Times New Roman" w:eastAsia="Times New Roman"/>
              <w:color w:val="000000"/>
              <w:sz w:val="20"/>
            </w:rPr>
            <w:tab/>
          </w:r>
          <w:r>
            <w:rPr>
              <w:rFonts w:ascii="Times New Roman" w:hAnsi="Times New Roman" w:eastAsia="Times New Roman"/>
              <w:color w:val="000000"/>
              <w:sz w:val="20"/>
            </w:rPr>
            <w:t xml:space="preserve">E. Irannezhad and R. Mahadevan, “Is blockchain tourism’s new hope?,” </w:t>
          </w:r>
          <w:r>
            <w:rPr>
              <w:rFonts w:ascii="Times New Roman" w:hAnsi="Times New Roman" w:eastAsia="Times New Roman"/>
              <w:i/>
              <w:iCs/>
              <w:color w:val="000000"/>
              <w:sz w:val="20"/>
            </w:rPr>
            <w:t>Journal of Hospitality and Tourism Technology</w:t>
          </w:r>
          <w:r>
            <w:rPr>
              <w:rFonts w:ascii="Times New Roman" w:hAnsi="Times New Roman" w:eastAsia="Times New Roman"/>
              <w:color w:val="000000"/>
              <w:sz w:val="20"/>
            </w:rPr>
            <w:t>, vol. 12, no. 1, pp. 85–96, 2021.</w:t>
          </w:r>
        </w:p>
        <w:p w14:paraId="7A36306D">
          <w:pPr>
            <w:autoSpaceDE w:val="0"/>
            <w:autoSpaceDN w:val="0"/>
            <w:ind w:hanging="640"/>
            <w:rPr>
              <w:rFonts w:ascii="Times New Roman" w:hAnsi="Times New Roman" w:eastAsia="Times New Roman"/>
              <w:color w:val="000000"/>
              <w:sz w:val="20"/>
            </w:rPr>
          </w:pPr>
          <w:r>
            <w:rPr>
              <w:rFonts w:ascii="Times New Roman" w:hAnsi="Times New Roman" w:eastAsia="Times New Roman"/>
              <w:color w:val="000000"/>
              <w:sz w:val="20"/>
            </w:rPr>
            <w:t>[6]</w:t>
          </w:r>
          <w:r>
            <w:rPr>
              <w:rFonts w:ascii="Times New Roman" w:hAnsi="Times New Roman" w:eastAsia="Times New Roman"/>
              <w:color w:val="000000"/>
              <w:sz w:val="20"/>
            </w:rPr>
            <w:tab/>
          </w:r>
          <w:r>
            <w:rPr>
              <w:rFonts w:ascii="Times New Roman" w:hAnsi="Times New Roman" w:eastAsia="Times New Roman"/>
              <w:color w:val="000000"/>
              <w:sz w:val="20"/>
            </w:rPr>
            <w:t xml:space="preserve">F. Hossan, Md. T. Islam, and M. K. Hasan, “Blockchain technology in the hospitality sector: Exploring opportunities and challenges in Bangladeshi hotels,” </w:t>
          </w:r>
          <w:r>
            <w:rPr>
              <w:rFonts w:ascii="Times New Roman" w:hAnsi="Times New Roman" w:eastAsia="Times New Roman"/>
              <w:i/>
              <w:iCs/>
              <w:color w:val="000000"/>
              <w:sz w:val="20"/>
            </w:rPr>
            <w:t>Journal of Asian Business Strategy</w:t>
          </w:r>
          <w:r>
            <w:rPr>
              <w:rFonts w:ascii="Times New Roman" w:hAnsi="Times New Roman" w:eastAsia="Times New Roman"/>
              <w:color w:val="000000"/>
              <w:sz w:val="20"/>
            </w:rPr>
            <w:t>, vol. 15, no. 2, pp. 31–45, Sep. 2025, doi: 10.55493/5006.v15i2.5563.</w:t>
          </w:r>
        </w:p>
        <w:p w14:paraId="0BECAE6D">
          <w:pPr>
            <w:autoSpaceDE w:val="0"/>
            <w:autoSpaceDN w:val="0"/>
            <w:ind w:hanging="640"/>
            <w:rPr>
              <w:rFonts w:ascii="Times New Roman" w:hAnsi="Times New Roman" w:eastAsia="Times New Roman"/>
              <w:color w:val="000000"/>
              <w:sz w:val="20"/>
            </w:rPr>
          </w:pPr>
          <w:r>
            <w:rPr>
              <w:rFonts w:ascii="Times New Roman" w:hAnsi="Times New Roman" w:eastAsia="Times New Roman"/>
              <w:color w:val="000000"/>
              <w:sz w:val="20"/>
            </w:rPr>
            <w:t>[7]</w:t>
          </w:r>
          <w:r>
            <w:rPr>
              <w:rFonts w:ascii="Times New Roman" w:hAnsi="Times New Roman" w:eastAsia="Times New Roman"/>
              <w:color w:val="000000"/>
              <w:sz w:val="20"/>
            </w:rPr>
            <w:tab/>
          </w:r>
          <w:r>
            <w:rPr>
              <w:rFonts w:ascii="Times New Roman" w:hAnsi="Times New Roman" w:eastAsia="Times New Roman"/>
              <w:color w:val="000000"/>
              <w:sz w:val="20"/>
            </w:rPr>
            <w:t xml:space="preserve">Ö. Karaduman and G. Gülhas, “Blockchain-Enabled Supply Chain Management: A Review of Security, Traceability, and Data Integrity Amid the Evolving Systemic Demand.,” </w:t>
          </w:r>
          <w:r>
            <w:rPr>
              <w:rFonts w:ascii="Times New Roman" w:hAnsi="Times New Roman" w:eastAsia="Times New Roman"/>
              <w:i/>
              <w:iCs/>
              <w:color w:val="000000"/>
              <w:sz w:val="20"/>
            </w:rPr>
            <w:t>Applied Sciences (2076-3417)</w:t>
          </w:r>
          <w:r>
            <w:rPr>
              <w:rFonts w:ascii="Times New Roman" w:hAnsi="Times New Roman" w:eastAsia="Times New Roman"/>
              <w:color w:val="000000"/>
              <w:sz w:val="20"/>
            </w:rPr>
            <w:t>, vol. 15, no. 9, 2025.</w:t>
          </w:r>
        </w:p>
        <w:p w14:paraId="11EC4392">
          <w:pPr>
            <w:autoSpaceDE w:val="0"/>
            <w:autoSpaceDN w:val="0"/>
            <w:ind w:hanging="640"/>
            <w:rPr>
              <w:rFonts w:ascii="Times New Roman" w:hAnsi="Times New Roman" w:eastAsia="Times New Roman"/>
              <w:color w:val="000000"/>
              <w:sz w:val="20"/>
            </w:rPr>
          </w:pPr>
          <w:r>
            <w:rPr>
              <w:rFonts w:ascii="Times New Roman" w:hAnsi="Times New Roman" w:eastAsia="Times New Roman"/>
              <w:color w:val="000000"/>
              <w:sz w:val="20"/>
            </w:rPr>
            <w:t>[8]</w:t>
          </w:r>
          <w:r>
            <w:rPr>
              <w:rFonts w:ascii="Times New Roman" w:hAnsi="Times New Roman" w:eastAsia="Times New Roman"/>
              <w:color w:val="000000"/>
              <w:sz w:val="20"/>
            </w:rPr>
            <w:tab/>
          </w:r>
          <w:r>
            <w:rPr>
              <w:rFonts w:ascii="Times New Roman" w:hAnsi="Times New Roman" w:eastAsia="Times New Roman"/>
              <w:color w:val="000000"/>
              <w:sz w:val="20"/>
            </w:rPr>
            <w:t xml:space="preserve">A. K. Singh and V. R. Kumar, “Smart Contracts and Supply Chain Management Using Blockchain.,” </w:t>
          </w:r>
          <w:r>
            <w:rPr>
              <w:rFonts w:ascii="Times New Roman" w:hAnsi="Times New Roman" w:eastAsia="Times New Roman"/>
              <w:i/>
              <w:iCs/>
              <w:color w:val="000000"/>
              <w:sz w:val="20"/>
            </w:rPr>
            <w:t>Journal of Engineering Research (2307-1877)</w:t>
          </w:r>
          <w:r>
            <w:rPr>
              <w:rFonts w:ascii="Times New Roman" w:hAnsi="Times New Roman" w:eastAsia="Times New Roman"/>
              <w:color w:val="000000"/>
              <w:sz w:val="20"/>
            </w:rPr>
            <w:t>, 2022.</w:t>
          </w:r>
        </w:p>
        <w:p w14:paraId="2FE905D1">
          <w:pPr>
            <w:autoSpaceDE w:val="0"/>
            <w:autoSpaceDN w:val="0"/>
            <w:ind w:hanging="640"/>
            <w:rPr>
              <w:rFonts w:ascii="Times New Roman" w:hAnsi="Times New Roman" w:eastAsia="Times New Roman"/>
              <w:color w:val="000000"/>
              <w:sz w:val="20"/>
            </w:rPr>
          </w:pPr>
          <w:r>
            <w:rPr>
              <w:rFonts w:ascii="Times New Roman" w:hAnsi="Times New Roman" w:eastAsia="Times New Roman"/>
              <w:color w:val="000000"/>
              <w:sz w:val="20"/>
            </w:rPr>
            <w:t>[9]</w:t>
          </w:r>
          <w:r>
            <w:rPr>
              <w:rFonts w:ascii="Times New Roman" w:hAnsi="Times New Roman" w:eastAsia="Times New Roman"/>
              <w:color w:val="000000"/>
              <w:sz w:val="20"/>
            </w:rPr>
            <w:tab/>
          </w:r>
          <w:r>
            <w:rPr>
              <w:rFonts w:ascii="Times New Roman" w:hAnsi="Times New Roman" w:eastAsia="Times New Roman"/>
              <w:color w:val="000000"/>
              <w:sz w:val="20"/>
            </w:rPr>
            <w:t xml:space="preserve">Y. Maythu, A. O. J. Kwok, and P.-L. Teh, “Blockchain technology diffusion in tourism: Evidence from early enterprise adopters and innovators,” </w:t>
          </w:r>
          <w:r>
            <w:rPr>
              <w:rFonts w:ascii="Times New Roman" w:hAnsi="Times New Roman" w:eastAsia="Times New Roman"/>
              <w:i/>
              <w:iCs/>
              <w:color w:val="000000"/>
              <w:sz w:val="20"/>
            </w:rPr>
            <w:t>Heliyon</w:t>
          </w:r>
          <w:r>
            <w:rPr>
              <w:rFonts w:ascii="Times New Roman" w:hAnsi="Times New Roman" w:eastAsia="Times New Roman"/>
              <w:color w:val="000000"/>
              <w:sz w:val="20"/>
            </w:rPr>
            <w:t>, vol. 10, no. 2, 2024.</w:t>
          </w:r>
        </w:p>
        <w:p w14:paraId="1990EB3C">
          <w:pPr>
            <w:autoSpaceDE w:val="0"/>
            <w:autoSpaceDN w:val="0"/>
            <w:ind w:hanging="640"/>
            <w:rPr>
              <w:rFonts w:ascii="Times New Roman" w:hAnsi="Times New Roman" w:eastAsia="Times New Roman"/>
              <w:color w:val="000000"/>
              <w:sz w:val="20"/>
            </w:rPr>
          </w:pPr>
          <w:r>
            <w:rPr>
              <w:rFonts w:ascii="Times New Roman" w:hAnsi="Times New Roman" w:eastAsia="Times New Roman"/>
              <w:color w:val="000000"/>
              <w:sz w:val="20"/>
            </w:rPr>
            <w:t>[10]</w:t>
          </w:r>
          <w:r>
            <w:rPr>
              <w:rFonts w:ascii="Times New Roman" w:hAnsi="Times New Roman" w:eastAsia="Times New Roman"/>
              <w:color w:val="000000"/>
              <w:sz w:val="20"/>
            </w:rPr>
            <w:tab/>
          </w:r>
          <w:r>
            <w:rPr>
              <w:rFonts w:ascii="Times New Roman" w:hAnsi="Times New Roman" w:eastAsia="Times New Roman"/>
              <w:color w:val="000000"/>
              <w:sz w:val="20"/>
            </w:rPr>
            <w:t xml:space="preserve">N. Dong, G. Bai, L.-C. Huang, E. K. H. Lim, and J. S. Dong, “A blockchain-based decentralized booking system,” </w:t>
          </w:r>
          <w:r>
            <w:rPr>
              <w:rFonts w:ascii="Times New Roman" w:hAnsi="Times New Roman" w:eastAsia="Times New Roman"/>
              <w:i/>
              <w:iCs/>
              <w:color w:val="000000"/>
              <w:sz w:val="20"/>
            </w:rPr>
            <w:t>Knowl Eng Rev</w:t>
          </w:r>
          <w:r>
            <w:rPr>
              <w:rFonts w:ascii="Times New Roman" w:hAnsi="Times New Roman" w:eastAsia="Times New Roman"/>
              <w:color w:val="000000"/>
              <w:sz w:val="20"/>
            </w:rPr>
            <w:t>, vol. 35, p. e17, 2020.</w:t>
          </w:r>
        </w:p>
        <w:p w14:paraId="679D1B23">
          <w:pPr>
            <w:autoSpaceDE w:val="0"/>
            <w:autoSpaceDN w:val="0"/>
            <w:ind w:hanging="640"/>
            <w:rPr>
              <w:rFonts w:ascii="Times New Roman" w:hAnsi="Times New Roman" w:eastAsia="Times New Roman"/>
              <w:color w:val="000000"/>
              <w:sz w:val="20"/>
            </w:rPr>
          </w:pPr>
          <w:r>
            <w:rPr>
              <w:rFonts w:ascii="Times New Roman" w:hAnsi="Times New Roman" w:eastAsia="Times New Roman"/>
              <w:color w:val="000000"/>
              <w:sz w:val="20"/>
            </w:rPr>
            <w:t>[11]</w:t>
          </w:r>
          <w:r>
            <w:rPr>
              <w:rFonts w:ascii="Times New Roman" w:hAnsi="Times New Roman" w:eastAsia="Times New Roman"/>
              <w:color w:val="000000"/>
              <w:sz w:val="20"/>
            </w:rPr>
            <w:tab/>
          </w:r>
          <w:r>
            <w:rPr>
              <w:rFonts w:ascii="Times New Roman" w:hAnsi="Times New Roman" w:eastAsia="Times New Roman"/>
              <w:color w:val="000000"/>
              <w:sz w:val="20"/>
            </w:rPr>
            <w:t xml:space="preserve">E. Baydeniz, “Blockchain Technology in Tourism: Pioneering Sustainable and Collaborative Travel Experiences,” </w:t>
          </w:r>
          <w:r>
            <w:rPr>
              <w:rFonts w:ascii="Times New Roman" w:hAnsi="Times New Roman" w:eastAsia="Times New Roman"/>
              <w:i/>
              <w:iCs/>
              <w:color w:val="000000"/>
              <w:sz w:val="20"/>
            </w:rPr>
            <w:t>Journal of Tourismology</w:t>
          </w:r>
          <w:r>
            <w:rPr>
              <w:rFonts w:ascii="Times New Roman" w:hAnsi="Times New Roman" w:eastAsia="Times New Roman"/>
              <w:color w:val="000000"/>
              <w:sz w:val="20"/>
            </w:rPr>
            <w:t>, vol. 0, no. 0, pp. 0–0, Apr. 2024, doi: 10.26650/jot.2024.10.1.1312994.</w:t>
          </w:r>
        </w:p>
        <w:p w14:paraId="1126EC5A">
          <w:pPr>
            <w:autoSpaceDE w:val="0"/>
            <w:autoSpaceDN w:val="0"/>
            <w:ind w:hanging="640"/>
            <w:rPr>
              <w:rFonts w:ascii="Times New Roman" w:hAnsi="Times New Roman" w:eastAsia="Times New Roman"/>
              <w:color w:val="000000"/>
              <w:sz w:val="20"/>
            </w:rPr>
          </w:pPr>
          <w:r>
            <w:rPr>
              <w:rFonts w:ascii="Times New Roman" w:hAnsi="Times New Roman" w:eastAsia="Times New Roman"/>
              <w:color w:val="000000"/>
              <w:sz w:val="20"/>
            </w:rPr>
            <w:t>[12]</w:t>
          </w:r>
          <w:r>
            <w:rPr>
              <w:rFonts w:ascii="Times New Roman" w:hAnsi="Times New Roman" w:eastAsia="Times New Roman"/>
              <w:color w:val="000000"/>
              <w:sz w:val="20"/>
            </w:rPr>
            <w:tab/>
          </w:r>
          <w:r>
            <w:rPr>
              <w:rFonts w:ascii="Times New Roman" w:hAnsi="Times New Roman" w:eastAsia="Times New Roman"/>
              <w:color w:val="000000"/>
              <w:sz w:val="20"/>
            </w:rPr>
            <w:t xml:space="preserve">S. González-Mendes, F. García-Muiña, and R. González-Sánchez, “Blockchain revolution in the tourism industry: A semi-systematic literature review,” </w:t>
          </w:r>
          <w:r>
            <w:rPr>
              <w:rFonts w:ascii="Times New Roman" w:hAnsi="Times New Roman" w:eastAsia="Times New Roman"/>
              <w:i/>
              <w:iCs/>
              <w:color w:val="000000"/>
              <w:sz w:val="20"/>
            </w:rPr>
            <w:t>European Journal of Tourism Research</w:t>
          </w:r>
          <w:r>
            <w:rPr>
              <w:rFonts w:ascii="Times New Roman" w:hAnsi="Times New Roman" w:eastAsia="Times New Roman"/>
              <w:color w:val="000000"/>
              <w:sz w:val="20"/>
            </w:rPr>
            <w:t>, vol. 37, p. 3701, 2024.</w:t>
          </w:r>
        </w:p>
        <w:p w14:paraId="1D45FBFC">
          <w:pPr>
            <w:autoSpaceDE w:val="0"/>
            <w:autoSpaceDN w:val="0"/>
            <w:ind w:hanging="640"/>
            <w:rPr>
              <w:rFonts w:ascii="Times New Roman" w:hAnsi="Times New Roman" w:eastAsia="Times New Roman"/>
              <w:color w:val="000000"/>
              <w:sz w:val="20"/>
            </w:rPr>
          </w:pPr>
          <w:r>
            <w:rPr>
              <w:rFonts w:ascii="Times New Roman" w:hAnsi="Times New Roman" w:eastAsia="Times New Roman"/>
              <w:color w:val="000000"/>
              <w:sz w:val="20"/>
            </w:rPr>
            <w:t>[13]</w:t>
          </w:r>
          <w:r>
            <w:rPr>
              <w:rFonts w:ascii="Times New Roman" w:hAnsi="Times New Roman" w:eastAsia="Times New Roman"/>
              <w:color w:val="000000"/>
              <w:sz w:val="20"/>
            </w:rPr>
            <w:tab/>
          </w:r>
          <w:r>
            <w:rPr>
              <w:rFonts w:ascii="Times New Roman" w:hAnsi="Times New Roman" w:eastAsia="Times New Roman"/>
              <w:color w:val="000000"/>
              <w:sz w:val="20"/>
            </w:rPr>
            <w:t xml:space="preserve">R. Folgieri, S. Gričar, and T. Baldigara, “Blockchain and NFTs in Tourism: Trending Paradigm for Sustainable Growth and Digital Transformation,” </w:t>
          </w:r>
          <w:r>
            <w:rPr>
              <w:rFonts w:ascii="Times New Roman" w:hAnsi="Times New Roman" w:eastAsia="Times New Roman"/>
              <w:i/>
              <w:iCs/>
              <w:color w:val="000000"/>
              <w:sz w:val="20"/>
            </w:rPr>
            <w:t>Sustainability (Switzerland)</w:t>
          </w:r>
          <w:r>
            <w:rPr>
              <w:rFonts w:ascii="Times New Roman" w:hAnsi="Times New Roman" w:eastAsia="Times New Roman"/>
              <w:color w:val="000000"/>
              <w:sz w:val="20"/>
            </w:rPr>
            <w:t>, vol. 17, no. 7, Apr. 2025, doi: 10.3390/su17072976.</w:t>
          </w:r>
        </w:p>
        <w:p w14:paraId="20E0AA5F">
          <w:pPr>
            <w:autoSpaceDE w:val="0"/>
            <w:autoSpaceDN w:val="0"/>
            <w:ind w:hanging="640"/>
            <w:rPr>
              <w:rFonts w:ascii="Times New Roman" w:hAnsi="Times New Roman" w:eastAsia="Times New Roman"/>
              <w:color w:val="000000"/>
              <w:sz w:val="20"/>
            </w:rPr>
          </w:pPr>
          <w:r>
            <w:rPr>
              <w:rFonts w:ascii="Times New Roman" w:hAnsi="Times New Roman" w:eastAsia="Times New Roman"/>
              <w:color w:val="000000"/>
              <w:sz w:val="20"/>
            </w:rPr>
            <w:t>[14]</w:t>
          </w:r>
          <w:r>
            <w:rPr>
              <w:rFonts w:ascii="Times New Roman" w:hAnsi="Times New Roman" w:eastAsia="Times New Roman"/>
              <w:color w:val="000000"/>
              <w:sz w:val="20"/>
            </w:rPr>
            <w:tab/>
          </w:r>
          <w:r>
            <w:rPr>
              <w:rFonts w:ascii="Times New Roman" w:hAnsi="Times New Roman" w:eastAsia="Times New Roman"/>
              <w:color w:val="000000"/>
              <w:sz w:val="20"/>
            </w:rPr>
            <w:t>H. Mulyono, “ENHANCING TRANSPARENCY AND EFFICIENCY IN DIGITAL BUSINESS THROUGH BLOCKCHAIN TECHNOLOGY,” 2024. [Online]. Available: https://journal.dinamikapublika.id/index.php/aira</w:t>
          </w:r>
        </w:p>
        <w:p w14:paraId="65F4BE59">
          <w:pPr>
            <w:autoSpaceDE w:val="0"/>
            <w:autoSpaceDN w:val="0"/>
            <w:ind w:hanging="640"/>
            <w:rPr>
              <w:rFonts w:ascii="Times New Roman" w:hAnsi="Times New Roman" w:eastAsia="Times New Roman"/>
              <w:color w:val="000000"/>
              <w:sz w:val="20"/>
            </w:rPr>
          </w:pPr>
          <w:r>
            <w:rPr>
              <w:rFonts w:ascii="Times New Roman" w:hAnsi="Times New Roman" w:eastAsia="Times New Roman"/>
              <w:color w:val="000000"/>
              <w:sz w:val="20"/>
            </w:rPr>
            <w:t>[15]</w:t>
          </w:r>
          <w:r>
            <w:rPr>
              <w:rFonts w:ascii="Times New Roman" w:hAnsi="Times New Roman" w:eastAsia="Times New Roman"/>
              <w:color w:val="000000"/>
              <w:sz w:val="20"/>
            </w:rPr>
            <w:tab/>
          </w:r>
          <w:r>
            <w:rPr>
              <w:rFonts w:ascii="Times New Roman" w:hAnsi="Times New Roman" w:eastAsia="Times New Roman"/>
              <w:color w:val="000000"/>
              <w:sz w:val="20"/>
            </w:rPr>
            <w:t xml:space="preserve">E. Demirel, S. Karagöz Zeren, and K. Hakan, “Smart contracts in tourism industry: a model with blockchain integration for post pandemic economy,” </w:t>
          </w:r>
          <w:r>
            <w:rPr>
              <w:rFonts w:ascii="Times New Roman" w:hAnsi="Times New Roman" w:eastAsia="Times New Roman"/>
              <w:i/>
              <w:iCs/>
              <w:color w:val="000000"/>
              <w:sz w:val="20"/>
            </w:rPr>
            <w:t>Current Issues in Tourism</w:t>
          </w:r>
          <w:r>
            <w:rPr>
              <w:rFonts w:ascii="Times New Roman" w:hAnsi="Times New Roman" w:eastAsia="Times New Roman"/>
              <w:color w:val="000000"/>
              <w:sz w:val="20"/>
            </w:rPr>
            <w:t>, vol. 25, no. 12, pp. 1895–1909, 2022.</w:t>
          </w:r>
        </w:p>
        <w:p w14:paraId="7937533D">
          <w:pPr>
            <w:autoSpaceDE w:val="0"/>
            <w:autoSpaceDN w:val="0"/>
            <w:ind w:hanging="640"/>
            <w:rPr>
              <w:rFonts w:ascii="Times New Roman" w:hAnsi="Times New Roman" w:eastAsia="Times New Roman"/>
              <w:color w:val="000000"/>
              <w:sz w:val="20"/>
            </w:rPr>
          </w:pPr>
          <w:r>
            <w:rPr>
              <w:rFonts w:ascii="Times New Roman" w:hAnsi="Times New Roman" w:eastAsia="Times New Roman"/>
              <w:color w:val="000000"/>
              <w:sz w:val="20"/>
            </w:rPr>
            <w:t>[16]</w:t>
          </w:r>
          <w:r>
            <w:rPr>
              <w:rFonts w:ascii="Times New Roman" w:hAnsi="Times New Roman" w:eastAsia="Times New Roman"/>
              <w:color w:val="000000"/>
              <w:sz w:val="20"/>
            </w:rPr>
            <w:tab/>
          </w:r>
          <w:r>
            <w:rPr>
              <w:rFonts w:ascii="Times New Roman" w:hAnsi="Times New Roman" w:eastAsia="Times New Roman"/>
              <w:color w:val="000000"/>
              <w:sz w:val="20"/>
            </w:rPr>
            <w:t xml:space="preserve">Y. Xu, H.-Y. Chong, and M. Chi, “A review of smart contracts applications in various industries: a procurement perspective,” </w:t>
          </w:r>
          <w:r>
            <w:rPr>
              <w:rFonts w:ascii="Times New Roman" w:hAnsi="Times New Roman" w:eastAsia="Times New Roman"/>
              <w:i/>
              <w:iCs/>
              <w:color w:val="000000"/>
              <w:sz w:val="20"/>
            </w:rPr>
            <w:t>Advances in Civil Engineering</w:t>
          </w:r>
          <w:r>
            <w:rPr>
              <w:rFonts w:ascii="Times New Roman" w:hAnsi="Times New Roman" w:eastAsia="Times New Roman"/>
              <w:color w:val="000000"/>
              <w:sz w:val="20"/>
            </w:rPr>
            <w:t>, vol. 2021, no. 1, p. 5530755, 2021.</w:t>
          </w:r>
        </w:p>
        <w:p w14:paraId="5A81557A">
          <w:pPr>
            <w:autoSpaceDE w:val="0"/>
            <w:autoSpaceDN w:val="0"/>
            <w:ind w:hanging="640"/>
            <w:rPr>
              <w:rFonts w:ascii="Times New Roman" w:hAnsi="Times New Roman" w:eastAsia="Times New Roman"/>
              <w:color w:val="000000"/>
              <w:sz w:val="20"/>
            </w:rPr>
          </w:pPr>
          <w:r>
            <w:rPr>
              <w:rFonts w:ascii="Times New Roman" w:hAnsi="Times New Roman" w:eastAsia="Times New Roman"/>
              <w:color w:val="000000"/>
              <w:sz w:val="20"/>
            </w:rPr>
            <w:t>[17]</w:t>
          </w:r>
          <w:r>
            <w:rPr>
              <w:rFonts w:ascii="Times New Roman" w:hAnsi="Times New Roman" w:eastAsia="Times New Roman"/>
              <w:color w:val="000000"/>
              <w:sz w:val="20"/>
            </w:rPr>
            <w:tab/>
          </w:r>
          <w:r>
            <w:rPr>
              <w:rFonts w:ascii="Times New Roman" w:hAnsi="Times New Roman" w:eastAsia="Times New Roman"/>
              <w:color w:val="000000"/>
              <w:sz w:val="20"/>
            </w:rPr>
            <w:t xml:space="preserve">C. Antal, T. Cioara, I. Anghel, M. Antal, and I. Salomie, “Distributed ledger technology review and decentralized applications development guidelines,” </w:t>
          </w:r>
          <w:r>
            <w:rPr>
              <w:rFonts w:ascii="Times New Roman" w:hAnsi="Times New Roman" w:eastAsia="Times New Roman"/>
              <w:i/>
              <w:iCs/>
              <w:color w:val="000000"/>
              <w:sz w:val="20"/>
            </w:rPr>
            <w:t>Future Internet</w:t>
          </w:r>
          <w:r>
            <w:rPr>
              <w:rFonts w:ascii="Times New Roman" w:hAnsi="Times New Roman" w:eastAsia="Times New Roman"/>
              <w:color w:val="000000"/>
              <w:sz w:val="20"/>
            </w:rPr>
            <w:t>, vol. 13, no. 3, p. 62, 2021.</w:t>
          </w:r>
        </w:p>
        <w:p w14:paraId="599D381C">
          <w:pPr>
            <w:pStyle w:val="53"/>
            <w:ind w:left="540" w:hanging="540"/>
            <w:rPr>
              <w:rFonts w:ascii="Times New Roman" w:hAnsi="Times New Roman"/>
            </w:rPr>
          </w:pPr>
          <w:r>
            <w:rPr>
              <w:rFonts w:ascii="Times New Roman" w:hAnsi="Times New Roman"/>
            </w:rPr>
            <w:t> </w:t>
          </w:r>
        </w:p>
      </w:sdtContent>
    </w:sdt>
    <w:sectPr>
      <w:headerReference r:id="rId5" w:type="default"/>
      <w:footerReference r:id="rId6" w:type="default"/>
      <w:pgSz w:w="11906" w:h="16838"/>
      <w:pgMar w:top="1418" w:right="1418" w:bottom="1134" w:left="1418" w:header="720" w:footer="720" w:gutter="0"/>
      <w:pgNumType w:start="153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Garamond">
    <w:panose1 w:val="02020404030301010803"/>
    <w:charset w:val="00"/>
    <w:family w:val="roman"/>
    <w:pitch w:val="default"/>
    <w:sig w:usb0="00000287" w:usb1="00000000" w:usb2="00000000" w:usb3="00000000" w:csb0="0000009F" w:csb1="DFD70000"/>
  </w:font>
  <w:font w:name="MS Mincho">
    <w:altName w:val="Yu Gothic UI"/>
    <w:panose1 w:val="02020609040205080304"/>
    <w:charset w:val="80"/>
    <w:family w:val="modern"/>
    <w:pitch w:val="default"/>
    <w:sig w:usb0="00000000" w:usb1="00000000" w:usb2="08000012" w:usb3="00000000" w:csb0="0002009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FreeSans">
    <w:altName w:val="Times New Roman"/>
    <w:panose1 w:val="00000000000000000000"/>
    <w:charset w:val="01"/>
    <w:family w:val="auto"/>
    <w:pitch w:val="default"/>
    <w:sig w:usb0="00000000" w:usb1="00000000" w:usb2="00000000" w:usb3="00000000" w:csb0="00000000" w:csb1="00000000"/>
  </w:font>
  <w:font w:name="Palatino Linotype">
    <w:panose1 w:val="02040502050505030304"/>
    <w:charset w:val="00"/>
    <w:family w:val="roman"/>
    <w:pitch w:val="default"/>
    <w:sig w:usb0="E0000287" w:usb1="40000013" w:usb2="00000000" w:usb3="00000000" w:csb0="2000019F" w:csb1="00000000"/>
  </w:font>
  <w:font w:name="Liberation Sans">
    <w:altName w:val="Segoe Print"/>
    <w:panose1 w:val="00000000000000000000"/>
    <w:charset w:val="00"/>
    <w:family w:val="swiss"/>
    <w:pitch w:val="default"/>
    <w:sig w:usb0="00000000" w:usb1="00000000" w:usb2="00000021" w:usb3="00000000" w:csb0="000001BF" w:csb1="00000000"/>
  </w:font>
  <w:font w:name="Droid Sans Fallback">
    <w:altName w:val="Segoe Print"/>
    <w:panose1 w:val="00000000000000000000"/>
    <w:charset w:val="01"/>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BatangChe">
    <w:altName w:val="Malgun Gothic"/>
    <w:panose1 w:val="00000000000000000000"/>
    <w:charset w:val="81"/>
    <w:family w:val="modern"/>
    <w:pitch w:val="default"/>
    <w:sig w:usb0="00000000" w:usb1="00000000"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sz w:val="20"/>
        <w:szCs w:val="20"/>
      </w:rPr>
      <w:id w:val="-1577132761"/>
    </w:sdtPr>
    <w:sdtEndPr>
      <w:rPr>
        <w:rFonts w:ascii="Times New Roman" w:hAnsi="Times New Roman"/>
        <w:sz w:val="20"/>
        <w:szCs w:val="20"/>
      </w:rPr>
    </w:sdtEndPr>
    <w:sdtContent>
      <w:p w14:paraId="64EC7C67">
        <w:pPr>
          <w:pStyle w:val="22"/>
          <w:pBdr>
            <w:top w:val="single" w:color="auto" w:sz="4" w:space="1"/>
          </w:pBdr>
          <w:tabs>
            <w:tab w:val="left" w:pos="210"/>
            <w:tab w:val="right" w:pos="9071"/>
          </w:tabs>
          <w:rPr>
            <w:rFonts w:ascii="Times New Roman" w:hAnsi="Times New Roman"/>
            <w:sz w:val="20"/>
            <w:szCs w:val="20"/>
          </w:rPr>
        </w:pPr>
        <w:r>
          <w:rPr>
            <w:rFonts w:asciiTheme="majorHAnsi" w:hAnsiTheme="majorHAnsi" w:eastAsiaTheme="majorEastAsia" w:cstheme="majorBidi"/>
            <w:sz w:val="28"/>
            <w:szCs w:val="28"/>
          </w:rPr>
          <mc:AlternateContent>
            <mc:Choice Requires="wps">
              <w:drawing>
                <wp:anchor distT="0" distB="0" distL="114300" distR="114300" simplePos="0" relativeHeight="251659264" behindDoc="0" locked="0" layoutInCell="1" allowOverlap="1">
                  <wp:simplePos x="0" y="0"/>
                  <wp:positionH relativeFrom="margin">
                    <wp:posOffset>2564765</wp:posOffset>
                  </wp:positionH>
                  <wp:positionV relativeFrom="bottomMargin">
                    <wp:posOffset>167640</wp:posOffset>
                  </wp:positionV>
                  <wp:extent cx="512445" cy="381000"/>
                  <wp:effectExtent l="0" t="0" r="0" b="0"/>
                  <wp:wrapNone/>
                  <wp:docPr id="495750564" name="Flowchart: Alternate Process 4"/>
                  <wp:cNvGraphicFramePr/>
                  <a:graphic xmlns:a="http://schemas.openxmlformats.org/drawingml/2006/main">
                    <a:graphicData uri="http://schemas.microsoft.com/office/word/2010/wordprocessingShape">
                      <wps:wsp>
                        <wps:cNvSpPr>
                          <a:spLocks noChangeArrowheads="1"/>
                        </wps:cNvSpPr>
                        <wps:spPr bwMode="auto">
                          <a:xfrm>
                            <a:off x="0" y="0"/>
                            <a:ext cx="512445" cy="381000"/>
                          </a:xfrm>
                          <a:prstGeom prst="flowChartAlternateProcess">
                            <a:avLst/>
                          </a:prstGeom>
                          <a:noFill/>
                          <a:ln>
                            <a:noFill/>
                          </a:ln>
                        </wps:spPr>
                        <wps:txbx>
                          <w:txbxContent>
                            <w:p w14:paraId="7B754677">
                              <w:pPr>
                                <w:pStyle w:val="22"/>
                                <w:pBdr>
                                  <w:top w:val="single" w:color="A5A5A5" w:themeColor="accent3" w:sz="12" w:space="1"/>
                                  <w:bottom w:val="single" w:color="A5A5A5" w:themeColor="accent3" w:sz="48" w:space="1"/>
                                </w:pBdr>
                                <w:jc w:val="cen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2</w:t>
                              </w:r>
                              <w:r>
                                <w:rPr>
                                  <w:sz w:val="24"/>
                                  <w:szCs w:val="24"/>
                                </w:rPr>
                                <w:fldChar w:fldCharType="end"/>
                              </w:r>
                            </w:p>
                          </w:txbxContent>
                        </wps:txbx>
                        <wps:bodyPr rot="0" vert="horz" wrap="square" lIns="91440" tIns="45720" rIns="91440" bIns="45720" anchor="t" anchorCtr="0" upright="1">
                          <a:noAutofit/>
                        </wps:bodyPr>
                      </wps:wsp>
                    </a:graphicData>
                  </a:graphic>
                </wp:anchor>
              </w:drawing>
            </mc:Choice>
            <mc:Fallback>
              <w:pict>
                <v:shape id="Flowchart: Alternate Process 4" o:spid="_x0000_s1026" o:spt="176" type="#_x0000_t176" style="position:absolute;left:0pt;margin-left:272.85pt;margin-top:798.4pt;height:30pt;width:40.35pt;mso-position-horizontal-relative:page;mso-position-vertical-relative:page;z-index:251659264;mso-width-relative:page;mso-height-relative:page;" filled="f" stroked="f" coordsize="21600,21600" o:gfxdata="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zs4fNgAAAAJ&#10;AQAADwAAAAAAAAABACAAAAAiAAAAZHJzL2Rvd25yZXYueG1sUEsBAhQAFAAAAAgAh07iQB81/ykc&#10;AgAAOgQAAA4AAAAAAAAAAQAgAAAAJwEAAGRycy9lMm9Eb2MueG1sUEsFBgAAAAAGAAYAWQEAALUF&#10;AAAAAA==&#10;">
                  <v:fill on="f" focussize="0,0"/>
                  <v:stroke on="f"/>
                  <v:imagedata o:title=""/>
                  <o:lock v:ext="edit" aspectratio="f"/>
                  <v:textbox>
                    <w:txbxContent>
                      <w:p w14:paraId="7B754677">
                        <w:pPr>
                          <w:pStyle w:val="22"/>
                          <w:pBdr>
                            <w:top w:val="single" w:color="A5A5A5" w:themeColor="accent3" w:sz="12" w:space="1"/>
                            <w:bottom w:val="single" w:color="A5A5A5" w:themeColor="accent3" w:sz="48" w:space="1"/>
                          </w:pBdr>
                          <w:jc w:val="cen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2</w:t>
                        </w:r>
                        <w:r>
                          <w:rPr>
                            <w:sz w:val="24"/>
                            <w:szCs w:val="24"/>
                          </w:rPr>
                          <w:fldChar w:fldCharType="end"/>
                        </w:r>
                      </w:p>
                    </w:txbxContent>
                  </v:textbox>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D525C">
    <w:pPr>
      <w:pStyle w:val="23"/>
      <w:tabs>
        <w:tab w:val="center" w:pos="4395"/>
        <w:tab w:val="clear" w:pos="4680"/>
      </w:tabs>
      <w:rPr>
        <w:rFonts w:ascii="Times New Roman" w:hAnsi="Times New Roman"/>
        <w:sz w:val="24"/>
        <w:szCs w:val="24"/>
      </w:rPr>
    </w:pPr>
    <w:r>
      <w:rPr>
        <w:rFonts w:ascii="Times New Roman" w:hAnsi="Times New Roman"/>
        <w:b/>
        <w:bCs/>
        <w:sz w:val="24"/>
        <w:szCs w:val="24"/>
        <w:lang w:val="zh-CN" w:eastAsia="zh-CN"/>
      </w:rPr>
      <w:t>Jurnal Teknik Informatika (JUTIF)</w:t>
    </w:r>
    <w:r>
      <w:rPr>
        <w:rFonts w:ascii="Times New Roman" w:hAnsi="Times New Roman"/>
        <w:b/>
        <w:bCs/>
        <w:sz w:val="24"/>
        <w:szCs w:val="24"/>
        <w:lang w:val="zh-CN" w:eastAsia="zh-CN"/>
      </w:rPr>
      <w:tab/>
    </w:r>
    <w:r>
      <w:rPr>
        <w:rFonts w:ascii="Times New Roman" w:hAnsi="Times New Roman"/>
        <w:b/>
        <w:bCs/>
        <w:sz w:val="24"/>
        <w:szCs w:val="24"/>
        <w:lang w:val="zh-CN" w:eastAsia="zh-CN"/>
      </w:rPr>
      <w:tab/>
    </w:r>
    <w:r>
      <w:rPr>
        <w:rFonts w:ascii="Times New Roman" w:hAnsi="Times New Roman"/>
        <w:sz w:val="20"/>
        <w:szCs w:val="20"/>
        <w:lang w:val="id-ID"/>
      </w:rPr>
      <w:t xml:space="preserve">Vol. </w:t>
    </w:r>
    <w:r>
      <w:rPr>
        <w:rFonts w:ascii="Times New Roman" w:hAnsi="Times New Roman"/>
        <w:sz w:val="20"/>
        <w:szCs w:val="20"/>
      </w:rPr>
      <w:t>6</w:t>
    </w:r>
    <w:r>
      <w:rPr>
        <w:rFonts w:ascii="Times New Roman" w:hAnsi="Times New Roman"/>
        <w:sz w:val="20"/>
        <w:szCs w:val="20"/>
        <w:lang w:val="id-ID"/>
      </w:rPr>
      <w:t xml:space="preserve">, No. </w:t>
    </w:r>
    <w:r>
      <w:rPr>
        <w:rFonts w:ascii="Times New Roman" w:hAnsi="Times New Roman"/>
        <w:sz w:val="20"/>
        <w:szCs w:val="20"/>
      </w:rPr>
      <w:t>6</w:t>
    </w:r>
    <w:r>
      <w:rPr>
        <w:rFonts w:ascii="Times New Roman" w:hAnsi="Times New Roman"/>
        <w:sz w:val="20"/>
        <w:szCs w:val="20"/>
        <w:lang w:val="id-ID"/>
      </w:rPr>
      <w:t xml:space="preserve">, </w:t>
    </w:r>
    <w:r>
      <w:rPr>
        <w:rFonts w:ascii="Times New Roman" w:hAnsi="Times New Roman"/>
        <w:sz w:val="20"/>
        <w:szCs w:val="20"/>
      </w:rPr>
      <w:t xml:space="preserve">December </w:t>
    </w:r>
    <w:r>
      <w:rPr>
        <w:rFonts w:ascii="Times New Roman" w:hAnsi="Times New Roman"/>
        <w:sz w:val="20"/>
        <w:szCs w:val="20"/>
        <w:lang w:val="id-ID"/>
      </w:rPr>
      <w:t>202</w:t>
    </w:r>
    <w:r>
      <w:rPr>
        <w:rFonts w:ascii="Times New Roman" w:hAnsi="Times New Roman"/>
        <w:sz w:val="20"/>
        <w:szCs w:val="20"/>
      </w:rPr>
      <w:t>5</w:t>
    </w:r>
    <w:r>
      <w:rPr>
        <w:rFonts w:ascii="Times New Roman" w:hAnsi="Times New Roman"/>
        <w:sz w:val="20"/>
        <w:szCs w:val="20"/>
        <w:lang w:val="id-ID"/>
      </w:rPr>
      <w:t xml:space="preserve">, </w:t>
    </w:r>
    <w:r>
      <w:rPr>
        <w:rFonts w:ascii="Times New Roman" w:hAnsi="Times New Roman"/>
        <w:sz w:val="20"/>
        <w:szCs w:val="20"/>
      </w:rPr>
      <w:t>Page</w:t>
    </w:r>
    <w:r>
      <w:rPr>
        <w:rFonts w:ascii="Times New Roman" w:hAnsi="Times New Roman"/>
        <w:sz w:val="20"/>
        <w:szCs w:val="20"/>
        <w:lang w:val="id-ID"/>
      </w:rPr>
      <w:t xml:space="preserve">. </w:t>
    </w:r>
    <w:r>
      <w:rPr>
        <w:rFonts w:ascii="Times New Roman" w:hAnsi="Times New Roman"/>
        <w:sz w:val="20"/>
        <w:szCs w:val="20"/>
      </w:rPr>
      <w:t>1530</w:t>
    </w:r>
    <w:r>
      <w:rPr>
        <w:rFonts w:ascii="Times New Roman" w:hAnsi="Times New Roman"/>
        <w:sz w:val="20"/>
        <w:szCs w:val="20"/>
        <w:lang w:val="id-ID"/>
      </w:rPr>
      <w:t>-</w:t>
    </w:r>
    <w:r>
      <w:rPr>
        <w:rFonts w:ascii="Times New Roman" w:hAnsi="Times New Roman"/>
        <w:sz w:val="20"/>
        <w:szCs w:val="20"/>
      </w:rPr>
      <w:t>1537</w:t>
    </w:r>
  </w:p>
  <w:p w14:paraId="055D780E">
    <w:pPr>
      <w:pStyle w:val="23"/>
      <w:pBdr>
        <w:bottom w:val="single" w:color="auto" w:sz="4" w:space="1"/>
      </w:pBdr>
      <w:tabs>
        <w:tab w:val="center" w:pos="4770"/>
        <w:tab w:val="clear" w:pos="4680"/>
      </w:tabs>
      <w:rPr>
        <w:rFonts w:ascii="Times New Roman" w:hAnsi="Times New Roman"/>
        <w:sz w:val="20"/>
        <w:szCs w:val="20"/>
      </w:rPr>
    </w:pPr>
    <w:r>
      <w:rPr>
        <w:rFonts w:ascii="Times New Roman" w:hAnsi="Times New Roman"/>
        <w:sz w:val="20"/>
        <w:szCs w:val="20"/>
      </w:rPr>
      <w:t>P-ISSN: 2723-3863</w:t>
    </w:r>
    <w:r>
      <w:rPr>
        <w:rFonts w:ascii="Times New Roman" w:hAnsi="Times New Roman"/>
        <w:bCs/>
        <w:sz w:val="20"/>
        <w:szCs w:val="20"/>
      </w:rPr>
      <w:tab/>
    </w:r>
    <w:r>
      <w:rPr>
        <w:rFonts w:ascii="Times New Roman" w:hAnsi="Times New Roman"/>
        <w:bCs/>
        <w:sz w:val="20"/>
        <w:szCs w:val="20"/>
      </w:rPr>
      <w:tab/>
    </w:r>
    <w:r>
      <w:fldChar w:fldCharType="begin"/>
    </w:r>
    <w:r>
      <w:instrText xml:space="preserve"> HYPERLINK "https://jutif.if.unsoed.ac.id" </w:instrText>
    </w:r>
    <w:r>
      <w:fldChar w:fldCharType="separate"/>
    </w:r>
    <w:r>
      <w:rPr>
        <w:rStyle w:val="25"/>
        <w:rFonts w:ascii="Times New Roman" w:hAnsi="Times New Roman"/>
        <w:sz w:val="20"/>
        <w:szCs w:val="20"/>
      </w:rPr>
      <w:t>https://jutif.if.unsoed.ac.id</w:t>
    </w:r>
    <w:r>
      <w:rPr>
        <w:rStyle w:val="25"/>
        <w:rFonts w:ascii="Times New Roman" w:hAnsi="Times New Roman"/>
        <w:sz w:val="20"/>
        <w:szCs w:val="20"/>
      </w:rPr>
      <w:fldChar w:fldCharType="end"/>
    </w:r>
    <w:r>
      <w:rPr>
        <w:rFonts w:ascii="Times New Roman" w:hAnsi="Times New Roman"/>
        <w:bCs/>
        <w:sz w:val="20"/>
        <w:szCs w:val="20"/>
      </w:rPr>
      <w:t xml:space="preserve">                                      </w:t>
    </w:r>
  </w:p>
  <w:p w14:paraId="6DD36263">
    <w:pPr>
      <w:pStyle w:val="23"/>
      <w:pBdr>
        <w:bottom w:val="single" w:color="auto" w:sz="4" w:space="1"/>
      </w:pBdr>
      <w:tabs>
        <w:tab w:val="center" w:pos="4770"/>
        <w:tab w:val="clear" w:pos="4680"/>
      </w:tabs>
      <w:spacing w:line="360" w:lineRule="auto"/>
      <w:rPr>
        <w:rFonts w:ascii="Times New Roman" w:hAnsi="Times New Roman"/>
        <w:sz w:val="20"/>
        <w:szCs w:val="20"/>
      </w:rPr>
    </w:pPr>
    <w:r>
      <w:rPr>
        <w:rFonts w:ascii="Times New Roman" w:hAnsi="Times New Roman"/>
        <w:sz w:val="20"/>
        <w:szCs w:val="20"/>
      </w:rPr>
      <w:t>E-ISSN: 2723-3871</w:t>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lang w:val="id-ID"/>
      </w:rPr>
      <w:t>DOI:</w:t>
    </w:r>
    <w:r>
      <w:rPr>
        <w:rFonts w:ascii="Times New Roman" w:hAnsi="Times New Roman"/>
        <w:sz w:val="20"/>
        <w:szCs w:val="20"/>
      </w:rPr>
      <w:t xml:space="preserve"> </w:t>
    </w:r>
    <w:r>
      <w:fldChar w:fldCharType="begin"/>
    </w:r>
    <w:r>
      <w:instrText xml:space="preserve"> HYPERLINK "https://doi.org/10.52436/1.jutif.6.6.3540" </w:instrText>
    </w:r>
    <w:r>
      <w:fldChar w:fldCharType="separate"/>
    </w:r>
    <w:r>
      <w:rPr>
        <w:rStyle w:val="25"/>
        <w:rFonts w:ascii="Times New Roman" w:hAnsi="Times New Roman"/>
        <w:sz w:val="20"/>
        <w:szCs w:val="20"/>
      </w:rPr>
      <w:t>https://doi.org/10.52436/1.jutif.6.6.3540</w:t>
    </w:r>
    <w:r>
      <w:rPr>
        <w:rStyle w:val="25"/>
        <w:rFonts w:ascii="Times New Roman" w:hAnsi="Times New Roman"/>
        <w:sz w:val="20"/>
        <w:szCs w:val="20"/>
      </w:rPr>
      <w:fldChar w:fldCharType="end"/>
    </w:r>
  </w:p>
  <w:p w14:paraId="61725DBC">
    <w:pPr>
      <w:pStyle w:val="23"/>
      <w:tabs>
        <w:tab w:val="right" w:pos="8787"/>
        <w:tab w:val="clear" w:pos="4680"/>
        <w:tab w:val="clear" w:pos="9360"/>
      </w:tabs>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EC5021"/>
    <w:multiLevelType w:val="multilevel"/>
    <w:tmpl w:val="B1EC5021"/>
    <w:lvl w:ilvl="0" w:tentative="0">
      <w:start w:val="1"/>
      <w:numFmt w:val="decimal"/>
      <w:lvlText w:val="%1)"/>
      <w:lvlJc w:val="left"/>
      <w:pPr>
        <w:tabs>
          <w:tab w:val="left" w:pos="425"/>
        </w:tabs>
        <w:ind w:left="425" w:hanging="425"/>
      </w:pPr>
      <w:rPr>
        <w:rFonts w:hint="default"/>
      </w:rPr>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1">
    <w:nsid w:val="CCFC13FE"/>
    <w:multiLevelType w:val="multilevel"/>
    <w:tmpl w:val="CCFC13FE"/>
    <w:lvl w:ilvl="0" w:tentative="0">
      <w:start w:val="1"/>
      <w:numFmt w:val="decimal"/>
      <w:suff w:val="space"/>
      <w:lvlText w:val="%1)"/>
      <w:lvlJc w:val="left"/>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2">
    <w:nsid w:val="D3847CB8"/>
    <w:multiLevelType w:val="multilevel"/>
    <w:tmpl w:val="D3847CB8"/>
    <w:lvl w:ilvl="0" w:tentative="0">
      <w:start w:val="1"/>
      <w:numFmt w:val="decimal"/>
      <w:suff w:val="space"/>
      <w:lvlText w:val="%1)"/>
      <w:lvlJc w:val="left"/>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3">
    <w:nsid w:val="00000002"/>
    <w:multiLevelType w:val="singleLevel"/>
    <w:tmpl w:val="00000002"/>
    <w:lvl w:ilvl="0" w:tentative="0">
      <w:start w:val="1"/>
      <w:numFmt w:val="decimal"/>
      <w:pStyle w:val="85"/>
      <w:lvlText w:val="%1 "/>
      <w:lvlJc w:val="left"/>
      <w:pPr>
        <w:tabs>
          <w:tab w:val="left" w:pos="648"/>
        </w:tabs>
        <w:ind w:left="0" w:firstLine="288"/>
      </w:pPr>
      <w:rPr>
        <w:rFonts w:ascii="Times New Roman" w:hAnsi="Times New Roman" w:cs="Times New Roman"/>
        <w:b w:val="0"/>
        <w:bCs w:val="0"/>
        <w:i w:val="0"/>
        <w:iCs w:val="0"/>
        <w:caps w:val="0"/>
        <w:smallCaps w:val="0"/>
        <w:strike w:val="0"/>
        <w:dstrike w:val="0"/>
        <w:outline w:val="0"/>
        <w:shadow w:val="0"/>
        <w:vanish w:val="0"/>
        <w:sz w:val="16"/>
        <w:szCs w:val="16"/>
        <w:vertAlign w:val="superscript"/>
      </w:rPr>
    </w:lvl>
  </w:abstractNum>
  <w:abstractNum w:abstractNumId="4">
    <w:nsid w:val="00000003"/>
    <w:multiLevelType w:val="singleLevel"/>
    <w:tmpl w:val="00000003"/>
    <w:lvl w:ilvl="0" w:tentative="0">
      <w:start w:val="1"/>
      <w:numFmt w:val="bullet"/>
      <w:pStyle w:val="82"/>
      <w:lvlText w:val=""/>
      <w:lvlJc w:val="left"/>
      <w:pPr>
        <w:tabs>
          <w:tab w:val="left" w:pos="648"/>
        </w:tabs>
        <w:ind w:left="648" w:hanging="360"/>
      </w:pPr>
      <w:rPr>
        <w:rFonts w:ascii="Symbol" w:hAnsi="Symbol" w:cs="Symbol"/>
      </w:rPr>
    </w:lvl>
  </w:abstractNum>
  <w:abstractNum w:abstractNumId="5">
    <w:nsid w:val="00000005"/>
    <w:multiLevelType w:val="singleLevel"/>
    <w:tmpl w:val="00000005"/>
    <w:lvl w:ilvl="0" w:tentative="0">
      <w:start w:val="1"/>
      <w:numFmt w:val="decimal"/>
      <w:pStyle w:val="89"/>
      <w:lvlText w:val="[%1]"/>
      <w:lvlJc w:val="left"/>
      <w:pPr>
        <w:tabs>
          <w:tab w:val="left" w:pos="360"/>
        </w:tabs>
        <w:ind w:left="360" w:hanging="360"/>
      </w:pPr>
      <w:rPr>
        <w:rFonts w:ascii="Times New Roman" w:hAnsi="Times New Roman" w:cs="Times New Roman"/>
        <w:b w:val="0"/>
        <w:bCs w:val="0"/>
        <w:i w:val="0"/>
        <w:iCs w:val="0"/>
        <w:sz w:val="16"/>
        <w:szCs w:val="16"/>
      </w:rPr>
    </w:lvl>
  </w:abstractNum>
  <w:abstractNum w:abstractNumId="6">
    <w:nsid w:val="00000008"/>
    <w:multiLevelType w:val="singleLevel"/>
    <w:tmpl w:val="00000008"/>
    <w:lvl w:ilvl="0" w:tentative="0">
      <w:start w:val="1"/>
      <w:numFmt w:val="lowerLetter"/>
      <w:pStyle w:val="94"/>
      <w:lvlText w:val="%1."/>
      <w:lvlJc w:val="right"/>
      <w:pPr>
        <w:tabs>
          <w:tab w:val="left" w:pos="0"/>
        </w:tabs>
        <w:ind w:left="749" w:hanging="360"/>
      </w:pPr>
      <w:rPr>
        <w:rFonts w:ascii="Times New Roman" w:hAnsi="Times New Roman" w:cs="Times New Roman"/>
        <w:b w:val="0"/>
        <w:i w:val="0"/>
        <w:caps w:val="0"/>
        <w:smallCaps w:val="0"/>
        <w:strike w:val="0"/>
        <w:dstrike w:val="0"/>
        <w:outline w:val="0"/>
        <w:shadow w:val="0"/>
        <w:vanish w:val="0"/>
        <w:color w:val="auto"/>
        <w:spacing w:val="0"/>
        <w:w w:val="100"/>
        <w:kern w:val="1"/>
        <w:sz w:val="16"/>
        <w:vertAlign w:val="superscript"/>
      </w:rPr>
    </w:lvl>
  </w:abstractNum>
  <w:abstractNum w:abstractNumId="7">
    <w:nsid w:val="05E84B9D"/>
    <w:multiLevelType w:val="multilevel"/>
    <w:tmpl w:val="05E84B9D"/>
    <w:lvl w:ilvl="0" w:tentative="0">
      <w:start w:val="1"/>
      <w:numFmt w:val="decimal"/>
      <w:pStyle w:val="95"/>
      <w:lvlText w:val="Table %1. "/>
      <w:lvlJc w:val="left"/>
      <w:pPr>
        <w:ind w:left="1008" w:hanging="648"/>
      </w:pPr>
      <w:rPr>
        <w:rFonts w:hint="default" w:ascii="Garamond" w:hAnsi="Garamond" w:cs="Times New Roman"/>
        <w:b w:val="0"/>
        <w:bCs w:val="0"/>
        <w:i w:val="0"/>
        <w:iCs w:val="0"/>
        <w:sz w:val="16"/>
        <w:szCs w:val="1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406633B"/>
    <w:multiLevelType w:val="multilevel"/>
    <w:tmpl w:val="1406633B"/>
    <w:lvl w:ilvl="0" w:tentative="0">
      <w:start w:val="1"/>
      <w:numFmt w:val="decimal"/>
      <w:lvlText w:val="%1."/>
      <w:lvlJc w:val="left"/>
      <w:pPr>
        <w:ind w:left="720" w:hanging="360"/>
      </w:pPr>
      <w:rPr>
        <w:rFonts w:hint="default"/>
        <w:b/>
        <w:bCs/>
      </w:rPr>
    </w:lvl>
    <w:lvl w:ilvl="1" w:tentative="0">
      <w:start w:val="1"/>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9">
    <w:nsid w:val="2D70599A"/>
    <w:multiLevelType w:val="multilevel"/>
    <w:tmpl w:val="2D70599A"/>
    <w:lvl w:ilvl="0" w:tentative="0">
      <w:start w:val="1"/>
      <w:numFmt w:val="decimal"/>
      <w:pStyle w:val="84"/>
      <w:lvlText w:val="Figure %1."/>
      <w:lvlJc w:val="center"/>
      <w:pPr>
        <w:ind w:left="1152" w:hanging="792"/>
      </w:pPr>
      <w:rPr>
        <w:rFonts w:hint="default" w:ascii="Garamond" w:hAnsi="Garamond" w:cs="Times New Roman"/>
        <w:b/>
        <w:bCs w:val="0"/>
        <w:i w:val="0"/>
        <w:iCs w:val="0"/>
        <w:color w:val="auto"/>
        <w:sz w:val="16"/>
        <w:szCs w:val="1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3A877D64"/>
    <w:multiLevelType w:val="singleLevel"/>
    <w:tmpl w:val="3A877D64"/>
    <w:lvl w:ilvl="0" w:tentative="0">
      <w:start w:val="1"/>
      <w:numFmt w:val="decimal"/>
      <w:pStyle w:val="104"/>
      <w:lvlText w:val="[%1]"/>
      <w:lvlJc w:val="left"/>
      <w:pPr>
        <w:tabs>
          <w:tab w:val="left" w:pos="360"/>
        </w:tabs>
        <w:ind w:left="360" w:hanging="360"/>
      </w:pPr>
    </w:lvl>
  </w:abstractNum>
  <w:abstractNum w:abstractNumId="11">
    <w:nsid w:val="61C765A5"/>
    <w:multiLevelType w:val="multilevel"/>
    <w:tmpl w:val="61C765A5"/>
    <w:lvl w:ilvl="0" w:tentative="0">
      <w:start w:val="1"/>
      <w:numFmt w:val="decimal"/>
      <w:pStyle w:val="49"/>
      <w:lvlText w:val="Gambar %1. "/>
      <w:lvlJc w:val="left"/>
      <w:pPr>
        <w:ind w:left="720" w:hanging="360"/>
      </w:pPr>
      <w:rPr>
        <w:rFonts w:hint="default" w:ascii="Times New Roman" w:hAnsi="Times New Roman" w:cs="Times New Roman"/>
        <w:b/>
        <w:bCs w:val="0"/>
        <w:i w:val="0"/>
        <w:iCs w:val="0"/>
        <w:caps w:val="0"/>
        <w:strike w:val="0"/>
        <w:dstrike w:val="0"/>
        <w:vanish w:val="0"/>
        <w:color w:val="000000"/>
        <w:sz w:val="22"/>
        <w:szCs w:val="16"/>
        <w:vertAlign w:val="baseline"/>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679B6DE5"/>
    <w:multiLevelType w:val="multilevel"/>
    <w:tmpl w:val="679B6DE5"/>
    <w:lvl w:ilvl="0" w:tentative="0">
      <w:start w:val="1"/>
      <w:numFmt w:val="decimal"/>
      <w:pStyle w:val="3"/>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7DDD67DC"/>
    <w:multiLevelType w:val="multilevel"/>
    <w:tmpl w:val="7DDD67DC"/>
    <w:lvl w:ilvl="0" w:tentative="0">
      <w:start w:val="1"/>
      <w:numFmt w:val="decimal"/>
      <w:pStyle w:val="48"/>
      <w:lvlText w:val="Tabel %1."/>
      <w:lvlJc w:val="center"/>
      <w:pPr>
        <w:ind w:left="360" w:hanging="360"/>
      </w:pPr>
      <w:rPr>
        <w:rFonts w:hint="default" w:ascii="Times New Roman" w:hAnsi="Times New Roman"/>
        <w:b/>
        <w:i w:val="0"/>
        <w:caps w:val="0"/>
        <w:strike w:val="0"/>
        <w:dstrike w:val="0"/>
        <w:vanish w:val="0"/>
        <w:color w:val="auto"/>
        <w:sz w:val="22"/>
        <w:u w:val="none"/>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2"/>
  </w:num>
  <w:num w:numId="2">
    <w:abstractNumId w:val="13"/>
  </w:num>
  <w:num w:numId="3">
    <w:abstractNumId w:val="11"/>
  </w:num>
  <w:num w:numId="4">
    <w:abstractNumId w:val="4"/>
  </w:num>
  <w:num w:numId="5">
    <w:abstractNumId w:val="9"/>
  </w:num>
  <w:num w:numId="6">
    <w:abstractNumId w:val="3"/>
  </w:num>
  <w:num w:numId="7">
    <w:abstractNumId w:val="5"/>
  </w:num>
  <w:num w:numId="8">
    <w:abstractNumId w:val="6"/>
  </w:num>
  <w:num w:numId="9">
    <w:abstractNumId w:val="7"/>
  </w:num>
  <w:num w:numId="10">
    <w:abstractNumId w:val="10"/>
  </w:num>
  <w:num w:numId="11">
    <w:abstractNumId w:val="8"/>
  </w:num>
  <w:num w:numId="12">
    <w:abstractNumId w:val="0"/>
  </w:num>
  <w:num w:numId="13">
    <w:abstractNumId w:val="2"/>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removePersonalInformation/>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MztTQ1tDSwMDQwtzRU0lEKTi0uzszPAykwNK8FAJ62eYEtAAAA"/>
  </w:docVars>
  <w:rsids>
    <w:rsidRoot w:val="005534AB"/>
    <w:rsid w:val="0000071B"/>
    <w:rsid w:val="0000244E"/>
    <w:rsid w:val="00002600"/>
    <w:rsid w:val="000029ED"/>
    <w:rsid w:val="000037C7"/>
    <w:rsid w:val="00021E5D"/>
    <w:rsid w:val="00025A6B"/>
    <w:rsid w:val="00025DA5"/>
    <w:rsid w:val="00031E7B"/>
    <w:rsid w:val="0003414A"/>
    <w:rsid w:val="0003798C"/>
    <w:rsid w:val="00051EBB"/>
    <w:rsid w:val="00055ED6"/>
    <w:rsid w:val="000572B6"/>
    <w:rsid w:val="00062508"/>
    <w:rsid w:val="000646E6"/>
    <w:rsid w:val="000711AA"/>
    <w:rsid w:val="000714E3"/>
    <w:rsid w:val="000833BA"/>
    <w:rsid w:val="00092FF5"/>
    <w:rsid w:val="000A08C7"/>
    <w:rsid w:val="000B01FE"/>
    <w:rsid w:val="000B18D5"/>
    <w:rsid w:val="000B5402"/>
    <w:rsid w:val="000E07B5"/>
    <w:rsid w:val="000E32CA"/>
    <w:rsid w:val="000F4E1C"/>
    <w:rsid w:val="000F7960"/>
    <w:rsid w:val="00103C1F"/>
    <w:rsid w:val="00105EDD"/>
    <w:rsid w:val="0012670D"/>
    <w:rsid w:val="00126C65"/>
    <w:rsid w:val="001273CA"/>
    <w:rsid w:val="00132391"/>
    <w:rsid w:val="00137EAE"/>
    <w:rsid w:val="00142550"/>
    <w:rsid w:val="00146801"/>
    <w:rsid w:val="00150F1A"/>
    <w:rsid w:val="00154741"/>
    <w:rsid w:val="0015497C"/>
    <w:rsid w:val="00155157"/>
    <w:rsid w:val="00162F7B"/>
    <w:rsid w:val="00165DD0"/>
    <w:rsid w:val="00173234"/>
    <w:rsid w:val="00182514"/>
    <w:rsid w:val="0018781E"/>
    <w:rsid w:val="00191A17"/>
    <w:rsid w:val="001925CA"/>
    <w:rsid w:val="001960A2"/>
    <w:rsid w:val="001A214F"/>
    <w:rsid w:val="001A4628"/>
    <w:rsid w:val="001A6030"/>
    <w:rsid w:val="001A7873"/>
    <w:rsid w:val="001B363B"/>
    <w:rsid w:val="001C5FC5"/>
    <w:rsid w:val="001D03C8"/>
    <w:rsid w:val="001D1FB5"/>
    <w:rsid w:val="001F1B8B"/>
    <w:rsid w:val="001F5A9F"/>
    <w:rsid w:val="00211DC7"/>
    <w:rsid w:val="002202FB"/>
    <w:rsid w:val="002213E2"/>
    <w:rsid w:val="00222595"/>
    <w:rsid w:val="002270BD"/>
    <w:rsid w:val="00237F5C"/>
    <w:rsid w:val="00240530"/>
    <w:rsid w:val="002416FE"/>
    <w:rsid w:val="00243700"/>
    <w:rsid w:val="00245208"/>
    <w:rsid w:val="00251762"/>
    <w:rsid w:val="00266818"/>
    <w:rsid w:val="00281FD2"/>
    <w:rsid w:val="00282E1E"/>
    <w:rsid w:val="00291904"/>
    <w:rsid w:val="002B1A53"/>
    <w:rsid w:val="002B2BC3"/>
    <w:rsid w:val="002B6AFC"/>
    <w:rsid w:val="002C1270"/>
    <w:rsid w:val="002C1910"/>
    <w:rsid w:val="002D4948"/>
    <w:rsid w:val="002E2E97"/>
    <w:rsid w:val="002E6E29"/>
    <w:rsid w:val="002F2BA1"/>
    <w:rsid w:val="002F4A06"/>
    <w:rsid w:val="002F5E73"/>
    <w:rsid w:val="002F6736"/>
    <w:rsid w:val="00301440"/>
    <w:rsid w:val="00302939"/>
    <w:rsid w:val="00304995"/>
    <w:rsid w:val="00304CC5"/>
    <w:rsid w:val="00307198"/>
    <w:rsid w:val="00311F4C"/>
    <w:rsid w:val="003168C5"/>
    <w:rsid w:val="0032084F"/>
    <w:rsid w:val="0032271E"/>
    <w:rsid w:val="003315D7"/>
    <w:rsid w:val="00350CA9"/>
    <w:rsid w:val="0035773B"/>
    <w:rsid w:val="00361C13"/>
    <w:rsid w:val="003650C0"/>
    <w:rsid w:val="003650EC"/>
    <w:rsid w:val="00370E57"/>
    <w:rsid w:val="00372BD8"/>
    <w:rsid w:val="00376CDD"/>
    <w:rsid w:val="00381529"/>
    <w:rsid w:val="00392425"/>
    <w:rsid w:val="00392629"/>
    <w:rsid w:val="00394088"/>
    <w:rsid w:val="003A4017"/>
    <w:rsid w:val="003A74E8"/>
    <w:rsid w:val="003B074A"/>
    <w:rsid w:val="003B1ABE"/>
    <w:rsid w:val="003B47E5"/>
    <w:rsid w:val="003B5D6B"/>
    <w:rsid w:val="003B6392"/>
    <w:rsid w:val="003C017A"/>
    <w:rsid w:val="003C0DF9"/>
    <w:rsid w:val="003C3E6B"/>
    <w:rsid w:val="003D1C58"/>
    <w:rsid w:val="003E18B9"/>
    <w:rsid w:val="003E2819"/>
    <w:rsid w:val="003E3246"/>
    <w:rsid w:val="003E38CF"/>
    <w:rsid w:val="003F31ED"/>
    <w:rsid w:val="00404B56"/>
    <w:rsid w:val="00405689"/>
    <w:rsid w:val="00415082"/>
    <w:rsid w:val="004245AF"/>
    <w:rsid w:val="00424EB2"/>
    <w:rsid w:val="004307BA"/>
    <w:rsid w:val="00431D16"/>
    <w:rsid w:val="00442963"/>
    <w:rsid w:val="00442BF8"/>
    <w:rsid w:val="00443FB3"/>
    <w:rsid w:val="00454CA5"/>
    <w:rsid w:val="00463FA0"/>
    <w:rsid w:val="0047104A"/>
    <w:rsid w:val="00477F1B"/>
    <w:rsid w:val="0048169D"/>
    <w:rsid w:val="0048301D"/>
    <w:rsid w:val="00483A66"/>
    <w:rsid w:val="00484D47"/>
    <w:rsid w:val="004932AD"/>
    <w:rsid w:val="004A25CB"/>
    <w:rsid w:val="004B09BA"/>
    <w:rsid w:val="004B1713"/>
    <w:rsid w:val="004B1DC6"/>
    <w:rsid w:val="004B44C4"/>
    <w:rsid w:val="004B477D"/>
    <w:rsid w:val="004B79DE"/>
    <w:rsid w:val="004D0D8A"/>
    <w:rsid w:val="004D30FC"/>
    <w:rsid w:val="004E39BA"/>
    <w:rsid w:val="004F03E2"/>
    <w:rsid w:val="0050270D"/>
    <w:rsid w:val="00503531"/>
    <w:rsid w:val="0051028E"/>
    <w:rsid w:val="005131CB"/>
    <w:rsid w:val="00541779"/>
    <w:rsid w:val="00546661"/>
    <w:rsid w:val="005467AE"/>
    <w:rsid w:val="00550670"/>
    <w:rsid w:val="005534AB"/>
    <w:rsid w:val="005570C2"/>
    <w:rsid w:val="0055779F"/>
    <w:rsid w:val="005577A7"/>
    <w:rsid w:val="0056267F"/>
    <w:rsid w:val="00567311"/>
    <w:rsid w:val="005706D5"/>
    <w:rsid w:val="005725F9"/>
    <w:rsid w:val="00584126"/>
    <w:rsid w:val="00591616"/>
    <w:rsid w:val="00591F0C"/>
    <w:rsid w:val="0059450F"/>
    <w:rsid w:val="00597F3B"/>
    <w:rsid w:val="005A070A"/>
    <w:rsid w:val="005B4599"/>
    <w:rsid w:val="005B45F8"/>
    <w:rsid w:val="005C02C3"/>
    <w:rsid w:val="005D0797"/>
    <w:rsid w:val="005D699F"/>
    <w:rsid w:val="005D6E17"/>
    <w:rsid w:val="005E3F3C"/>
    <w:rsid w:val="005E7CFA"/>
    <w:rsid w:val="006020A7"/>
    <w:rsid w:val="00602B90"/>
    <w:rsid w:val="00612510"/>
    <w:rsid w:val="00613640"/>
    <w:rsid w:val="00614549"/>
    <w:rsid w:val="0062419E"/>
    <w:rsid w:val="00626256"/>
    <w:rsid w:val="00641273"/>
    <w:rsid w:val="0064468C"/>
    <w:rsid w:val="00653893"/>
    <w:rsid w:val="00657C0B"/>
    <w:rsid w:val="00661956"/>
    <w:rsid w:val="006637AE"/>
    <w:rsid w:val="00667E62"/>
    <w:rsid w:val="006743D2"/>
    <w:rsid w:val="00681B18"/>
    <w:rsid w:val="00682CCB"/>
    <w:rsid w:val="006838D9"/>
    <w:rsid w:val="00684ED9"/>
    <w:rsid w:val="00697BE5"/>
    <w:rsid w:val="006A4AAE"/>
    <w:rsid w:val="006B351A"/>
    <w:rsid w:val="006B51E9"/>
    <w:rsid w:val="006C00FF"/>
    <w:rsid w:val="006D2AF0"/>
    <w:rsid w:val="006D6946"/>
    <w:rsid w:val="006E079C"/>
    <w:rsid w:val="006E0AFD"/>
    <w:rsid w:val="006E174D"/>
    <w:rsid w:val="006F1DBA"/>
    <w:rsid w:val="0070673A"/>
    <w:rsid w:val="00711806"/>
    <w:rsid w:val="007120E6"/>
    <w:rsid w:val="00714310"/>
    <w:rsid w:val="00716DEC"/>
    <w:rsid w:val="00722001"/>
    <w:rsid w:val="00722939"/>
    <w:rsid w:val="00724FBC"/>
    <w:rsid w:val="007254BB"/>
    <w:rsid w:val="00731222"/>
    <w:rsid w:val="00741F60"/>
    <w:rsid w:val="00761246"/>
    <w:rsid w:val="007615DE"/>
    <w:rsid w:val="007630D7"/>
    <w:rsid w:val="0076640D"/>
    <w:rsid w:val="00766794"/>
    <w:rsid w:val="00767341"/>
    <w:rsid w:val="007716CF"/>
    <w:rsid w:val="00771999"/>
    <w:rsid w:val="00771B1C"/>
    <w:rsid w:val="0077238F"/>
    <w:rsid w:val="00782C49"/>
    <w:rsid w:val="007843FA"/>
    <w:rsid w:val="00795585"/>
    <w:rsid w:val="00795642"/>
    <w:rsid w:val="007A4690"/>
    <w:rsid w:val="007A523B"/>
    <w:rsid w:val="007B1AAB"/>
    <w:rsid w:val="007B6BC2"/>
    <w:rsid w:val="007C31DB"/>
    <w:rsid w:val="007D1237"/>
    <w:rsid w:val="007D1B35"/>
    <w:rsid w:val="007D2BD9"/>
    <w:rsid w:val="007E5AE1"/>
    <w:rsid w:val="007E5C41"/>
    <w:rsid w:val="007F6D06"/>
    <w:rsid w:val="00805110"/>
    <w:rsid w:val="008055F0"/>
    <w:rsid w:val="0081436E"/>
    <w:rsid w:val="00824C17"/>
    <w:rsid w:val="008264A8"/>
    <w:rsid w:val="008320FE"/>
    <w:rsid w:val="008329A7"/>
    <w:rsid w:val="008404C8"/>
    <w:rsid w:val="00844EE7"/>
    <w:rsid w:val="008520E3"/>
    <w:rsid w:val="008541E6"/>
    <w:rsid w:val="008801D7"/>
    <w:rsid w:val="008804C9"/>
    <w:rsid w:val="008817C8"/>
    <w:rsid w:val="00881D28"/>
    <w:rsid w:val="00883AE4"/>
    <w:rsid w:val="00883FAD"/>
    <w:rsid w:val="00891FCA"/>
    <w:rsid w:val="00893242"/>
    <w:rsid w:val="00895DCC"/>
    <w:rsid w:val="008A4983"/>
    <w:rsid w:val="008A6DED"/>
    <w:rsid w:val="008D25EC"/>
    <w:rsid w:val="008D35D6"/>
    <w:rsid w:val="008E0BB7"/>
    <w:rsid w:val="008E13B8"/>
    <w:rsid w:val="008E5BD3"/>
    <w:rsid w:val="008F7F69"/>
    <w:rsid w:val="00900EF8"/>
    <w:rsid w:val="009073C0"/>
    <w:rsid w:val="00912C4B"/>
    <w:rsid w:val="00917448"/>
    <w:rsid w:val="0092484C"/>
    <w:rsid w:val="00930396"/>
    <w:rsid w:val="0093162C"/>
    <w:rsid w:val="009325A5"/>
    <w:rsid w:val="009335E3"/>
    <w:rsid w:val="00934AC4"/>
    <w:rsid w:val="009360A1"/>
    <w:rsid w:val="00936273"/>
    <w:rsid w:val="00940573"/>
    <w:rsid w:val="00940E53"/>
    <w:rsid w:val="009413D1"/>
    <w:rsid w:val="00954C18"/>
    <w:rsid w:val="00954C22"/>
    <w:rsid w:val="00955EF2"/>
    <w:rsid w:val="00961A5C"/>
    <w:rsid w:val="00962243"/>
    <w:rsid w:val="00982A20"/>
    <w:rsid w:val="00984543"/>
    <w:rsid w:val="00993286"/>
    <w:rsid w:val="00994BAE"/>
    <w:rsid w:val="009A0C5C"/>
    <w:rsid w:val="009A0F7D"/>
    <w:rsid w:val="009A10BF"/>
    <w:rsid w:val="009B1FD4"/>
    <w:rsid w:val="009C0518"/>
    <w:rsid w:val="009C68D5"/>
    <w:rsid w:val="009D2687"/>
    <w:rsid w:val="009E1E60"/>
    <w:rsid w:val="009E3CE5"/>
    <w:rsid w:val="009E4550"/>
    <w:rsid w:val="009E789B"/>
    <w:rsid w:val="009F2EF4"/>
    <w:rsid w:val="009F78BD"/>
    <w:rsid w:val="00A035E0"/>
    <w:rsid w:val="00A14074"/>
    <w:rsid w:val="00A23237"/>
    <w:rsid w:val="00A33C5D"/>
    <w:rsid w:val="00A35F28"/>
    <w:rsid w:val="00A376F9"/>
    <w:rsid w:val="00A42297"/>
    <w:rsid w:val="00A43D58"/>
    <w:rsid w:val="00A552F9"/>
    <w:rsid w:val="00A56B23"/>
    <w:rsid w:val="00A57D4B"/>
    <w:rsid w:val="00A61F39"/>
    <w:rsid w:val="00AA4001"/>
    <w:rsid w:val="00AB1E8B"/>
    <w:rsid w:val="00AB23C0"/>
    <w:rsid w:val="00AC72C3"/>
    <w:rsid w:val="00AD1726"/>
    <w:rsid w:val="00AD17DE"/>
    <w:rsid w:val="00AD34BD"/>
    <w:rsid w:val="00AF003D"/>
    <w:rsid w:val="00AF5CC2"/>
    <w:rsid w:val="00B116C1"/>
    <w:rsid w:val="00B158FB"/>
    <w:rsid w:val="00B25208"/>
    <w:rsid w:val="00B31097"/>
    <w:rsid w:val="00B439A0"/>
    <w:rsid w:val="00B50691"/>
    <w:rsid w:val="00B5217D"/>
    <w:rsid w:val="00B676AB"/>
    <w:rsid w:val="00B67E1F"/>
    <w:rsid w:val="00B711FC"/>
    <w:rsid w:val="00B75A48"/>
    <w:rsid w:val="00B76F61"/>
    <w:rsid w:val="00B77537"/>
    <w:rsid w:val="00B84623"/>
    <w:rsid w:val="00B86F47"/>
    <w:rsid w:val="00B87572"/>
    <w:rsid w:val="00B92752"/>
    <w:rsid w:val="00B934BF"/>
    <w:rsid w:val="00BA0F71"/>
    <w:rsid w:val="00BA278A"/>
    <w:rsid w:val="00BB0A5D"/>
    <w:rsid w:val="00BC0FFF"/>
    <w:rsid w:val="00BC1DA5"/>
    <w:rsid w:val="00BC4C1E"/>
    <w:rsid w:val="00BC53CE"/>
    <w:rsid w:val="00BC75BD"/>
    <w:rsid w:val="00BD4BF9"/>
    <w:rsid w:val="00BE708F"/>
    <w:rsid w:val="00BF1133"/>
    <w:rsid w:val="00BF178C"/>
    <w:rsid w:val="00BF1BD0"/>
    <w:rsid w:val="00BF258D"/>
    <w:rsid w:val="00BF4F45"/>
    <w:rsid w:val="00C03266"/>
    <w:rsid w:val="00C06CA9"/>
    <w:rsid w:val="00C10029"/>
    <w:rsid w:val="00C13122"/>
    <w:rsid w:val="00C2101A"/>
    <w:rsid w:val="00C22FD0"/>
    <w:rsid w:val="00C34A10"/>
    <w:rsid w:val="00C43BAF"/>
    <w:rsid w:val="00C45E35"/>
    <w:rsid w:val="00C46587"/>
    <w:rsid w:val="00C46EBF"/>
    <w:rsid w:val="00C55EBF"/>
    <w:rsid w:val="00C76483"/>
    <w:rsid w:val="00C76812"/>
    <w:rsid w:val="00C84FFF"/>
    <w:rsid w:val="00C87AFD"/>
    <w:rsid w:val="00CA0E9A"/>
    <w:rsid w:val="00CA4FE3"/>
    <w:rsid w:val="00CB38FD"/>
    <w:rsid w:val="00CB4447"/>
    <w:rsid w:val="00CB4C45"/>
    <w:rsid w:val="00CB6AEE"/>
    <w:rsid w:val="00CC09EC"/>
    <w:rsid w:val="00CC0B45"/>
    <w:rsid w:val="00CC77EB"/>
    <w:rsid w:val="00CD207B"/>
    <w:rsid w:val="00CD33E5"/>
    <w:rsid w:val="00CD4CE9"/>
    <w:rsid w:val="00CD58F5"/>
    <w:rsid w:val="00CD640A"/>
    <w:rsid w:val="00D02A82"/>
    <w:rsid w:val="00D03882"/>
    <w:rsid w:val="00D316AD"/>
    <w:rsid w:val="00D31797"/>
    <w:rsid w:val="00D31986"/>
    <w:rsid w:val="00D37291"/>
    <w:rsid w:val="00D4436A"/>
    <w:rsid w:val="00D67705"/>
    <w:rsid w:val="00D7345B"/>
    <w:rsid w:val="00D74F19"/>
    <w:rsid w:val="00D81F85"/>
    <w:rsid w:val="00DA5FC3"/>
    <w:rsid w:val="00DB1776"/>
    <w:rsid w:val="00DB7605"/>
    <w:rsid w:val="00DC0F0C"/>
    <w:rsid w:val="00DC4FCF"/>
    <w:rsid w:val="00DE3513"/>
    <w:rsid w:val="00DE39E0"/>
    <w:rsid w:val="00DE4992"/>
    <w:rsid w:val="00DE7278"/>
    <w:rsid w:val="00DF423F"/>
    <w:rsid w:val="00E128AA"/>
    <w:rsid w:val="00E15B76"/>
    <w:rsid w:val="00E25A25"/>
    <w:rsid w:val="00E26E7E"/>
    <w:rsid w:val="00E33F5C"/>
    <w:rsid w:val="00E54D92"/>
    <w:rsid w:val="00E553AE"/>
    <w:rsid w:val="00E74432"/>
    <w:rsid w:val="00E74ED3"/>
    <w:rsid w:val="00E75740"/>
    <w:rsid w:val="00E911F5"/>
    <w:rsid w:val="00E9144B"/>
    <w:rsid w:val="00E97B4A"/>
    <w:rsid w:val="00EA2B43"/>
    <w:rsid w:val="00EB09EE"/>
    <w:rsid w:val="00EB2B4F"/>
    <w:rsid w:val="00ED2E40"/>
    <w:rsid w:val="00EE1FDF"/>
    <w:rsid w:val="00EE3AA7"/>
    <w:rsid w:val="00EE4B1A"/>
    <w:rsid w:val="00EF28A9"/>
    <w:rsid w:val="00EF432D"/>
    <w:rsid w:val="00EF6E1A"/>
    <w:rsid w:val="00F035D3"/>
    <w:rsid w:val="00F06B34"/>
    <w:rsid w:val="00F071C8"/>
    <w:rsid w:val="00F1595F"/>
    <w:rsid w:val="00F22C7C"/>
    <w:rsid w:val="00F24922"/>
    <w:rsid w:val="00F25B54"/>
    <w:rsid w:val="00F42E6A"/>
    <w:rsid w:val="00F430F4"/>
    <w:rsid w:val="00F444DD"/>
    <w:rsid w:val="00F5310D"/>
    <w:rsid w:val="00F54E73"/>
    <w:rsid w:val="00F55633"/>
    <w:rsid w:val="00F606BB"/>
    <w:rsid w:val="00F62349"/>
    <w:rsid w:val="00F67FC5"/>
    <w:rsid w:val="00F74C00"/>
    <w:rsid w:val="00F80BCE"/>
    <w:rsid w:val="00F813A9"/>
    <w:rsid w:val="00F8676B"/>
    <w:rsid w:val="00F90CA1"/>
    <w:rsid w:val="00F95338"/>
    <w:rsid w:val="00FA1E7D"/>
    <w:rsid w:val="00FA3001"/>
    <w:rsid w:val="00FB2447"/>
    <w:rsid w:val="00FC4C2D"/>
    <w:rsid w:val="00FD503B"/>
    <w:rsid w:val="00FE06AC"/>
    <w:rsid w:val="00FF5334"/>
    <w:rsid w:val="09706A8B"/>
    <w:rsid w:val="12A14112"/>
    <w:rsid w:val="12AE4934"/>
    <w:rsid w:val="17B017EC"/>
    <w:rsid w:val="1D7644E2"/>
    <w:rsid w:val="26886044"/>
    <w:rsid w:val="36AB4D47"/>
    <w:rsid w:val="385F77CD"/>
    <w:rsid w:val="4368493F"/>
    <w:rsid w:val="47A3653C"/>
    <w:rsid w:val="47A6109B"/>
    <w:rsid w:val="49765A93"/>
    <w:rsid w:val="52D5423E"/>
    <w:rsid w:val="53373F15"/>
    <w:rsid w:val="56CB24FB"/>
    <w:rsid w:val="5D6A35D0"/>
    <w:rsid w:val="70CB1DE4"/>
    <w:rsid w:val="7D8D57DD"/>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9" w:semiHidden="0" w:name="heading 4"/>
    <w:lsdException w:qFormat="1" w:uiPriority="9"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0"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name="Body Text Indent 2"/>
    <w:lsdException w:uiPriority="99" w:name="Body Text Indent 3"/>
    <w:lsdException w:uiPriority="99" w:name="Block Text"/>
    <w:lsdException w:qFormat="1" w:uiPriority="0" w:semiHidden="0" w:name="Hyperlink"/>
    <w:lsdException w:qFormat="1" w:uiPriority="99" w:name="FollowedHyperlink"/>
    <w:lsdException w:qFormat="1" w:unhideWhenUsed="0" w:uiPriority="99"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iPriority="99" w:semiHidden="0" w:name="Placeholder Text"/>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Times New Roman"/>
      <w:sz w:val="22"/>
      <w:szCs w:val="22"/>
      <w:lang w:val="en-US" w:eastAsia="en-US" w:bidi="ar-SA"/>
    </w:rPr>
  </w:style>
  <w:style w:type="paragraph" w:styleId="2">
    <w:name w:val="heading 1"/>
    <w:basedOn w:val="1"/>
    <w:next w:val="1"/>
    <w:link w:val="43"/>
    <w:qFormat/>
    <w:uiPriority w:val="0"/>
    <w:pPr>
      <w:keepNext/>
      <w:keepLines/>
      <w:spacing w:before="240" w:after="0"/>
      <w:outlineLvl w:val="0"/>
    </w:pPr>
    <w:rPr>
      <w:rFonts w:ascii="Calibri Light" w:hAnsi="Calibri Light" w:eastAsia="Times New Roman"/>
      <w:color w:val="2E74B5"/>
      <w:sz w:val="32"/>
      <w:szCs w:val="32"/>
    </w:rPr>
  </w:style>
  <w:style w:type="paragraph" w:styleId="3">
    <w:name w:val="heading 2"/>
    <w:basedOn w:val="1"/>
    <w:next w:val="1"/>
    <w:link w:val="68"/>
    <w:qFormat/>
    <w:uiPriority w:val="9"/>
    <w:pPr>
      <w:keepNext/>
      <w:keepLines/>
      <w:numPr>
        <w:ilvl w:val="0"/>
        <w:numId w:val="1"/>
      </w:numPr>
      <w:tabs>
        <w:tab w:val="left" w:pos="288"/>
      </w:tabs>
      <w:suppressAutoHyphens/>
      <w:spacing w:before="120" w:after="60" w:line="240" w:lineRule="auto"/>
      <w:ind w:left="113" w:firstLine="0"/>
      <w:outlineLvl w:val="1"/>
    </w:pPr>
    <w:rPr>
      <w:rFonts w:ascii="Garamond" w:hAnsi="Garamond" w:eastAsia="MS Mincho"/>
      <w:i/>
      <w:iCs/>
      <w:sz w:val="20"/>
      <w:szCs w:val="20"/>
    </w:rPr>
  </w:style>
  <w:style w:type="paragraph" w:styleId="4">
    <w:name w:val="heading 3"/>
    <w:basedOn w:val="1"/>
    <w:next w:val="1"/>
    <w:link w:val="69"/>
    <w:qFormat/>
    <w:uiPriority w:val="0"/>
    <w:pPr>
      <w:tabs>
        <w:tab w:val="left" w:pos="540"/>
      </w:tabs>
      <w:suppressAutoHyphens/>
      <w:spacing w:after="0" w:line="240" w:lineRule="exact"/>
      <w:ind w:firstLine="288"/>
      <w:jc w:val="both"/>
      <w:outlineLvl w:val="2"/>
    </w:pPr>
    <w:rPr>
      <w:rFonts w:ascii="Garamond" w:hAnsi="Garamond" w:eastAsia="MS Mincho"/>
      <w:i/>
      <w:iCs/>
      <w:sz w:val="20"/>
      <w:szCs w:val="20"/>
    </w:rPr>
  </w:style>
  <w:style w:type="paragraph" w:styleId="5">
    <w:name w:val="heading 4"/>
    <w:basedOn w:val="1"/>
    <w:next w:val="1"/>
    <w:link w:val="70"/>
    <w:qFormat/>
    <w:uiPriority w:val="9"/>
    <w:pPr>
      <w:tabs>
        <w:tab w:val="left" w:pos="720"/>
        <w:tab w:val="left" w:pos="821"/>
      </w:tabs>
      <w:suppressAutoHyphens/>
      <w:spacing w:before="40" w:after="40" w:line="240" w:lineRule="auto"/>
      <w:ind w:firstLine="504"/>
      <w:jc w:val="both"/>
      <w:outlineLvl w:val="3"/>
    </w:pPr>
    <w:rPr>
      <w:rFonts w:ascii="Garamond" w:hAnsi="Garamond" w:eastAsia="MS Mincho"/>
      <w:i/>
      <w:iCs/>
      <w:sz w:val="20"/>
      <w:szCs w:val="20"/>
    </w:rPr>
  </w:style>
  <w:style w:type="paragraph" w:styleId="6">
    <w:name w:val="heading 5"/>
    <w:basedOn w:val="1"/>
    <w:next w:val="1"/>
    <w:link w:val="67"/>
    <w:unhideWhenUsed/>
    <w:qFormat/>
    <w:uiPriority w:val="9"/>
    <w:pPr>
      <w:keepNext/>
      <w:keepLines/>
      <w:spacing w:before="40" w:after="0"/>
      <w:outlineLvl w:val="4"/>
    </w:pPr>
    <w:rPr>
      <w:rFonts w:asciiTheme="majorHAnsi" w:hAnsiTheme="majorHAnsi" w:eastAsiaTheme="majorEastAsia" w:cstheme="majorBidi"/>
      <w:color w:val="2F5597" w:themeColor="accent1" w:themeShade="BF"/>
    </w:rPr>
  </w:style>
  <w:style w:type="paragraph" w:styleId="7">
    <w:name w:val="heading 6"/>
    <w:basedOn w:val="1"/>
    <w:next w:val="1"/>
    <w:link w:val="71"/>
    <w:qFormat/>
    <w:uiPriority w:val="0"/>
    <w:pPr>
      <w:tabs>
        <w:tab w:val="left" w:pos="4320"/>
      </w:tabs>
      <w:spacing w:before="240" w:after="60" w:line="240" w:lineRule="auto"/>
      <w:ind w:left="4320" w:hanging="720"/>
      <w:outlineLvl w:val="5"/>
    </w:pPr>
    <w:rPr>
      <w:rFonts w:ascii="Times New Roman" w:hAnsi="Times New Roman" w:eastAsia="Times New Roman"/>
      <w:b/>
      <w:bCs/>
    </w:rPr>
  </w:style>
  <w:style w:type="paragraph" w:styleId="8">
    <w:name w:val="heading 7"/>
    <w:basedOn w:val="1"/>
    <w:next w:val="1"/>
    <w:link w:val="72"/>
    <w:semiHidden/>
    <w:unhideWhenUsed/>
    <w:qFormat/>
    <w:uiPriority w:val="9"/>
    <w:pPr>
      <w:tabs>
        <w:tab w:val="left" w:pos="5040"/>
      </w:tabs>
      <w:spacing w:before="240" w:after="60" w:line="240" w:lineRule="auto"/>
      <w:ind w:left="5040" w:hanging="720"/>
      <w:outlineLvl w:val="6"/>
    </w:pPr>
    <w:rPr>
      <w:rFonts w:eastAsia="Times New Roman"/>
      <w:sz w:val="24"/>
      <w:szCs w:val="24"/>
    </w:rPr>
  </w:style>
  <w:style w:type="paragraph" w:styleId="9">
    <w:name w:val="heading 8"/>
    <w:basedOn w:val="1"/>
    <w:next w:val="1"/>
    <w:link w:val="73"/>
    <w:semiHidden/>
    <w:unhideWhenUsed/>
    <w:qFormat/>
    <w:uiPriority w:val="9"/>
    <w:pPr>
      <w:tabs>
        <w:tab w:val="left" w:pos="5760"/>
      </w:tabs>
      <w:spacing w:before="240" w:after="60" w:line="240" w:lineRule="auto"/>
      <w:ind w:left="5760" w:hanging="720"/>
      <w:outlineLvl w:val="7"/>
    </w:pPr>
    <w:rPr>
      <w:rFonts w:eastAsia="Times New Roman"/>
      <w:i/>
      <w:iCs/>
      <w:sz w:val="24"/>
      <w:szCs w:val="24"/>
    </w:rPr>
  </w:style>
  <w:style w:type="paragraph" w:styleId="10">
    <w:name w:val="heading 9"/>
    <w:basedOn w:val="1"/>
    <w:next w:val="1"/>
    <w:link w:val="74"/>
    <w:semiHidden/>
    <w:unhideWhenUsed/>
    <w:qFormat/>
    <w:uiPriority w:val="9"/>
    <w:pPr>
      <w:tabs>
        <w:tab w:val="left" w:pos="6480"/>
      </w:tabs>
      <w:spacing w:before="240" w:after="60" w:line="240" w:lineRule="auto"/>
      <w:ind w:left="6480" w:hanging="720"/>
      <w:outlineLvl w:val="8"/>
    </w:pPr>
    <w:rPr>
      <w:rFonts w:ascii="Calibri Light" w:hAnsi="Calibri Light" w:eastAsia="Times New Roman"/>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9"/>
    <w:semiHidden/>
    <w:unhideWhenUsed/>
    <w:qFormat/>
    <w:uiPriority w:val="99"/>
    <w:pPr>
      <w:spacing w:after="0" w:line="240" w:lineRule="auto"/>
    </w:pPr>
    <w:rPr>
      <w:rFonts w:ascii="Segoe UI" w:hAnsi="Segoe UI" w:cs="Segoe UI"/>
      <w:sz w:val="18"/>
      <w:szCs w:val="18"/>
    </w:rPr>
  </w:style>
  <w:style w:type="paragraph" w:styleId="14">
    <w:name w:val="Body Text"/>
    <w:basedOn w:val="1"/>
    <w:link w:val="77"/>
    <w:uiPriority w:val="0"/>
    <w:pPr>
      <w:tabs>
        <w:tab w:val="left" w:pos="288"/>
      </w:tabs>
      <w:suppressAutoHyphens/>
      <w:spacing w:after="120" w:line="228" w:lineRule="auto"/>
      <w:ind w:firstLine="288"/>
      <w:jc w:val="both"/>
    </w:pPr>
    <w:rPr>
      <w:rFonts w:ascii="Garamond" w:hAnsi="Garamond" w:eastAsia="MS Mincho"/>
      <w:spacing w:val="-1"/>
      <w:sz w:val="20"/>
      <w:szCs w:val="20"/>
      <w:lang w:eastAsia="zh-CN"/>
    </w:rPr>
  </w:style>
  <w:style w:type="paragraph" w:styleId="15">
    <w:name w:val="Body Text Indent 2"/>
    <w:basedOn w:val="1"/>
    <w:link w:val="63"/>
    <w:semiHidden/>
    <w:unhideWhenUsed/>
    <w:qFormat/>
    <w:uiPriority w:val="99"/>
    <w:pPr>
      <w:spacing w:after="120" w:line="480" w:lineRule="auto"/>
      <w:ind w:left="283"/>
    </w:pPr>
  </w:style>
  <w:style w:type="paragraph" w:styleId="16">
    <w:name w:val="caption"/>
    <w:basedOn w:val="1"/>
    <w:qFormat/>
    <w:uiPriority w:val="35"/>
    <w:pPr>
      <w:suppressLineNumbers/>
      <w:suppressAutoHyphens/>
      <w:spacing w:before="120" w:after="120" w:line="240" w:lineRule="auto"/>
      <w:jc w:val="center"/>
    </w:pPr>
    <w:rPr>
      <w:rFonts w:ascii="Times New Roman" w:hAnsi="Times New Roman" w:eastAsia="Times New Roman" w:cs="FreeSans"/>
      <w:i/>
      <w:iCs/>
      <w:sz w:val="24"/>
      <w:szCs w:val="24"/>
      <w:lang w:eastAsia="zh-CN"/>
    </w:rPr>
  </w:style>
  <w:style w:type="character" w:styleId="17">
    <w:name w:val="annotation reference"/>
    <w:semiHidden/>
    <w:unhideWhenUsed/>
    <w:qFormat/>
    <w:uiPriority w:val="99"/>
    <w:rPr>
      <w:sz w:val="16"/>
      <w:szCs w:val="16"/>
    </w:rPr>
  </w:style>
  <w:style w:type="paragraph" w:styleId="18">
    <w:name w:val="annotation text"/>
    <w:basedOn w:val="1"/>
    <w:link w:val="61"/>
    <w:semiHidden/>
    <w:unhideWhenUsed/>
    <w:qFormat/>
    <w:uiPriority w:val="99"/>
    <w:rPr>
      <w:sz w:val="20"/>
      <w:szCs w:val="20"/>
    </w:rPr>
  </w:style>
  <w:style w:type="paragraph" w:styleId="19">
    <w:name w:val="annotation subject"/>
    <w:basedOn w:val="18"/>
    <w:next w:val="18"/>
    <w:link w:val="62"/>
    <w:semiHidden/>
    <w:unhideWhenUsed/>
    <w:qFormat/>
    <w:uiPriority w:val="99"/>
    <w:rPr>
      <w:b/>
      <w:bCs/>
    </w:rPr>
  </w:style>
  <w:style w:type="character" w:styleId="20">
    <w:name w:val="Emphasis"/>
    <w:qFormat/>
    <w:uiPriority w:val="0"/>
    <w:rPr>
      <w:i/>
      <w:iCs/>
    </w:rPr>
  </w:style>
  <w:style w:type="character" w:styleId="21">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22">
    <w:name w:val="footer"/>
    <w:basedOn w:val="1"/>
    <w:link w:val="55"/>
    <w:unhideWhenUsed/>
    <w:qFormat/>
    <w:uiPriority w:val="0"/>
    <w:pPr>
      <w:tabs>
        <w:tab w:val="center" w:pos="4680"/>
        <w:tab w:val="right" w:pos="9360"/>
      </w:tabs>
      <w:spacing w:after="0" w:line="240" w:lineRule="auto"/>
    </w:pPr>
  </w:style>
  <w:style w:type="paragraph" w:styleId="23">
    <w:name w:val="header"/>
    <w:basedOn w:val="1"/>
    <w:link w:val="54"/>
    <w:unhideWhenUsed/>
    <w:qFormat/>
    <w:uiPriority w:val="99"/>
    <w:pPr>
      <w:tabs>
        <w:tab w:val="center" w:pos="4680"/>
        <w:tab w:val="right" w:pos="9360"/>
      </w:tabs>
      <w:spacing w:after="0" w:line="240" w:lineRule="auto"/>
    </w:pPr>
  </w:style>
  <w:style w:type="paragraph" w:styleId="24">
    <w:name w:val="HTML Preformatted"/>
    <w:basedOn w:val="1"/>
    <w:link w:val="105"/>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25">
    <w:name w:val="Hyperlink"/>
    <w:unhideWhenUsed/>
    <w:qFormat/>
    <w:uiPriority w:val="0"/>
    <w:rPr>
      <w:color w:val="0563C1"/>
      <w:u w:val="single"/>
    </w:rPr>
  </w:style>
  <w:style w:type="paragraph" w:styleId="26">
    <w:name w:val="List"/>
    <w:basedOn w:val="14"/>
    <w:qFormat/>
    <w:uiPriority w:val="0"/>
    <w:rPr>
      <w:rFonts w:cs="FreeSans"/>
    </w:rPr>
  </w:style>
  <w:style w:type="paragraph" w:styleId="27">
    <w:name w:val="Normal (Web)"/>
    <w:basedOn w:val="1"/>
    <w:unhideWhenUsed/>
    <w:qFormat/>
    <w:uiPriority w:val="0"/>
    <w:rPr>
      <w:rFonts w:ascii="Times New Roman" w:hAnsi="Times New Roman"/>
      <w:sz w:val="24"/>
      <w:szCs w:val="24"/>
    </w:rPr>
  </w:style>
  <w:style w:type="character" w:styleId="28">
    <w:name w:val="Strong"/>
    <w:qFormat/>
    <w:uiPriority w:val="99"/>
    <w:rPr>
      <w:b/>
      <w:bCs/>
    </w:rPr>
  </w:style>
  <w:style w:type="table" w:styleId="29">
    <w:name w:val="Table Grid"/>
    <w:basedOn w:val="12"/>
    <w:qFormat/>
    <w:uiPriority w:val="39"/>
    <w:rPr>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0">
    <w:name w:val="Title"/>
    <w:basedOn w:val="1"/>
    <w:next w:val="1"/>
    <w:link w:val="35"/>
    <w:qFormat/>
    <w:uiPriority w:val="10"/>
    <w:pPr>
      <w:spacing w:after="0" w:line="240" w:lineRule="auto"/>
      <w:contextualSpacing/>
    </w:pPr>
    <w:rPr>
      <w:rFonts w:ascii="Calibri Light" w:hAnsi="Calibri Light" w:eastAsia="Times New Roman"/>
      <w:spacing w:val="-10"/>
      <w:kern w:val="28"/>
      <w:sz w:val="56"/>
      <w:szCs w:val="56"/>
    </w:rPr>
  </w:style>
  <w:style w:type="paragraph" w:customStyle="1" w:styleId="31">
    <w:name w:val="JUDUL"/>
    <w:basedOn w:val="30"/>
    <w:qFormat/>
    <w:uiPriority w:val="0"/>
    <w:pPr>
      <w:suppressAutoHyphens/>
      <w:spacing w:after="240"/>
      <w:contextualSpacing w:val="0"/>
      <w:jc w:val="center"/>
    </w:pPr>
    <w:rPr>
      <w:rFonts w:ascii="Times New Roman" w:hAnsi="Times New Roman" w:cs="Arial"/>
      <w:b/>
      <w:bCs/>
      <w:spacing w:val="0"/>
      <w:kern w:val="24"/>
      <w:sz w:val="28"/>
      <w:szCs w:val="32"/>
      <w:lang w:eastAsia="ar-SA"/>
    </w:rPr>
  </w:style>
  <w:style w:type="paragraph" w:customStyle="1" w:styleId="32">
    <w:name w:val="AUTHOR"/>
    <w:basedOn w:val="1"/>
    <w:uiPriority w:val="0"/>
    <w:pPr>
      <w:spacing w:after="200" w:line="240" w:lineRule="auto"/>
      <w:jc w:val="center"/>
    </w:pPr>
    <w:rPr>
      <w:rFonts w:ascii="Times New Roman" w:hAnsi="Times New Roman" w:eastAsia="Times New Roman"/>
      <w:b/>
      <w:sz w:val="20"/>
      <w:szCs w:val="24"/>
    </w:rPr>
  </w:style>
  <w:style w:type="paragraph" w:customStyle="1" w:styleId="33">
    <w:name w:val="INSTANSI"/>
    <w:basedOn w:val="1"/>
    <w:qFormat/>
    <w:uiPriority w:val="0"/>
    <w:pPr>
      <w:spacing w:after="0" w:line="240" w:lineRule="auto"/>
      <w:jc w:val="center"/>
    </w:pPr>
    <w:rPr>
      <w:rFonts w:ascii="Times New Roman" w:hAnsi="Times New Roman" w:eastAsia="Times New Roman"/>
      <w:sz w:val="20"/>
      <w:szCs w:val="20"/>
    </w:rPr>
  </w:style>
  <w:style w:type="paragraph" w:customStyle="1" w:styleId="34">
    <w:name w:val="EMAIL AUTHOR"/>
    <w:basedOn w:val="1"/>
    <w:qFormat/>
    <w:uiPriority w:val="0"/>
    <w:pPr>
      <w:spacing w:after="120" w:line="240" w:lineRule="auto"/>
      <w:jc w:val="center"/>
    </w:pPr>
    <w:rPr>
      <w:rFonts w:ascii="Times New Roman" w:hAnsi="Times New Roman" w:eastAsia="Times New Roman"/>
      <w:sz w:val="20"/>
      <w:szCs w:val="24"/>
    </w:rPr>
  </w:style>
  <w:style w:type="character" w:customStyle="1" w:styleId="35">
    <w:name w:val="Title Char"/>
    <w:link w:val="30"/>
    <w:qFormat/>
    <w:uiPriority w:val="10"/>
    <w:rPr>
      <w:rFonts w:ascii="Calibri Light" w:hAnsi="Calibri Light" w:eastAsia="Times New Roman" w:cs="Times New Roman"/>
      <w:spacing w:val="-10"/>
      <w:kern w:val="28"/>
      <w:sz w:val="56"/>
      <w:szCs w:val="56"/>
    </w:rPr>
  </w:style>
  <w:style w:type="paragraph" w:customStyle="1" w:styleId="36">
    <w:name w:val="ABSTRAK TITLE"/>
    <w:basedOn w:val="1"/>
    <w:qFormat/>
    <w:uiPriority w:val="0"/>
    <w:pPr>
      <w:spacing w:before="160" w:after="120" w:line="240" w:lineRule="auto"/>
      <w:jc w:val="center"/>
    </w:pPr>
    <w:rPr>
      <w:rFonts w:ascii="Times New Roman" w:hAnsi="Times New Roman" w:eastAsia="Times New Roman"/>
      <w:b/>
      <w:sz w:val="20"/>
      <w:szCs w:val="20"/>
    </w:rPr>
  </w:style>
  <w:style w:type="paragraph" w:customStyle="1" w:styleId="37">
    <w:name w:val="ABSTRAK BODY"/>
    <w:basedOn w:val="1"/>
    <w:qFormat/>
    <w:uiPriority w:val="0"/>
    <w:pPr>
      <w:keepNext/>
      <w:suppressAutoHyphens/>
      <w:spacing w:after="0" w:line="240" w:lineRule="auto"/>
      <w:jc w:val="both"/>
    </w:pPr>
    <w:rPr>
      <w:rFonts w:ascii="Times New Roman" w:hAnsi="Times New Roman" w:eastAsia="Times New Roman"/>
      <w:sz w:val="20"/>
      <w:szCs w:val="24"/>
      <w:lang w:eastAsia="ar-SA"/>
    </w:rPr>
  </w:style>
  <w:style w:type="paragraph" w:customStyle="1" w:styleId="38">
    <w:name w:val="KATA KUNCI"/>
    <w:qFormat/>
    <w:uiPriority w:val="0"/>
    <w:pPr>
      <w:spacing w:before="160" w:after="80"/>
    </w:pPr>
    <w:rPr>
      <w:rFonts w:ascii="Times New Roman" w:hAnsi="Times New Roman" w:eastAsia="Times New Roman" w:cs="Times New Roman"/>
      <w:bCs/>
      <w:iCs/>
      <w:szCs w:val="24"/>
      <w:lang w:val="en-US" w:eastAsia="ar-SA" w:bidi="ar-SA"/>
    </w:rPr>
  </w:style>
  <w:style w:type="paragraph" w:customStyle="1" w:styleId="39">
    <w:name w:val="SITASI"/>
    <w:basedOn w:val="37"/>
    <w:qFormat/>
    <w:uiPriority w:val="0"/>
    <w:pPr>
      <w:spacing w:before="160" w:after="120"/>
    </w:pPr>
    <w:rPr>
      <w:lang w:val="zh-CN"/>
    </w:rPr>
  </w:style>
  <w:style w:type="paragraph" w:customStyle="1" w:styleId="40">
    <w:name w:val="INFO"/>
    <w:basedOn w:val="37"/>
    <w:qFormat/>
    <w:uiPriority w:val="0"/>
    <w:pPr>
      <w:spacing w:after="120"/>
      <w:jc w:val="left"/>
    </w:pPr>
  </w:style>
  <w:style w:type="paragraph" w:customStyle="1" w:styleId="41">
    <w:name w:val="BODY PARAGRAP"/>
    <w:basedOn w:val="1"/>
    <w:link w:val="65"/>
    <w:qFormat/>
    <w:uiPriority w:val="0"/>
    <w:pPr>
      <w:spacing w:after="0" w:line="276" w:lineRule="auto"/>
      <w:ind w:firstLine="624"/>
      <w:jc w:val="both"/>
    </w:pPr>
    <w:rPr>
      <w:rFonts w:ascii="Palatino Linotype" w:hAnsi="Palatino Linotype" w:eastAsia="Times New Roman"/>
      <w:color w:val="000000"/>
      <w:szCs w:val="24"/>
    </w:rPr>
  </w:style>
  <w:style w:type="paragraph" w:customStyle="1" w:styleId="42">
    <w:name w:val="1 PENDAHULUAN"/>
    <w:basedOn w:val="2"/>
    <w:qFormat/>
    <w:uiPriority w:val="0"/>
    <w:pPr>
      <w:keepLines w:val="0"/>
      <w:suppressAutoHyphens/>
      <w:spacing w:before="200" w:after="100" w:line="240" w:lineRule="auto"/>
    </w:pPr>
    <w:rPr>
      <w:rFonts w:ascii="Times New Roman" w:hAnsi="Times New Roman"/>
      <w:b/>
      <w:caps/>
      <w:color w:val="auto"/>
      <w:sz w:val="24"/>
      <w:szCs w:val="20"/>
      <w:lang w:eastAsia="ar-SA"/>
    </w:rPr>
  </w:style>
  <w:style w:type="character" w:customStyle="1" w:styleId="43">
    <w:name w:val="Heading 1 Char"/>
    <w:link w:val="2"/>
    <w:qFormat/>
    <w:uiPriority w:val="9"/>
    <w:rPr>
      <w:rFonts w:ascii="Calibri Light" w:hAnsi="Calibri Light" w:eastAsia="Times New Roman" w:cs="Times New Roman"/>
      <w:color w:val="2E74B5"/>
      <w:sz w:val="32"/>
      <w:szCs w:val="32"/>
    </w:rPr>
  </w:style>
  <w:style w:type="paragraph" w:customStyle="1" w:styleId="44">
    <w:name w:val="2 MASALAH"/>
    <w:basedOn w:val="42"/>
    <w:qFormat/>
    <w:uiPriority w:val="0"/>
  </w:style>
  <w:style w:type="paragraph" w:customStyle="1" w:styleId="45">
    <w:name w:val="3 METODE"/>
    <w:basedOn w:val="2"/>
    <w:qFormat/>
    <w:uiPriority w:val="0"/>
    <w:pPr>
      <w:keepLines w:val="0"/>
      <w:suppressAutoHyphens/>
      <w:spacing w:before="200" w:after="100" w:line="240" w:lineRule="auto"/>
    </w:pPr>
    <w:rPr>
      <w:rFonts w:ascii="Times New Roman" w:hAnsi="Times New Roman"/>
      <w:b/>
      <w:caps/>
      <w:color w:val="auto"/>
      <w:sz w:val="24"/>
      <w:szCs w:val="20"/>
      <w:lang w:val="zh-CN" w:eastAsia="ar-SA"/>
    </w:rPr>
  </w:style>
  <w:style w:type="paragraph" w:customStyle="1" w:styleId="46">
    <w:name w:val="SUB JUDUL"/>
    <w:qFormat/>
    <w:uiPriority w:val="0"/>
    <w:pPr>
      <w:spacing w:before="200" w:after="100"/>
    </w:pPr>
    <w:rPr>
      <w:rFonts w:ascii="Times New Roman" w:hAnsi="Times New Roman" w:eastAsia="Times New Roman" w:cs="Times New Roman"/>
      <w:b/>
      <w:color w:val="000000"/>
      <w:sz w:val="24"/>
      <w:lang w:val="en-AU" w:eastAsia="ar-SA" w:bidi="ar-SA"/>
    </w:rPr>
  </w:style>
  <w:style w:type="paragraph" w:customStyle="1" w:styleId="47">
    <w:name w:val="4 PEMBAHASAN"/>
    <w:basedOn w:val="2"/>
    <w:qFormat/>
    <w:uiPriority w:val="0"/>
    <w:pPr>
      <w:keepLines w:val="0"/>
      <w:suppressAutoHyphens/>
      <w:spacing w:before="200" w:after="100" w:line="240" w:lineRule="auto"/>
    </w:pPr>
    <w:rPr>
      <w:rFonts w:ascii="Times New Roman" w:hAnsi="Times New Roman"/>
      <w:b/>
      <w:caps/>
      <w:color w:val="auto"/>
      <w:sz w:val="24"/>
      <w:szCs w:val="20"/>
      <w:lang w:val="zh-CN" w:eastAsia="ar-SA"/>
    </w:rPr>
  </w:style>
  <w:style w:type="paragraph" w:customStyle="1" w:styleId="48">
    <w:name w:val="JUDUL TABEL"/>
    <w:basedOn w:val="1"/>
    <w:qFormat/>
    <w:uiPriority w:val="0"/>
    <w:pPr>
      <w:numPr>
        <w:ilvl w:val="0"/>
        <w:numId w:val="2"/>
      </w:numPr>
      <w:spacing w:before="120" w:after="40" w:line="276" w:lineRule="auto"/>
      <w:ind w:left="0" w:firstLine="720"/>
      <w:contextualSpacing/>
      <w:jc w:val="both"/>
    </w:pPr>
    <w:rPr>
      <w:rFonts w:ascii="Palatino Linotype" w:hAnsi="Palatino Linotype" w:eastAsia="Times New Roman"/>
      <w:lang w:val="id-ID"/>
    </w:rPr>
  </w:style>
  <w:style w:type="paragraph" w:customStyle="1" w:styleId="49">
    <w:name w:val="JUDUL GAMBAR"/>
    <w:basedOn w:val="1"/>
    <w:qFormat/>
    <w:uiPriority w:val="0"/>
    <w:pPr>
      <w:numPr>
        <w:ilvl w:val="0"/>
        <w:numId w:val="3"/>
      </w:numPr>
      <w:spacing w:before="120" w:after="240" w:line="240" w:lineRule="auto"/>
      <w:ind w:left="0" w:firstLine="0"/>
    </w:pPr>
    <w:rPr>
      <w:rFonts w:ascii="Palatino Linotype" w:hAnsi="Palatino Linotype" w:eastAsia="Times New Roman"/>
      <w:lang w:val="id-ID"/>
    </w:rPr>
  </w:style>
  <w:style w:type="paragraph" w:customStyle="1" w:styleId="50">
    <w:name w:val="5 KESIMPULAN"/>
    <w:basedOn w:val="2"/>
    <w:qFormat/>
    <w:uiPriority w:val="0"/>
    <w:pPr>
      <w:keepLines w:val="0"/>
      <w:suppressAutoHyphens/>
      <w:spacing w:before="200" w:after="100" w:line="240" w:lineRule="auto"/>
    </w:pPr>
    <w:rPr>
      <w:rFonts w:ascii="Times New Roman" w:hAnsi="Times New Roman"/>
      <w:b/>
      <w:caps/>
      <w:color w:val="auto"/>
      <w:sz w:val="24"/>
      <w:szCs w:val="20"/>
      <w:lang w:eastAsia="ar-SA"/>
    </w:rPr>
  </w:style>
  <w:style w:type="paragraph" w:customStyle="1" w:styleId="51">
    <w:name w:val="6 UCAPAN TERIMA KASIH"/>
    <w:basedOn w:val="2"/>
    <w:qFormat/>
    <w:uiPriority w:val="0"/>
    <w:pPr>
      <w:keepLines w:val="0"/>
      <w:suppressAutoHyphens/>
      <w:spacing w:before="200" w:after="100" w:line="240" w:lineRule="auto"/>
    </w:pPr>
    <w:rPr>
      <w:rFonts w:ascii="Times New Roman" w:hAnsi="Times New Roman"/>
      <w:b/>
      <w:caps/>
      <w:color w:val="auto"/>
      <w:sz w:val="24"/>
      <w:szCs w:val="20"/>
      <w:lang w:eastAsia="ar-SA"/>
    </w:rPr>
  </w:style>
  <w:style w:type="paragraph" w:customStyle="1" w:styleId="52">
    <w:name w:val="7 DAFTAR PUSTAKA"/>
    <w:basedOn w:val="2"/>
    <w:qFormat/>
    <w:uiPriority w:val="0"/>
    <w:pPr>
      <w:keepLines w:val="0"/>
      <w:suppressAutoHyphens/>
      <w:spacing w:before="200" w:after="160" w:line="240" w:lineRule="auto"/>
    </w:pPr>
    <w:rPr>
      <w:rFonts w:ascii="Times New Roman" w:hAnsi="Times New Roman"/>
      <w:b/>
      <w:caps/>
      <w:color w:val="auto"/>
      <w:sz w:val="24"/>
      <w:szCs w:val="20"/>
      <w:lang w:eastAsia="ar-SA"/>
    </w:rPr>
  </w:style>
  <w:style w:type="paragraph" w:customStyle="1" w:styleId="53">
    <w:name w:val="DAFTAR PUSTAKA"/>
    <w:basedOn w:val="1"/>
    <w:qFormat/>
    <w:uiPriority w:val="0"/>
    <w:pPr>
      <w:spacing w:after="120" w:line="240" w:lineRule="auto"/>
      <w:ind w:left="567" w:hanging="567"/>
      <w:jc w:val="both"/>
    </w:pPr>
    <w:rPr>
      <w:rFonts w:ascii="Palatino Linotype" w:hAnsi="Palatino Linotype" w:eastAsia="Times New Roman"/>
      <w:iCs/>
      <w:color w:val="000000"/>
      <w:sz w:val="20"/>
      <w:szCs w:val="24"/>
    </w:rPr>
  </w:style>
  <w:style w:type="character" w:customStyle="1" w:styleId="54">
    <w:name w:val="Header Char"/>
    <w:basedOn w:val="11"/>
    <w:link w:val="23"/>
    <w:qFormat/>
    <w:uiPriority w:val="99"/>
  </w:style>
  <w:style w:type="character" w:customStyle="1" w:styleId="55">
    <w:name w:val="Footer Char"/>
    <w:basedOn w:val="11"/>
    <w:link w:val="22"/>
    <w:qFormat/>
    <w:uiPriority w:val="0"/>
  </w:style>
  <w:style w:type="character" w:customStyle="1" w:styleId="56">
    <w:name w:val="Unresolved Mention1"/>
    <w:semiHidden/>
    <w:unhideWhenUsed/>
    <w:qFormat/>
    <w:uiPriority w:val="99"/>
    <w:rPr>
      <w:color w:val="605E5C"/>
      <w:shd w:val="clear" w:color="auto" w:fill="E1DFDD"/>
    </w:rPr>
  </w:style>
  <w:style w:type="paragraph" w:customStyle="1" w:styleId="57">
    <w:name w:val="6 Abstract Text"/>
    <w:basedOn w:val="27"/>
    <w:qFormat/>
    <w:uiPriority w:val="0"/>
    <w:pPr>
      <w:spacing w:line="240" w:lineRule="auto"/>
      <w:jc w:val="both"/>
    </w:pPr>
    <w:rPr>
      <w:rFonts w:eastAsia="Times New Roman"/>
      <w:sz w:val="20"/>
      <w:lang w:val="en"/>
    </w:rPr>
  </w:style>
  <w:style w:type="paragraph" w:customStyle="1" w:styleId="58">
    <w:name w:val="11 CC"/>
    <w:basedOn w:val="1"/>
    <w:qFormat/>
    <w:uiPriority w:val="0"/>
    <w:pPr>
      <w:spacing w:after="240" w:line="240" w:lineRule="auto"/>
      <w:ind w:left="1418"/>
    </w:pPr>
    <w:rPr>
      <w:rFonts w:ascii="Palatino Linotype" w:hAnsi="Palatino Linotype"/>
      <w:sz w:val="16"/>
    </w:rPr>
  </w:style>
  <w:style w:type="character" w:customStyle="1" w:styleId="59">
    <w:name w:val="Balloon Text Char"/>
    <w:link w:val="13"/>
    <w:semiHidden/>
    <w:qFormat/>
    <w:uiPriority w:val="99"/>
    <w:rPr>
      <w:rFonts w:ascii="Segoe UI" w:hAnsi="Segoe UI" w:cs="Segoe UI"/>
      <w:sz w:val="18"/>
      <w:szCs w:val="18"/>
      <w:lang w:val="en-US" w:eastAsia="en-US"/>
    </w:rPr>
  </w:style>
  <w:style w:type="paragraph" w:customStyle="1" w:styleId="60">
    <w:name w:val="3 Author Affiliation"/>
    <w:next w:val="1"/>
    <w:qFormat/>
    <w:uiPriority w:val="0"/>
    <w:pPr>
      <w:suppressAutoHyphens/>
    </w:pPr>
    <w:rPr>
      <w:rFonts w:ascii="Times New Roman" w:hAnsi="Times New Roman" w:eastAsia="SimSun" w:cs="Times New Roman"/>
      <w:sz w:val="18"/>
      <w:lang w:val="en-US" w:eastAsia="en-US" w:bidi="ar-SA"/>
    </w:rPr>
  </w:style>
  <w:style w:type="character" w:customStyle="1" w:styleId="61">
    <w:name w:val="Comment Text Char"/>
    <w:link w:val="18"/>
    <w:semiHidden/>
    <w:uiPriority w:val="99"/>
    <w:rPr>
      <w:lang w:val="en-US" w:eastAsia="en-US"/>
    </w:rPr>
  </w:style>
  <w:style w:type="character" w:customStyle="1" w:styleId="62">
    <w:name w:val="Comment Subject Char"/>
    <w:link w:val="19"/>
    <w:semiHidden/>
    <w:qFormat/>
    <w:uiPriority w:val="99"/>
    <w:rPr>
      <w:b/>
      <w:bCs/>
      <w:lang w:val="en-US" w:eastAsia="en-US"/>
    </w:rPr>
  </w:style>
  <w:style w:type="character" w:customStyle="1" w:styleId="63">
    <w:name w:val="Body Text Indent 2 Char"/>
    <w:basedOn w:val="11"/>
    <w:link w:val="15"/>
    <w:semiHidden/>
    <w:qFormat/>
    <w:uiPriority w:val="99"/>
    <w:rPr>
      <w:sz w:val="22"/>
      <w:szCs w:val="22"/>
      <w:lang w:val="en-US" w:eastAsia="en-US"/>
    </w:rPr>
  </w:style>
  <w:style w:type="paragraph" w:customStyle="1" w:styleId="64">
    <w:name w:val="Style1"/>
    <w:basedOn w:val="41"/>
    <w:link w:val="66"/>
    <w:qFormat/>
    <w:uiPriority w:val="0"/>
    <w:pPr>
      <w:ind w:firstLine="567"/>
    </w:pPr>
    <w:rPr>
      <w:color w:val="4472C4" w:themeColor="accent1"/>
      <w:sz w:val="20"/>
      <w:szCs w:val="20"/>
      <w:lang w:val="en-AU"/>
      <w14:textFill>
        <w14:solidFill>
          <w14:schemeClr w14:val="accent1"/>
        </w14:solidFill>
      </w14:textFill>
    </w:rPr>
  </w:style>
  <w:style w:type="character" w:customStyle="1" w:styleId="65">
    <w:name w:val="BODY PARAGRAP Char"/>
    <w:basedOn w:val="11"/>
    <w:link w:val="41"/>
    <w:qFormat/>
    <w:uiPriority w:val="0"/>
    <w:rPr>
      <w:rFonts w:ascii="Palatino Linotype" w:hAnsi="Palatino Linotype" w:eastAsia="Times New Roman"/>
      <w:color w:val="000000"/>
      <w:sz w:val="22"/>
      <w:szCs w:val="24"/>
      <w:lang w:val="en-US" w:eastAsia="en-US"/>
    </w:rPr>
  </w:style>
  <w:style w:type="character" w:customStyle="1" w:styleId="66">
    <w:name w:val="Style1 Char"/>
    <w:basedOn w:val="65"/>
    <w:link w:val="64"/>
    <w:qFormat/>
    <w:uiPriority w:val="0"/>
    <w:rPr>
      <w:rFonts w:ascii="Palatino Linotype" w:hAnsi="Palatino Linotype" w:eastAsia="Times New Roman"/>
      <w:color w:val="4472C4" w:themeColor="accent1"/>
      <w:sz w:val="22"/>
      <w:szCs w:val="24"/>
      <w:lang w:val="en-AU" w:eastAsia="en-US"/>
      <w14:textFill>
        <w14:solidFill>
          <w14:schemeClr w14:val="accent1"/>
        </w14:solidFill>
      </w14:textFill>
    </w:rPr>
  </w:style>
  <w:style w:type="character" w:customStyle="1" w:styleId="67">
    <w:name w:val="Heading 5 Char"/>
    <w:basedOn w:val="11"/>
    <w:link w:val="6"/>
    <w:qFormat/>
    <w:uiPriority w:val="9"/>
    <w:rPr>
      <w:rFonts w:asciiTheme="majorHAnsi" w:hAnsiTheme="majorHAnsi" w:eastAsiaTheme="majorEastAsia" w:cstheme="majorBidi"/>
      <w:color w:val="2F5597" w:themeColor="accent1" w:themeShade="BF"/>
      <w:sz w:val="22"/>
      <w:szCs w:val="22"/>
      <w:lang w:val="en-US" w:eastAsia="en-US"/>
    </w:rPr>
  </w:style>
  <w:style w:type="character" w:customStyle="1" w:styleId="68">
    <w:name w:val="Heading 2 Char"/>
    <w:basedOn w:val="11"/>
    <w:link w:val="3"/>
    <w:uiPriority w:val="9"/>
    <w:rPr>
      <w:rFonts w:ascii="Garamond" w:hAnsi="Garamond" w:eastAsia="MS Mincho"/>
      <w:i/>
      <w:iCs/>
      <w:lang w:val="en-US" w:eastAsia="en-US"/>
    </w:rPr>
  </w:style>
  <w:style w:type="character" w:customStyle="1" w:styleId="69">
    <w:name w:val="Heading 3 Char"/>
    <w:basedOn w:val="11"/>
    <w:link w:val="4"/>
    <w:qFormat/>
    <w:uiPriority w:val="0"/>
    <w:rPr>
      <w:rFonts w:ascii="Garamond" w:hAnsi="Garamond" w:eastAsia="MS Mincho"/>
      <w:i/>
      <w:iCs/>
      <w:lang w:val="en-US" w:eastAsia="en-US"/>
    </w:rPr>
  </w:style>
  <w:style w:type="character" w:customStyle="1" w:styleId="70">
    <w:name w:val="Heading 4 Char"/>
    <w:basedOn w:val="11"/>
    <w:link w:val="5"/>
    <w:qFormat/>
    <w:uiPriority w:val="9"/>
    <w:rPr>
      <w:rFonts w:ascii="Garamond" w:hAnsi="Garamond" w:eastAsia="MS Mincho"/>
      <w:i/>
      <w:iCs/>
      <w:lang w:val="en-US" w:eastAsia="en-US"/>
    </w:rPr>
  </w:style>
  <w:style w:type="character" w:customStyle="1" w:styleId="71">
    <w:name w:val="Heading 6 Char"/>
    <w:basedOn w:val="11"/>
    <w:link w:val="7"/>
    <w:qFormat/>
    <w:uiPriority w:val="0"/>
    <w:rPr>
      <w:rFonts w:ascii="Times New Roman" w:hAnsi="Times New Roman" w:eastAsia="Times New Roman"/>
      <w:b/>
      <w:bCs/>
      <w:sz w:val="22"/>
      <w:szCs w:val="22"/>
      <w:lang w:val="en-US" w:eastAsia="en-US"/>
    </w:rPr>
  </w:style>
  <w:style w:type="character" w:customStyle="1" w:styleId="72">
    <w:name w:val="Heading 7 Char"/>
    <w:basedOn w:val="11"/>
    <w:link w:val="8"/>
    <w:semiHidden/>
    <w:qFormat/>
    <w:uiPriority w:val="9"/>
    <w:rPr>
      <w:rFonts w:eastAsia="Times New Roman"/>
      <w:sz w:val="24"/>
      <w:szCs w:val="24"/>
      <w:lang w:val="en-US" w:eastAsia="en-US"/>
    </w:rPr>
  </w:style>
  <w:style w:type="character" w:customStyle="1" w:styleId="73">
    <w:name w:val="Heading 8 Char"/>
    <w:basedOn w:val="11"/>
    <w:link w:val="9"/>
    <w:semiHidden/>
    <w:qFormat/>
    <w:uiPriority w:val="9"/>
    <w:rPr>
      <w:rFonts w:eastAsia="Times New Roman"/>
      <w:i/>
      <w:iCs/>
      <w:sz w:val="24"/>
      <w:szCs w:val="24"/>
      <w:lang w:val="en-US" w:eastAsia="en-US"/>
    </w:rPr>
  </w:style>
  <w:style w:type="character" w:customStyle="1" w:styleId="74">
    <w:name w:val="Heading 9 Char"/>
    <w:basedOn w:val="11"/>
    <w:link w:val="10"/>
    <w:semiHidden/>
    <w:uiPriority w:val="9"/>
    <w:rPr>
      <w:rFonts w:ascii="Calibri Light" w:hAnsi="Calibri Light" w:eastAsia="Times New Roman"/>
      <w:sz w:val="22"/>
      <w:szCs w:val="22"/>
      <w:lang w:val="en-US" w:eastAsia="en-US"/>
    </w:rPr>
  </w:style>
  <w:style w:type="character" w:customStyle="1" w:styleId="75">
    <w:name w:val="Body Text Char"/>
    <w:uiPriority w:val="0"/>
    <w:rPr>
      <w:rFonts w:ascii="Times New Roman" w:hAnsi="Times New Roman" w:eastAsia="MS Mincho" w:cs="Times New Roman"/>
      <w:sz w:val="20"/>
      <w:szCs w:val="20"/>
    </w:rPr>
  </w:style>
  <w:style w:type="paragraph" w:customStyle="1" w:styleId="76">
    <w:name w:val="Heading"/>
    <w:basedOn w:val="1"/>
    <w:next w:val="14"/>
    <w:uiPriority w:val="0"/>
    <w:pPr>
      <w:keepNext/>
      <w:suppressAutoHyphens/>
      <w:spacing w:before="240" w:after="120" w:line="240" w:lineRule="auto"/>
      <w:jc w:val="center"/>
    </w:pPr>
    <w:rPr>
      <w:rFonts w:ascii="Liberation Sans" w:hAnsi="Liberation Sans" w:eastAsia="Droid Sans Fallback" w:cs="FreeSans"/>
      <w:sz w:val="28"/>
      <w:szCs w:val="28"/>
      <w:lang w:eastAsia="zh-CN"/>
    </w:rPr>
  </w:style>
  <w:style w:type="character" w:customStyle="1" w:styleId="77">
    <w:name w:val="Body Text Char1"/>
    <w:basedOn w:val="11"/>
    <w:link w:val="14"/>
    <w:uiPriority w:val="0"/>
    <w:rPr>
      <w:rFonts w:ascii="Garamond" w:hAnsi="Garamond" w:eastAsia="MS Mincho"/>
      <w:spacing w:val="-1"/>
      <w:lang w:val="en-US" w:eastAsia="zh-CN"/>
    </w:rPr>
  </w:style>
  <w:style w:type="paragraph" w:customStyle="1" w:styleId="78">
    <w:name w:val="Index"/>
    <w:basedOn w:val="1"/>
    <w:qFormat/>
    <w:uiPriority w:val="0"/>
    <w:pPr>
      <w:suppressLineNumbers/>
      <w:suppressAutoHyphens/>
      <w:spacing w:after="0" w:line="240" w:lineRule="auto"/>
      <w:jc w:val="center"/>
    </w:pPr>
    <w:rPr>
      <w:rFonts w:ascii="Times New Roman" w:hAnsi="Times New Roman" w:eastAsia="Times New Roman" w:cs="FreeSans"/>
      <w:sz w:val="20"/>
      <w:szCs w:val="20"/>
      <w:lang w:eastAsia="zh-CN"/>
    </w:rPr>
  </w:style>
  <w:style w:type="paragraph" w:customStyle="1" w:styleId="79">
    <w:name w:val="inf_Abstract"/>
    <w:qFormat/>
    <w:uiPriority w:val="0"/>
    <w:pPr>
      <w:shd w:val="clear" w:color="auto" w:fill="DEEAF6"/>
      <w:suppressAutoHyphens/>
      <w:spacing w:after="200"/>
      <w:jc w:val="both"/>
    </w:pPr>
    <w:rPr>
      <w:rFonts w:ascii="Garamond" w:hAnsi="Garamond" w:eastAsia="Times New Roman" w:cs="Times New Roman"/>
      <w:bCs/>
      <w:sz w:val="18"/>
      <w:szCs w:val="18"/>
      <w:lang w:val="en-US" w:eastAsia="zh-CN" w:bidi="ar-SA"/>
    </w:rPr>
  </w:style>
  <w:style w:type="paragraph" w:customStyle="1" w:styleId="80">
    <w:name w:val="inf_Affiliation"/>
    <w:qFormat/>
    <w:uiPriority w:val="0"/>
    <w:pPr>
      <w:suppressAutoHyphens/>
      <w:jc w:val="right"/>
    </w:pPr>
    <w:rPr>
      <w:rFonts w:ascii="Garamond" w:hAnsi="Garamond" w:eastAsia="Times New Roman" w:cs="Times New Roman"/>
      <w:lang w:val="en-US" w:eastAsia="zh-CN" w:bidi="ar-SA"/>
    </w:rPr>
  </w:style>
  <w:style w:type="paragraph" w:customStyle="1" w:styleId="81">
    <w:name w:val="inf_Author"/>
    <w:next w:val="80"/>
    <w:qFormat/>
    <w:uiPriority w:val="0"/>
    <w:pPr>
      <w:suppressAutoHyphens/>
      <w:spacing w:before="120" w:after="40"/>
      <w:jc w:val="center"/>
    </w:pPr>
    <w:rPr>
      <w:rFonts w:ascii="Garamond" w:hAnsi="Garamond" w:eastAsia="Times New Roman" w:cs="Times New Roman"/>
      <w:b/>
      <w:sz w:val="22"/>
      <w:szCs w:val="22"/>
      <w:lang w:val="en-US" w:eastAsia="en-US" w:bidi="ar-SA"/>
    </w:rPr>
  </w:style>
  <w:style w:type="paragraph" w:customStyle="1" w:styleId="82">
    <w:name w:val="bullet list"/>
    <w:basedOn w:val="14"/>
    <w:qFormat/>
    <w:uiPriority w:val="0"/>
    <w:pPr>
      <w:numPr>
        <w:ilvl w:val="0"/>
        <w:numId w:val="4"/>
      </w:numPr>
      <w:ind w:left="576" w:hanging="288"/>
    </w:pPr>
  </w:style>
  <w:style w:type="paragraph" w:customStyle="1" w:styleId="83">
    <w:name w:val="inf_equation"/>
    <w:basedOn w:val="1"/>
    <w:qFormat/>
    <w:uiPriority w:val="0"/>
    <w:pPr>
      <w:tabs>
        <w:tab w:val="center" w:pos="2520"/>
        <w:tab w:val="right" w:pos="5040"/>
      </w:tabs>
      <w:suppressAutoHyphens/>
      <w:spacing w:before="120" w:after="180" w:line="216" w:lineRule="auto"/>
      <w:contextualSpacing/>
      <w:jc w:val="center"/>
    </w:pPr>
    <w:rPr>
      <w:rFonts w:ascii="Symbol" w:hAnsi="Symbol" w:eastAsia="Times New Roman" w:cs="Symbol"/>
      <w:sz w:val="20"/>
      <w:szCs w:val="20"/>
      <w:lang w:eastAsia="zh-CN"/>
    </w:rPr>
  </w:style>
  <w:style w:type="paragraph" w:customStyle="1" w:styleId="84">
    <w:name w:val="inf_figureCaption"/>
    <w:qFormat/>
    <w:uiPriority w:val="0"/>
    <w:pPr>
      <w:numPr>
        <w:ilvl w:val="0"/>
        <w:numId w:val="5"/>
      </w:numPr>
      <w:tabs>
        <w:tab w:val="left" w:pos="288"/>
      </w:tabs>
      <w:suppressAutoHyphens/>
      <w:spacing w:before="80" w:after="200"/>
      <w:jc w:val="center"/>
    </w:pPr>
    <w:rPr>
      <w:rFonts w:ascii="Garamond" w:hAnsi="Garamond" w:eastAsia="Times New Roman" w:cs="Times New Roman"/>
      <w:b/>
      <w:sz w:val="16"/>
      <w:szCs w:val="16"/>
      <w:lang w:val="en-US" w:eastAsia="en-US" w:bidi="ar-SA"/>
    </w:rPr>
  </w:style>
  <w:style w:type="paragraph" w:customStyle="1" w:styleId="85">
    <w:name w:val="footnote"/>
    <w:qFormat/>
    <w:uiPriority w:val="0"/>
    <w:pPr>
      <w:numPr>
        <w:ilvl w:val="0"/>
        <w:numId w:val="6"/>
      </w:numPr>
      <w:suppressAutoHyphens/>
      <w:spacing w:after="40"/>
    </w:pPr>
    <w:rPr>
      <w:rFonts w:ascii="Times New Roman" w:hAnsi="Times New Roman" w:eastAsia="Times New Roman" w:cs="Times New Roman"/>
      <w:sz w:val="16"/>
      <w:szCs w:val="16"/>
      <w:lang w:val="en-US" w:eastAsia="zh-CN" w:bidi="ar-SA"/>
    </w:rPr>
  </w:style>
  <w:style w:type="paragraph" w:customStyle="1" w:styleId="86">
    <w:name w:val="inf_keyWords"/>
    <w:qFormat/>
    <w:uiPriority w:val="0"/>
    <w:pPr>
      <w:shd w:val="clear" w:color="auto" w:fill="DEEAF6"/>
      <w:suppressAutoHyphens/>
      <w:spacing w:after="120"/>
      <w:jc w:val="both"/>
    </w:pPr>
    <w:rPr>
      <w:rFonts w:ascii="Garamond" w:hAnsi="Garamond" w:eastAsia="Times New Roman" w:cs="Times New Roman"/>
      <w:bCs/>
      <w:iCs/>
      <w:sz w:val="18"/>
      <w:szCs w:val="18"/>
      <w:lang w:val="en-US" w:eastAsia="en-US" w:bidi="ar-SA"/>
    </w:rPr>
  </w:style>
  <w:style w:type="paragraph" w:customStyle="1" w:styleId="87">
    <w:name w:val="inf_subTitle"/>
    <w:qFormat/>
    <w:uiPriority w:val="0"/>
    <w:pPr>
      <w:suppressAutoHyphens/>
      <w:spacing w:after="120"/>
      <w:jc w:val="right"/>
    </w:pPr>
    <w:rPr>
      <w:rFonts w:ascii="Garamond" w:hAnsi="Garamond" w:eastAsia="Times New Roman" w:cs="Times New Roman"/>
      <w:b/>
      <w:bCs/>
      <w:sz w:val="28"/>
      <w:szCs w:val="28"/>
      <w:lang w:val="en-US" w:eastAsia="en-US" w:bidi="ar-SA"/>
    </w:rPr>
  </w:style>
  <w:style w:type="paragraph" w:customStyle="1" w:styleId="88">
    <w:name w:val="inf_Title"/>
    <w:qFormat/>
    <w:uiPriority w:val="0"/>
    <w:pPr>
      <w:suppressAutoHyphens/>
      <w:spacing w:after="120"/>
      <w:jc w:val="right"/>
    </w:pPr>
    <w:rPr>
      <w:rFonts w:ascii="Garamond" w:hAnsi="Garamond" w:eastAsia="Times New Roman" w:cs="Times New Roman"/>
      <w:b/>
      <w:bCs/>
      <w:sz w:val="44"/>
      <w:szCs w:val="48"/>
      <w:lang w:val="en-US" w:eastAsia="en-US" w:bidi="ar-SA"/>
    </w:rPr>
  </w:style>
  <w:style w:type="paragraph" w:customStyle="1" w:styleId="89">
    <w:name w:val="inf_bibliography"/>
    <w:qFormat/>
    <w:uiPriority w:val="0"/>
    <w:pPr>
      <w:numPr>
        <w:ilvl w:val="0"/>
        <w:numId w:val="7"/>
      </w:numPr>
      <w:suppressAutoHyphens/>
      <w:spacing w:after="50" w:line="180" w:lineRule="exact"/>
      <w:jc w:val="both"/>
    </w:pPr>
    <w:rPr>
      <w:rFonts w:ascii="Garamond" w:hAnsi="Garamond" w:eastAsia="Times New Roman" w:cs="Times New Roman"/>
      <w:sz w:val="18"/>
      <w:szCs w:val="16"/>
      <w:lang w:val="en-US" w:eastAsia="en-US" w:bidi="ar-SA"/>
    </w:rPr>
  </w:style>
  <w:style w:type="paragraph" w:customStyle="1" w:styleId="90">
    <w:name w:val="sponsors"/>
    <w:qFormat/>
    <w:uiPriority w:val="0"/>
    <w:pPr>
      <w:pBdr>
        <w:top w:val="single" w:color="000000" w:sz="4" w:space="2"/>
      </w:pBdr>
      <w:suppressAutoHyphens/>
      <w:ind w:firstLine="288"/>
    </w:pPr>
    <w:rPr>
      <w:rFonts w:ascii="Times New Roman" w:hAnsi="Times New Roman" w:eastAsia="Times New Roman" w:cs="Times New Roman"/>
      <w:sz w:val="16"/>
      <w:szCs w:val="16"/>
      <w:lang w:val="en-US" w:eastAsia="zh-CN" w:bidi="ar-SA"/>
    </w:rPr>
  </w:style>
  <w:style w:type="paragraph" w:customStyle="1" w:styleId="91">
    <w:name w:val="table col head"/>
    <w:basedOn w:val="1"/>
    <w:qFormat/>
    <w:uiPriority w:val="0"/>
    <w:pPr>
      <w:suppressAutoHyphens/>
      <w:spacing w:after="0" w:line="240" w:lineRule="auto"/>
      <w:jc w:val="center"/>
    </w:pPr>
    <w:rPr>
      <w:rFonts w:ascii="Garamond" w:hAnsi="Garamond" w:eastAsia="Times New Roman"/>
      <w:b/>
      <w:bCs/>
      <w:sz w:val="16"/>
      <w:szCs w:val="16"/>
      <w:lang w:eastAsia="zh-CN"/>
    </w:rPr>
  </w:style>
  <w:style w:type="paragraph" w:customStyle="1" w:styleId="92">
    <w:name w:val="table col subhead"/>
    <w:basedOn w:val="91"/>
    <w:qFormat/>
    <w:uiPriority w:val="0"/>
    <w:rPr>
      <w:i/>
      <w:iCs/>
      <w:sz w:val="15"/>
      <w:szCs w:val="15"/>
    </w:rPr>
  </w:style>
  <w:style w:type="paragraph" w:customStyle="1" w:styleId="93">
    <w:name w:val="table copy"/>
    <w:qFormat/>
    <w:uiPriority w:val="0"/>
    <w:pPr>
      <w:suppressAutoHyphens/>
      <w:jc w:val="both"/>
    </w:pPr>
    <w:rPr>
      <w:rFonts w:ascii="Garamond" w:hAnsi="Garamond" w:eastAsia="Times New Roman" w:cs="Times New Roman"/>
      <w:sz w:val="16"/>
      <w:szCs w:val="16"/>
      <w:lang w:val="en-US" w:eastAsia="en-US" w:bidi="ar-SA"/>
    </w:rPr>
  </w:style>
  <w:style w:type="paragraph" w:customStyle="1" w:styleId="94">
    <w:name w:val="table footnote"/>
    <w:qFormat/>
    <w:uiPriority w:val="0"/>
    <w:pPr>
      <w:numPr>
        <w:ilvl w:val="0"/>
        <w:numId w:val="8"/>
      </w:numPr>
      <w:tabs>
        <w:tab w:val="left" w:pos="29"/>
      </w:tabs>
      <w:suppressAutoHyphens/>
      <w:spacing w:before="60" w:after="30"/>
      <w:ind w:left="360" w:firstLine="0"/>
      <w:jc w:val="right"/>
    </w:pPr>
    <w:rPr>
      <w:rFonts w:ascii="Garamond" w:hAnsi="Garamond" w:eastAsia="MS Mincho" w:cs="Times New Roman"/>
      <w:sz w:val="12"/>
      <w:szCs w:val="12"/>
      <w:lang w:val="en-US" w:eastAsia="zh-CN" w:bidi="ar-SA"/>
    </w:rPr>
  </w:style>
  <w:style w:type="paragraph" w:customStyle="1" w:styleId="95">
    <w:name w:val="Inf_tableHead"/>
    <w:qFormat/>
    <w:uiPriority w:val="0"/>
    <w:pPr>
      <w:keepNext/>
      <w:numPr>
        <w:ilvl w:val="0"/>
        <w:numId w:val="9"/>
      </w:numPr>
      <w:suppressAutoHyphens/>
      <w:spacing w:before="240" w:after="120" w:line="216" w:lineRule="auto"/>
      <w:jc w:val="center"/>
    </w:pPr>
    <w:rPr>
      <w:rFonts w:ascii="Garamond" w:hAnsi="Garamond" w:eastAsia="Times New Roman" w:cs="Times New Roman"/>
      <w:sz w:val="16"/>
      <w:szCs w:val="16"/>
      <w:lang w:val="en-US" w:eastAsia="en-US" w:bidi="ar-SA"/>
    </w:rPr>
  </w:style>
  <w:style w:type="paragraph" w:customStyle="1" w:styleId="96">
    <w:name w:val="Frame Contents"/>
    <w:basedOn w:val="1"/>
    <w:qFormat/>
    <w:uiPriority w:val="0"/>
    <w:pPr>
      <w:suppressAutoHyphens/>
      <w:spacing w:after="0" w:line="240" w:lineRule="auto"/>
      <w:jc w:val="center"/>
    </w:pPr>
    <w:rPr>
      <w:rFonts w:ascii="Times New Roman" w:hAnsi="Times New Roman" w:eastAsia="Times New Roman"/>
      <w:sz w:val="20"/>
      <w:szCs w:val="20"/>
      <w:lang w:eastAsia="zh-CN"/>
    </w:rPr>
  </w:style>
  <w:style w:type="paragraph" w:customStyle="1" w:styleId="97">
    <w:name w:val="Table Contents"/>
    <w:basedOn w:val="1"/>
    <w:qFormat/>
    <w:uiPriority w:val="0"/>
    <w:pPr>
      <w:suppressLineNumbers/>
      <w:suppressAutoHyphens/>
      <w:spacing w:after="0" w:line="240" w:lineRule="auto"/>
      <w:jc w:val="center"/>
    </w:pPr>
    <w:rPr>
      <w:rFonts w:ascii="Times New Roman" w:hAnsi="Times New Roman" w:eastAsia="Times New Roman"/>
      <w:sz w:val="20"/>
      <w:szCs w:val="20"/>
      <w:lang w:eastAsia="zh-CN"/>
    </w:rPr>
  </w:style>
  <w:style w:type="paragraph" w:customStyle="1" w:styleId="98">
    <w:name w:val="Table Heading"/>
    <w:basedOn w:val="97"/>
    <w:uiPriority w:val="0"/>
    <w:rPr>
      <w:b/>
      <w:bCs/>
    </w:rPr>
  </w:style>
  <w:style w:type="paragraph" w:customStyle="1" w:styleId="99">
    <w:name w:val="inf_biblio_2"/>
    <w:basedOn w:val="89"/>
    <w:qFormat/>
    <w:uiPriority w:val="0"/>
    <w:pPr>
      <w:numPr>
        <w:ilvl w:val="0"/>
        <w:numId w:val="0"/>
      </w:numPr>
      <w:ind w:left="288" w:hanging="288"/>
    </w:pPr>
  </w:style>
  <w:style w:type="paragraph" w:customStyle="1" w:styleId="100">
    <w:name w:val="inf_figureFrame"/>
    <w:basedOn w:val="14"/>
    <w:qFormat/>
    <w:uiPriority w:val="0"/>
    <w:pPr>
      <w:ind w:firstLine="0"/>
    </w:pPr>
  </w:style>
  <w:style w:type="paragraph" w:styleId="101">
    <w:name w:val="List Paragraph"/>
    <w:basedOn w:val="1"/>
    <w:link w:val="115"/>
    <w:qFormat/>
    <w:uiPriority w:val="34"/>
    <w:pPr>
      <w:spacing w:after="200" w:line="276" w:lineRule="auto"/>
      <w:ind w:left="720"/>
      <w:contextualSpacing/>
    </w:pPr>
    <w:rPr>
      <w:rFonts w:eastAsia="SimSun"/>
      <w:lang w:eastAsia="zh-CN"/>
    </w:rPr>
  </w:style>
  <w:style w:type="paragraph" w:customStyle="1" w:styleId="102">
    <w:name w:val="Equation"/>
    <w:basedOn w:val="1"/>
    <w:uiPriority w:val="0"/>
    <w:pPr>
      <w:tabs>
        <w:tab w:val="center" w:pos="4320"/>
        <w:tab w:val="right" w:pos="9242"/>
      </w:tabs>
      <w:spacing w:after="0" w:line="240" w:lineRule="auto"/>
      <w:jc w:val="center"/>
    </w:pPr>
    <w:rPr>
      <w:rFonts w:ascii="Times New Roman" w:hAnsi="Times New Roman" w:eastAsia="Times New Roman"/>
      <w:sz w:val="20"/>
      <w:szCs w:val="20"/>
    </w:rPr>
  </w:style>
  <w:style w:type="paragraph" w:customStyle="1" w:styleId="103">
    <w:name w:val="Text"/>
    <w:basedOn w:val="1"/>
    <w:qFormat/>
    <w:uiPriority w:val="99"/>
    <w:pPr>
      <w:tabs>
        <w:tab w:val="right" w:pos="7200"/>
      </w:tabs>
      <w:spacing w:after="0" w:line="260" w:lineRule="exact"/>
      <w:jc w:val="both"/>
    </w:pPr>
    <w:rPr>
      <w:rFonts w:ascii="Times New Roman" w:hAnsi="Times New Roman" w:eastAsia="MS Mincho"/>
      <w:sz w:val="20"/>
      <w:szCs w:val="24"/>
    </w:rPr>
  </w:style>
  <w:style w:type="paragraph" w:customStyle="1" w:styleId="104">
    <w:name w:val="References"/>
    <w:basedOn w:val="1"/>
    <w:qFormat/>
    <w:uiPriority w:val="0"/>
    <w:pPr>
      <w:numPr>
        <w:ilvl w:val="0"/>
        <w:numId w:val="10"/>
      </w:numPr>
      <w:autoSpaceDE w:val="0"/>
      <w:autoSpaceDN w:val="0"/>
      <w:spacing w:after="0" w:line="240" w:lineRule="auto"/>
      <w:jc w:val="both"/>
    </w:pPr>
    <w:rPr>
      <w:rFonts w:ascii="Times New Roman" w:hAnsi="Times New Roman" w:eastAsia="Times New Roman"/>
      <w:sz w:val="16"/>
      <w:szCs w:val="16"/>
    </w:rPr>
  </w:style>
  <w:style w:type="character" w:customStyle="1" w:styleId="105">
    <w:name w:val="HTML Preformatted Char"/>
    <w:basedOn w:val="11"/>
    <w:link w:val="24"/>
    <w:qFormat/>
    <w:uiPriority w:val="0"/>
    <w:rPr>
      <w:rFonts w:ascii="Courier New" w:hAnsi="Courier New" w:eastAsia="Times New Roman" w:cs="Courier New"/>
      <w:lang w:val="en-US" w:eastAsia="en-US"/>
    </w:rPr>
  </w:style>
  <w:style w:type="paragraph" w:styleId="106">
    <w:name w:val="No Spacing"/>
    <w:qFormat/>
    <w:uiPriority w:val="0"/>
    <w:rPr>
      <w:rFonts w:ascii="Calibri" w:hAnsi="Calibri" w:eastAsia="Calibri" w:cs="Times New Roman"/>
      <w:sz w:val="22"/>
      <w:szCs w:val="22"/>
      <w:lang w:val="en-US" w:eastAsia="en-US" w:bidi="ar-SA"/>
    </w:rPr>
  </w:style>
  <w:style w:type="paragraph" w:customStyle="1" w:styleId="107">
    <w:name w:val="BodyText BCREC"/>
    <w:basedOn w:val="1"/>
    <w:link w:val="108"/>
    <w:qFormat/>
    <w:uiPriority w:val="0"/>
    <w:pPr>
      <w:widowControl w:val="0"/>
      <w:autoSpaceDE w:val="0"/>
      <w:autoSpaceDN w:val="0"/>
      <w:adjustRightInd w:val="0"/>
      <w:spacing w:after="0" w:line="360" w:lineRule="auto"/>
      <w:ind w:firstLine="340"/>
      <w:jc w:val="both"/>
      <w:textAlignment w:val="baseline"/>
    </w:pPr>
    <w:rPr>
      <w:rFonts w:ascii="Times New Roman" w:hAnsi="Times New Roman" w:eastAsia="BatangChe"/>
      <w:sz w:val="24"/>
      <w:szCs w:val="20"/>
      <w:lang w:eastAsia="ko-KR"/>
    </w:rPr>
  </w:style>
  <w:style w:type="character" w:customStyle="1" w:styleId="108">
    <w:name w:val="BodyText BCREC Char"/>
    <w:link w:val="107"/>
    <w:qFormat/>
    <w:uiPriority w:val="0"/>
    <w:rPr>
      <w:rFonts w:ascii="Times New Roman" w:hAnsi="Times New Roman" w:eastAsia="BatangChe"/>
      <w:sz w:val="24"/>
      <w:lang w:val="en-US" w:eastAsia="ko-KR"/>
    </w:rPr>
  </w:style>
  <w:style w:type="character" w:customStyle="1" w:styleId="109">
    <w:name w:val="Unresolved Mention11"/>
    <w:semiHidden/>
    <w:unhideWhenUsed/>
    <w:qFormat/>
    <w:uiPriority w:val="99"/>
    <w:rPr>
      <w:color w:val="605E5C"/>
      <w:shd w:val="clear" w:color="auto" w:fill="E1DFDD"/>
    </w:rPr>
  </w:style>
  <w:style w:type="paragraph" w:customStyle="1" w:styleId="110">
    <w:name w:val="Content ICMAAE"/>
    <w:basedOn w:val="1"/>
    <w:link w:val="111"/>
    <w:qFormat/>
    <w:uiPriority w:val="0"/>
    <w:pPr>
      <w:spacing w:after="120" w:line="240" w:lineRule="auto"/>
      <w:ind w:firstLine="270"/>
      <w:jc w:val="both"/>
    </w:pPr>
    <w:rPr>
      <w:rFonts w:ascii="Times New Roman" w:hAnsi="Times New Roman"/>
      <w:sz w:val="20"/>
      <w:szCs w:val="20"/>
    </w:rPr>
  </w:style>
  <w:style w:type="character" w:customStyle="1" w:styleId="111">
    <w:name w:val="Content ICMAAE Char"/>
    <w:link w:val="110"/>
    <w:qFormat/>
    <w:uiPriority w:val="0"/>
    <w:rPr>
      <w:rFonts w:ascii="Times New Roman" w:hAnsi="Times New Roman"/>
      <w:lang w:val="en-US" w:eastAsia="en-US"/>
    </w:rPr>
  </w:style>
  <w:style w:type="paragraph" w:customStyle="1" w:styleId="112">
    <w:name w:val="heading1"/>
    <w:basedOn w:val="2"/>
    <w:next w:val="1"/>
    <w:qFormat/>
    <w:uiPriority w:val="0"/>
    <w:pPr>
      <w:keepLines w:val="0"/>
      <w:tabs>
        <w:tab w:val="left" w:pos="360"/>
      </w:tabs>
      <w:spacing w:after="240" w:line="240" w:lineRule="auto"/>
      <w:jc w:val="both"/>
    </w:pPr>
    <w:rPr>
      <w:rFonts w:ascii="Times New Roman" w:hAnsi="Times New Roman" w:cs="Arial"/>
      <w:b/>
      <w:bCs/>
      <w:color w:val="auto"/>
      <w:kern w:val="32"/>
      <w:sz w:val="28"/>
      <w:szCs w:val="28"/>
      <w:lang w:val="de-DE"/>
    </w:rPr>
  </w:style>
  <w:style w:type="paragraph" w:customStyle="1" w:styleId="113">
    <w:name w:val="Table Caption"/>
    <w:basedOn w:val="1"/>
    <w:qFormat/>
    <w:uiPriority w:val="0"/>
    <w:pPr>
      <w:suppressAutoHyphens/>
      <w:spacing w:after="0" w:line="240" w:lineRule="auto"/>
      <w:jc w:val="both"/>
    </w:pPr>
    <w:rPr>
      <w:rFonts w:ascii="Arial" w:hAnsi="Arial" w:eastAsia="Times New Roman"/>
      <w:sz w:val="16"/>
      <w:szCs w:val="24"/>
      <w:lang w:val="en-GB" w:eastAsia="ar-SA"/>
    </w:rPr>
  </w:style>
  <w:style w:type="character" w:customStyle="1" w:styleId="114">
    <w:name w:val="Title Char1"/>
    <w:qFormat/>
    <w:uiPriority w:val="10"/>
    <w:rPr>
      <w:rFonts w:ascii="Calibri Light" w:hAnsi="Calibri Light" w:eastAsia="Times New Roman" w:cs="Times New Roman"/>
      <w:b/>
      <w:bCs/>
      <w:kern w:val="28"/>
      <w:sz w:val="32"/>
      <w:szCs w:val="32"/>
      <w:lang w:eastAsia="zh-CN"/>
    </w:rPr>
  </w:style>
  <w:style w:type="character" w:customStyle="1" w:styleId="115">
    <w:name w:val="List Paragraph Char"/>
    <w:link w:val="101"/>
    <w:qFormat/>
    <w:uiPriority w:val="34"/>
    <w:rPr>
      <w:rFonts w:eastAsia="SimSun"/>
      <w:sz w:val="22"/>
      <w:szCs w:val="22"/>
      <w:lang w:val="en-US" w:eastAsia="zh-CN"/>
    </w:rPr>
  </w:style>
  <w:style w:type="character" w:styleId="116">
    <w:name w:val="Placeholder Text"/>
    <w:basedOn w:val="11"/>
    <w:unhideWhenUsed/>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1.emf"/><Relationship Id="rId8" Type="http://schemas.openxmlformats.org/officeDocument/2006/relationships/hyperlink" Target="http://creativecommons.org/licenses/by/4.0/" TargetMode="Externa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glossaryDocument" Target="glossary/document.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854013440"/>
        <w:style w:val=""/>
        <w:category>
          <w:name w:val="General"/>
          <w:gallery w:val="placeholder"/>
        </w:category>
        <w:types>
          <w:type w:val="bbPlcHdr"/>
        </w:types>
        <w:behaviors>
          <w:behavior w:val="content"/>
        </w:behaviors>
        <w:description w:val=""/>
        <w:guid w:val="{51C344BD-9558-4496-99D1-F2AF6699DD15}"/>
      </w:docPartPr>
      <w:docPartBody>
        <w:p w14:paraId="3FE651F7">
          <w:r>
            <w:rPr>
              <w:rStyle w:val="4"/>
            </w:rPr>
            <w:t>Click or tap here to enter text.</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游明朝">
    <w:altName w:val="SimSun"/>
    <w:panose1 w:val="00000000000000000000"/>
    <w:charset w:val="86"/>
    <w:family w:val="auto"/>
    <w:pitch w:val="default"/>
    <w:sig w:usb0="00000000" w:usb1="00000000" w:usb2="0000000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16AF"/>
    <w:rsid w:val="00B616AF"/>
    <w:rsid w:val="00B934BF"/>
    <w:rsid w:val="00BA437B"/>
  </w:rsids>
  <m:mathPr>
    <m:mathFont m:val="Cambria Math"/>
    <m:brkBin m:val="before"/>
    <m:brkBinSub m:val="--"/>
    <m:smallFrac m:val="0"/>
    <m:dispDef/>
    <m:lMargin m:val="0"/>
    <m:rMargin m:val="0"/>
    <m:defJc m:val="centerGroup"/>
    <m:wrapIndent m:val="1440"/>
    <m:intLim m:val="subSup"/>
    <m:naryLim m:val="undOvr"/>
  </m:mathPr>
  <w:themeFontLang w:val="zh-CN" w:eastAsia="ja-JP"/>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sdException w:uiPriority="99" w:semiHidden="0" w:name="Placeholder Text"/>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zh-CN" w:eastAsia="ja-JP"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unhideWhenUsed/>
    <w:uiPriority w:val="99"/>
    <w:rPr>
      <w:color w:val="666666"/>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F6AACFE-077D-4BD4-A943-68618763244E}">
  <ds:schemaRefs/>
</ds:datastoreItem>
</file>

<file path=docProps/app.xml><?xml version="1.0" encoding="utf-8"?>
<Properties xmlns="http://schemas.openxmlformats.org/officeDocument/2006/extended-properties" xmlns:vt="http://schemas.openxmlformats.org/officeDocument/2006/docPropsVTypes">
  <Template>Normal.dotm</Template>
  <Pages>11</Pages>
  <Words>4162</Words>
  <Characters>23725</Characters>
  <Lines>197</Lines>
  <Paragraphs>55</Paragraphs>
  <TotalTime>0</TotalTime>
  <ScaleCrop>false</ScaleCrop>
  <LinksUpToDate>false</LinksUpToDate>
  <CharactersWithSpaces>27832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2025-12-20T08:22:00Z</dcterms:created>
  <dcterms:modified xsi:type="dcterms:W3CDTF">2026-01-10T05:45:28Z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DD6AB2E5B4A34FC88E3651DC9CFE9C53_13</vt:lpwstr>
  </property>
</Properties>
</file>