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Spécification - Détection conformité NLP</w:t>
      </w:r>
    </w:p>
    <w:p>
      <w:r>
        <w:rPr>
          <w:i/>
        </w:rPr>
        <w:t xml:space="preserve">Document de synthèse pour Product Owner - 22 juin 2026</w:t>
      </w:r>
    </w:p>
    <w:p>
      <w:pPr>
        <w:pStyle w:val="Heading1"/>
      </w:pPr>
      <w:r>
        <w:t xml:space="preserve">Résumé exécutif</w:t>
      </w:r>
    </w:p>
    <w:p>
      <w:r>
        <w:t xml:space="preserve">Le dispositif analyse des textes ou documents d’adhésion afin de détecter des alertes de conformité. Il compare quatre stratégies complémentaires : règles déterministes, analyse linguistique spaCy, reconnaissance d’entités GLiNER et expressions régulières pour données structurées.</w:t>
      </w:r>
    </w:p>
    <w:p>
      <w:r>
        <w:t xml:space="preserve">Les résultats sont consolidés sous forme de Findings avec moteur, règle, section, terme détecté, score et métadonnées de branche.</w:t>
      </w:r>
    </w:p>
    <w:p>
      <w:pPr>
        <w:pStyle w:val="Heading1"/>
      </w:pPr>
      <w:r>
        <w:t xml:space="preserve">1. Spécification Fonctionnelle</w:t>
      </w:r>
    </w:p>
    <w:p>
      <w:pPr>
        <w:pStyle w:val="Heading2"/>
      </w:pPr>
      <w:r>
        <w:t xml:space="preserve">Objectif</w:t>
      </w:r>
    </w:p>
    <w:p>
      <w:r>
        <w:t xml:space="preserve">Détecter automatiquement des alertes de conformité dans des documents ou textes de test, pour faciliter la revue métier et la comparaison des approches de reconnaissance.</w:t>
      </w:r>
    </w:p>
    <w:p>
      <w:pPr>
        <w:pStyle w:val="Heading2"/>
      </w:pPr>
      <w:r>
        <w:t xml:space="preserve">Périmètre fonctionnel</w:t>
      </w:r>
    </w:p>
    <w:p>
      <w:pPr>
        <w:pStyle w:val="ListBullet"/>
        <w:numPr>
          <w:ilvl w:val="0"/>
          <w:numId w:val="1"/>
        </w:numPr>
      </w:pPr>
      <w:r>
        <w:t>Analyser un document complet ou des cas de test textuels.</w:t>
      </w:r>
    </w:p>
    <w:p>
      <w:pPr>
        <w:pStyle w:val="ListBullet"/>
        <w:numPr>
          <w:ilvl w:val="0"/>
          <w:numId w:val="1"/>
        </w:numPr>
      </w:pPr>
      <w:r>
        <w:t>Découper le texte en sections métier lorsque le document suit la structure attendue.</w:t>
      </w:r>
    </w:p>
    <w:p>
      <w:pPr>
        <w:pStyle w:val="ListBullet"/>
        <w:numPr>
          <w:ilvl w:val="0"/>
          <w:numId w:val="1"/>
        </w:numPr>
      </w:pPr>
      <w:r>
        <w:t>Activer ou désactiver chaque branche de détection depuis les notebooks.</w:t>
      </w:r>
    </w:p>
    <w:p>
      <w:pPr>
        <w:pStyle w:val="ListBullet"/>
        <w:numPr>
          <w:ilvl w:val="0"/>
          <w:numId w:val="1"/>
        </w:numPr>
      </w:pPr>
      <w:r>
        <w:t>Comparer les scores et les résultats par branche.</w:t>
      </w:r>
    </w:p>
    <w:p>
      <w:pPr>
        <w:pStyle w:val="ListBullet"/>
        <w:numPr>
          <w:ilvl w:val="0"/>
          <w:numId w:val="1"/>
        </w:numPr>
      </w:pPr>
      <w:r>
        <w:t>Centraliser les cas de test dans configs/test_cases.csv.</w:t>
      </w:r>
    </w:p>
    <w:p>
      <w:pPr>
        <w:pStyle w:val="ListBullet"/>
        <w:numPr>
          <w:ilvl w:val="0"/>
          <w:numId w:val="1"/>
        </w:numPr>
      </w:pPr>
      <w:r>
        <w:t>Conserver les modèles localement dans D:\Workspaces\modelStore et le cache dans D:\Workspaces\ModelCache.</w:t>
      </w:r>
    </w:p>
    <w:p>
      <w:pPr>
        <w:pStyle w:val="Heading2"/>
      </w:pPr>
      <w:r>
        <w:t xml:space="preserve">Branches fonctionnelles</w:t>
      </w:r>
    </w:p>
    <w:tbl>
      <w:tblPr>
        <w:tblStyle w:val="TableGrid"/>
        <w:tblW w:w="0" w:type="auto"/>
      </w:tblPr>
      <w:tr>
        <w:tc>
          <w:tcPr>
            <w:shd w:fill="D9EAF7"/>
          </w:tcPr>
          <w:p>
            <w:r>
              <w:rPr>
                <w:b/>
              </w:rPr>
              <w:t xml:space="preserve">Branche</w:t>
            </w:r>
          </w:p>
        </w:tc>
        <w:tc>
          <w:tcPr>
            <w:shd w:fill="D9EAF7"/>
          </w:tcPr>
          <w:p>
            <w:r>
              <w:rPr>
                <w:b/>
              </w:rPr>
              <w:t xml:space="preserve">Rôle fonctionnel</w:t>
            </w:r>
          </w:p>
        </w:tc>
        <w:tc>
          <w:tcPr>
            <w:shd w:fill="D9EAF7"/>
          </w:tcPr>
          <w:p>
            <w:r>
              <w:rPr>
                <w:b/>
              </w:rPr>
              <w:t xml:space="preserve">Exemples de détection</w:t>
            </w:r>
          </w:p>
        </w:tc>
      </w:tr>
      <w:tr>
        <w:tc>
          <w:tcPr/>
          <w:p>
            <w:r>
              <w:t xml:space="preserve">generic</w:t>
            </w:r>
          </w:p>
        </w:tc>
        <w:tc>
          <w:tcPr/>
          <w:p>
            <w:r>
              <w:t xml:space="preserve">Contrôles déterministes à partir du référentiel métier CSV.</w:t>
            </w:r>
          </w:p>
        </w:tc>
        <w:tc>
          <w:tcPr/>
          <w:p>
            <w:r>
              <w:t xml:space="preserve">sans risque, garantie, mes proches, diabétique</w:t>
            </w:r>
          </w:p>
        </w:tc>
      </w:tr>
      <w:tr>
        <w:tc>
          <w:tcPr/>
          <w:p>
            <w:r>
              <w:t xml:space="preserve">spacy</w:t>
            </w:r>
          </w:p>
        </w:tc>
        <w:tc>
          <w:tcPr/>
          <w:p>
            <w:r>
              <w:t xml:space="preserve">Contrôles linguistiques enrichis par lemmatisation et synonymes contrôlés.</w:t>
            </w:r>
          </w:p>
        </w:tc>
        <w:tc>
          <w:tcPr/>
          <w:p>
            <w:r>
              <w:t xml:space="preserve">garantis, insuline, formes fléchies</w:t>
            </w:r>
          </w:p>
        </w:tc>
      </w:tr>
      <w:tr>
        <w:tc>
          <w:tcPr/>
          <w:p>
            <w:r>
              <w:t xml:space="preserve">gliner</w:t>
            </w:r>
          </w:p>
        </w:tc>
        <w:tc>
          <w:tcPr/>
          <w:p>
            <w:r>
              <w:t xml:space="preserve">Reconnaissance d’entités et de concepts à partir de labels configurables.</w:t>
            </w:r>
          </w:p>
        </w:tc>
        <w:tc>
          <w:tcPr/>
          <w:p>
            <w:r>
              <w:t xml:space="preserve">maladie, opinion politique, donnée biométrique</w:t>
            </w:r>
          </w:p>
        </w:tc>
      </w:tr>
      <w:tr>
        <w:tc>
          <w:tcPr/>
          <w:p>
            <w:r>
              <w:t xml:space="preserve">regex</w:t>
            </w:r>
          </w:p>
        </w:tc>
        <w:tc>
          <w:tcPr/>
          <w:p>
            <w:r>
              <w:t xml:space="preserve">Détection déterministe de formats structurés.</w:t>
            </w:r>
          </w:p>
        </w:tc>
        <w:tc>
          <w:tcPr/>
          <w:p>
            <w:r>
              <w:t xml:space="preserve">email, téléphone, IBAN, NIR</w:t>
            </w:r>
          </w:p>
        </w:tc>
      </w:tr>
    </w:tbl>
    <w:p>
      <w:pPr>
        <w:pStyle w:val="Heading2"/>
      </w:pPr>
      <w:r>
        <w:t xml:space="preserve">Architecture fonctionnelle</w:t>
      </w:r>
    </w:p>
    <w:p>
      <w:pPr>
        <w:jc w:val="center"/>
      </w:pPr>
      <w:r>
        <w:drawing>
          <wp:inline distT="0" distB="0" distL="0" distR="0">
            <wp:extent cx="6035040" cy="3376052"/>
            <wp:docPr id="2" name="architecture_fonctionnelle"/>
            <a:graphic>
              <a:graphicData uri="http://schemas.openxmlformats.org/drawingml/2006/picture">
                <pic:pic>
                  <pic:nvPicPr>
                    <pic:cNvPr id="0" name="architecture_fonctionnelle.png"/>
                    <pic:cNvPicPr/>
                  </pic:nvPicPr>
                  <pic:blipFill>
                    <a:blip r:embed="rIdImg1"/>
                    <a:stretch>
                      <a:fillRect/>
                    </a:stretch>
                  </pic:blipFill>
                  <pic:spPr>
                    <a:xfrm>
                      <a:off x="0" y="0"/>
                      <a:ext cx="6035040" cy="3376052"/>
                    </a:xfrm>
                    <a:prstGeom prst="rect">
                      <a:avLst/>
                    </a:prstGeom>
                  </pic:spPr>
                </pic:pic>
              </a:graphicData>
            </a:graphic>
          </wp:inline>
        </w:drawing>
      </w:r>
    </w:p>
    <w:p>
      <w:pPr>
        <w:pStyle w:val="Heading2"/>
      </w:pPr>
      <w:r>
        <w:t xml:space="preserve">Critères d’acceptation fonctionnels</w:t>
      </w:r>
    </w:p>
    <w:p>
      <w:pPr>
        <w:pStyle w:val="ListBullet"/>
        <w:numPr>
          <w:ilvl w:val="0"/>
          <w:numId w:val="1"/>
        </w:numPr>
      </w:pPr>
      <w:r>
        <w:t>Chaque alerte indique le moteur, la règle ou catégorie, le terme détecté, le score et la section.</w:t>
      </w:r>
    </w:p>
    <w:p>
      <w:pPr>
        <w:pStyle w:val="ListBullet"/>
        <w:numPr>
          <w:ilvl w:val="0"/>
          <w:numId w:val="1"/>
        </w:numPr>
      </w:pPr>
      <w:r>
        <w:t>Les branches sont comparables sur les mêmes cas de test.</w:t>
      </w:r>
    </w:p>
    <w:p>
      <w:pPr>
        <w:pStyle w:val="ListBullet"/>
        <w:numPr>
          <w:ilvl w:val="0"/>
          <w:numId w:val="1"/>
        </w:numPr>
      </w:pPr>
      <w:r>
        <w:t>Les modèles ne sont pas téléchargés à chaque exécution.</w:t>
      </w:r>
    </w:p>
    <w:p>
      <w:pPr>
        <w:pStyle w:val="ListBullet"/>
        <w:numPr>
          <w:ilvl w:val="0"/>
          <w:numId w:val="1"/>
        </w:numPr>
      </w:pPr>
      <w:r>
        <w:t>Le Product Owner peut identifier les faux positifs, les faux négatifs et les écarts entre branches.</w:t>
      </w:r>
    </w:p>
    <w:p>
      <w:pPr>
        <w:pStyle w:val="Heading1"/>
      </w:pPr>
      <w:r>
        <w:t xml:space="preserve">2. Spécification Technique</w:t>
      </w:r>
    </w:p>
    <w:p>
      <w:pPr>
        <w:pStyle w:val="Heading2"/>
      </w:pPr>
      <w:r>
        <w:t xml:space="preserve">Composants principaux</w:t>
      </w:r>
    </w:p>
    <w:tbl>
      <w:tblPr>
        <w:tblStyle w:val="TableGrid"/>
        <w:tblW w:w="0" w:type="auto"/>
      </w:tblPr>
      <w:tr>
        <w:tc>
          <w:tcPr>
            <w:shd w:fill="D9EAF7"/>
          </w:tcPr>
          <w:p>
            <w:r>
              <w:rPr>
                <w:b/>
              </w:rPr>
              <w:t xml:space="preserve">Composant</w:t>
            </w:r>
          </w:p>
        </w:tc>
        <w:tc>
          <w:tcPr>
            <w:shd w:fill="D9EAF7"/>
          </w:tcPr>
          <w:p>
            <w:r>
              <w:rPr>
                <w:b/>
              </w:rPr>
              <w:t xml:space="preserve">Responsabilité</w:t>
            </w:r>
          </w:p>
        </w:tc>
      </w:tr>
      <w:tr>
        <w:tc>
          <w:tcPr/>
          <w:p>
            <w:r>
              <w:t xml:space="preserve">pipeline.py</w:t>
            </w:r>
          </w:p>
        </w:tc>
        <w:tc>
          <w:tcPr/>
          <w:p>
            <w:r>
              <w:t xml:space="preserve">Orchestration des branches, agrégation des résultats et métadonnées.</w:t>
            </w:r>
          </w:p>
        </w:tc>
      </w:tr>
      <w:tr>
        <w:tc>
          <w:tcPr/>
          <w:p>
            <w:r>
              <w:t xml:space="preserve">generic.py</w:t>
            </w:r>
          </w:p>
        </w:tc>
        <w:tc>
          <w:tcPr/>
          <w:p>
            <w:r>
              <w:t xml:space="preserve">Application des règles métier déterministes.</w:t>
            </w:r>
          </w:p>
        </w:tc>
      </w:tr>
      <w:tr>
        <w:tc>
          <w:tcPr/>
          <w:p>
            <w:r>
              <w:t xml:space="preserve">linguistic.py</w:t>
            </w:r>
          </w:p>
        </w:tc>
        <w:tc>
          <w:tcPr/>
          <w:p>
            <w:r>
              <w:t xml:space="preserve">Branche spaCy avec fr_core_news_md et synonymes contrôlés.</w:t>
            </w:r>
          </w:p>
        </w:tc>
      </w:tr>
      <w:tr>
        <w:tc>
          <w:tcPr/>
          <w:p>
            <w:r>
              <w:t xml:space="preserve">gliner_detector.py</w:t>
            </w:r>
          </w:p>
        </w:tc>
        <w:tc>
          <w:tcPr/>
          <w:p>
            <w:r>
              <w:t xml:space="preserve">Branche GLiNER avec modèle local et labels configurables.</w:t>
            </w:r>
          </w:p>
        </w:tc>
      </w:tr>
      <w:tr>
        <w:tc>
          <w:tcPr/>
          <w:p>
            <w:r>
              <w:t xml:space="preserve">regex_detector.py</w:t>
            </w:r>
          </w:p>
        </w:tc>
        <w:tc>
          <w:tcPr/>
          <w:p>
            <w:r>
              <w:t xml:space="preserve">Branche regex pour données structurées.</w:t>
            </w:r>
          </w:p>
        </w:tc>
      </w:tr>
      <w:tr>
        <w:tc>
          <w:tcPr/>
          <w:p>
            <w:r>
              <w:t xml:space="preserve">configs/test_cases.csv</w:t>
            </w:r>
          </w:p>
        </w:tc>
        <w:tc>
          <w:tcPr/>
          <w:p>
            <w:r>
              <w:t xml:space="preserve">Cas de test centralisés.</w:t>
            </w:r>
          </w:p>
        </w:tc>
      </w:tr>
      <w:tr>
        <w:tc>
          <w:tcPr/>
          <w:p>
            <w:r>
              <w:t xml:space="preserve">configs/spacy_synonyms.csv</w:t>
            </w:r>
          </w:p>
        </w:tc>
        <w:tc>
          <w:tcPr/>
          <w:p>
            <w:r>
              <w:t xml:space="preserve">Synonymes proposés pour spaCy uniquement.</w:t>
            </w:r>
          </w:p>
        </w:tc>
      </w:tr>
      <w:tr>
        <w:tc>
          <w:tcPr/>
          <w:p>
            <w:r>
              <w:t xml:space="preserve">03e_tester_comparaison_branches.ipynb</w:t>
            </w:r>
          </w:p>
        </w:tc>
        <w:tc>
          <w:tcPr/>
          <w:p>
            <w:r>
              <w:t xml:space="preserve">Notebook global de comparaison des quatre branches.</w:t>
            </w:r>
          </w:p>
        </w:tc>
      </w:tr>
    </w:tbl>
    <w:p>
      <w:pPr>
        <w:pStyle w:val="Heading2"/>
      </w:pPr>
      <w:r>
        <w:t xml:space="preserve">Architecture technique</w:t>
      </w:r>
    </w:p>
    <w:p>
      <w:pPr>
        <w:jc w:val="center"/>
      </w:pPr>
      <w:r>
        <w:drawing>
          <wp:inline distT="0" distB="0" distL="0" distR="0">
            <wp:extent cx="6035040" cy="3478383"/>
            <wp:docPr id="3" name="architecture_technique"/>
            <a:graphic>
              <a:graphicData uri="http://schemas.openxmlformats.org/drawingml/2006/picture">
                <pic:pic>
                  <pic:nvPicPr>
                    <pic:cNvPr id="0" name="architecture_technique.png"/>
                    <pic:cNvPicPr/>
                  </pic:nvPicPr>
                  <pic:blipFill>
                    <a:blip r:embed="rIdImg2"/>
                    <a:stretch>
                      <a:fillRect/>
                    </a:stretch>
                  </pic:blipFill>
                  <pic:spPr>
                    <a:xfrm>
                      <a:off x="0" y="0"/>
                      <a:ext cx="6035040" cy="3478383"/>
                    </a:xfrm>
                    <a:prstGeom prst="rect">
                      <a:avLst/>
                    </a:prstGeom>
                  </pic:spPr>
                </pic:pic>
              </a:graphicData>
            </a:graphic>
          </wp:inline>
        </w:drawing>
      </w:r>
    </w:p>
    <w:p>
      <w:pPr>
        <w:pStyle w:val="Heading1"/>
      </w:pPr>
      <w:r>
        <w:t xml:space="preserve">3. Spécificités des Branches</w:t>
      </w:r>
    </w:p>
    <w:p>
      <w:pPr>
        <w:pStyle w:val="Heading2"/>
      </w:pPr>
      <w:r>
        <w:t xml:space="preserve">Vue comparative</w:t>
      </w:r>
    </w:p>
    <w:p>
      <w:pPr>
        <w:jc w:val="center"/>
      </w:pPr>
      <w:r>
        <w:drawing>
          <wp:inline distT="0" distB="0" distL="0" distR="0">
            <wp:extent cx="6035040" cy="3151392"/>
            <wp:docPr id="4" name="specificites_branches"/>
            <a:graphic>
              <a:graphicData uri="http://schemas.openxmlformats.org/drawingml/2006/picture">
                <pic:pic>
                  <pic:nvPicPr>
                    <pic:cNvPr id="0" name="specificites_branches.png"/>
                    <pic:cNvPicPr/>
                  </pic:nvPicPr>
                  <pic:blipFill>
                    <a:blip r:embed="rIdImg3"/>
                    <a:stretch>
                      <a:fillRect/>
                    </a:stretch>
                  </pic:blipFill>
                  <pic:spPr>
                    <a:xfrm>
                      <a:off x="0" y="0"/>
                      <a:ext cx="6035040" cy="3151392"/>
                    </a:xfrm>
                    <a:prstGeom prst="rect">
                      <a:avLst/>
                    </a:prstGeom>
                  </pic:spPr>
                </pic:pic>
              </a:graphicData>
            </a:graphic>
          </wp:inline>
        </w:drawing>
      </w:r>
    </w:p>
    <w:tbl>
      <w:tblPr>
        <w:tblStyle w:val="TableGrid"/>
        <w:tblW w:w="0" w:type="auto"/>
      </w:tblPr>
      <w:tr>
        <w:tc>
          <w:tcPr>
            <w:shd w:fill="D9EAF7"/>
          </w:tcPr>
          <w:p>
            <w:r>
              <w:rPr>
                <w:b/>
              </w:rPr>
              <w:t xml:space="preserve">Branche</w:t>
            </w:r>
          </w:p>
        </w:tc>
        <w:tc>
          <w:tcPr>
            <w:shd w:fill="D9EAF7"/>
          </w:tcPr>
          <w:p>
            <w:r>
              <w:rPr>
                <w:b/>
              </w:rPr>
              <w:t xml:space="preserve">Type de reconnaissance</w:t>
            </w:r>
          </w:p>
        </w:tc>
        <w:tc>
          <w:tcPr>
            <w:shd w:fill="D9EAF7"/>
          </w:tcPr>
          <w:p>
            <w:r>
              <w:rPr>
                <w:b/>
              </w:rPr>
              <w:t xml:space="preserve">Force principale</w:t>
            </w:r>
          </w:p>
        </w:tc>
        <w:tc>
          <w:tcPr>
            <w:shd w:fill="D9EAF7"/>
          </w:tcPr>
          <w:p>
            <w:r>
              <w:rPr>
                <w:b/>
              </w:rPr>
              <w:t xml:space="preserve">Limite principale</w:t>
            </w:r>
          </w:p>
        </w:tc>
      </w:tr>
      <w:tr>
        <w:tc>
          <w:tcPr/>
          <w:p>
            <w:r>
              <w:t xml:space="preserve">generic</w:t>
            </w:r>
          </w:p>
        </w:tc>
        <w:tc>
          <w:tcPr/>
          <w:p>
            <w:r>
              <w:t xml:space="preserve">Règles textuelles exactes, synonymes CSV métier, fuzzy simple.</w:t>
            </w:r>
          </w:p>
        </w:tc>
        <w:tc>
          <w:tcPr/>
          <w:p>
            <w:r>
              <w:t xml:space="preserve">Très explicable et stable.</w:t>
            </w:r>
          </w:p>
        </w:tc>
        <w:tc>
          <w:tcPr/>
          <w:p>
            <w:r>
              <w:t xml:space="preserve">Peu de compréhension du sens.</w:t>
            </w:r>
          </w:p>
        </w:tc>
      </w:tr>
      <w:tr>
        <w:tc>
          <w:tcPr/>
          <w:p>
            <w:r>
              <w:t xml:space="preserve">spacy</w:t>
            </w:r>
          </w:p>
        </w:tc>
        <w:tc>
          <w:tcPr/>
          <w:p>
            <w:r>
              <w:t xml:space="preserve">Lemmes, racines, variantes grammaticales, synonymes contrôlés séparés.</w:t>
            </w:r>
          </w:p>
        </w:tc>
        <w:tc>
          <w:tcPr/>
          <w:p>
            <w:r>
              <w:t xml:space="preserve">Meilleure couverture linguistique.</w:t>
            </w:r>
          </w:p>
        </w:tc>
        <w:tc>
          <w:tcPr/>
          <w:p>
            <w:r>
              <w:t xml:space="preserve">Dépend du modèle et du référentiel de synonymes.</w:t>
            </w:r>
          </w:p>
        </w:tc>
      </w:tr>
      <w:tr>
        <w:tc>
          <w:tcPr/>
          <w:p>
            <w:r>
              <w:t xml:space="preserve">gliner</w:t>
            </w:r>
          </w:p>
        </w:tc>
        <w:tc>
          <w:tcPr/>
          <w:p>
            <w:r>
              <w:t xml:space="preserve">Entités et concepts via labels configurables.</w:t>
            </w:r>
          </w:p>
        </w:tc>
        <w:tc>
          <w:tcPr/>
          <w:p>
            <w:r>
              <w:t xml:space="preserve">Capacité sémantique plus large.</w:t>
            </w:r>
          </w:p>
        </w:tc>
        <w:tc>
          <w:tcPr/>
          <w:p>
            <w:r>
              <w:t xml:space="preserve">Moins déterministe, sensible aux labels et seuils.</w:t>
            </w:r>
          </w:p>
        </w:tc>
      </w:tr>
      <w:tr>
        <w:tc>
          <w:tcPr/>
          <w:p>
            <w:r>
              <w:t xml:space="preserve">regex</w:t>
            </w:r>
          </w:p>
        </w:tc>
        <w:tc>
          <w:tcPr/>
          <w:p>
            <w:r>
              <w:t xml:space="preserve">Expressions régulières sur formats structurés.</w:t>
            </w:r>
          </w:p>
        </w:tc>
        <w:tc>
          <w:tcPr/>
          <w:p>
            <w:r>
              <w:t xml:space="preserve">Très fiable sur formats connus.</w:t>
            </w:r>
          </w:p>
        </w:tc>
        <w:tc>
          <w:tcPr/>
          <w:p>
            <w:r>
              <w:t xml:space="preserve">Ne comprend pas le langage naturel.</w:t>
            </w:r>
          </w:p>
        </w:tc>
      </w:tr>
    </w:tbl>
    <w:p>
      <w:pPr>
        <w:pStyle w:val="Heading2"/>
      </w:pPr>
      <w:r>
        <w:t xml:space="preserve">Branche Generic</w:t>
      </w:r>
    </w:p>
    <w:p>
      <w:r>
        <w:t xml:space="preserve">La branche generic est le moteur de référence déterministe. Elle lit les termes, synonymes métier, seuils et catégories depuis configs/generic_detection_rules.csv. Elle applique des recherches exactes, des rapprochements de racines simples et du fuzzy matching. Elle est recommandée comme base robuste et auditée.</w:t>
      </w:r>
    </w:p>
    <w:p>
      <w:pPr>
        <w:pStyle w:val="Heading2"/>
      </w:pPr>
      <w:r>
        <w:t xml:space="preserve">Branche spaCy</w:t>
      </w:r>
    </w:p>
    <w:p>
      <w:r>
        <w:t xml:space="preserve">La branche spaCy utilise le modèle local fr_core_news_md. Elle n’utilise plus les synonymes du CSV métier principal. Elle part des termes interdits puis enrichit la reconnaissance via configs/spacy_synonyms.csv. Cette séparation permet de comparer l’effet de l’enrichissement linguistique sans modifier le référentiel métier principal.</w:t>
      </w:r>
    </w:p>
    <w:p>
      <w:pPr>
        <w:pStyle w:val="Heading2"/>
      </w:pPr>
      <w:r>
        <w:t xml:space="preserve">Branche GLiNER</w:t>
      </w:r>
    </w:p>
    <w:p>
      <w:r>
        <w:t xml:space="preserve">La branche GLiNER détecte des entités ou concepts via des labels configurables. Elle permet de repérer des notions plus larges comme maladie, opinion politique ou donnée biométrique. Le résultat dépend du modèle local, du seuil et du libellé des labels.</w:t>
      </w:r>
    </w:p>
    <w:p>
      <w:pPr>
        <w:pStyle w:val="Heading2"/>
      </w:pPr>
      <w:r>
        <w:t xml:space="preserve">Branche Regex</w:t>
      </w:r>
    </w:p>
    <w:p>
      <w:r>
        <w:t xml:space="preserve">La branche regex détecte des données personnelles structurées sans modèle : adresse email, téléphone français, IBAN français et NIR français. Elle est rapide, déterministe et utile pour des formats normalisés.</w:t>
      </w:r>
    </w:p>
    <w:p>
      <w:pPr>
        <w:pStyle w:val="Heading1"/>
      </w:pPr>
      <w:r>
        <w:t xml:space="preserve">4. Recommandation de Lecture pour le PO</w:t>
      </w:r>
    </w:p>
    <w:p>
      <w:pPr>
        <w:pStyle w:val="ListBullet"/>
        <w:numPr>
          <w:ilvl w:val="0"/>
          <w:numId w:val="1"/>
        </w:numPr>
      </w:pPr>
      <w:r>
        <w:t>Utiliser le notebook 03e pour comparer les branches sur les mêmes cas.</w:t>
      </w:r>
    </w:p>
    <w:p>
      <w:pPr>
        <w:pStyle w:val="ListBullet"/>
        <w:numPr>
          <w:ilvl w:val="0"/>
          <w:numId w:val="1"/>
        </w:numPr>
      </w:pPr>
      <w:r>
        <w:t>Analyser les écarts entre generic et spaCy pour mesurer l’apport linguistique.</w:t>
      </w:r>
    </w:p>
    <w:p>
      <w:pPr>
        <w:pStyle w:val="ListBullet"/>
        <w:numPr>
          <w:ilvl w:val="0"/>
          <w:numId w:val="1"/>
        </w:numPr>
      </w:pPr>
      <w:r>
        <w:t>Analyser GLiNER séparément pour les concepts sensibles non strictement couverts par les règles.</w:t>
      </w:r>
    </w:p>
    <w:p>
      <w:pPr>
        <w:pStyle w:val="ListBullet"/>
        <w:numPr>
          <w:ilvl w:val="0"/>
          <w:numId w:val="1"/>
        </w:numPr>
      </w:pPr>
      <w:r>
        <w:t>Utiliser regex comme contrôle spécialisé sur les données structurées.</w:t>
      </w:r>
    </w:p>
    <w:sectPr>
      <w:pgSz w:w="11906" w:h="16838"/>
      <w:pgMar w:top="1000" w:right="850" w:bottom="1000" w:left="85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styleId="Normal">
    <w:name w:val="Normal"/>
    <w:rPr>
      <w:rFonts w:ascii="Aptos" w:hAnsi="Aptos"/>
      <w:sz w:val="22"/>
    </w:rPr>
  </w:style>
  <w:style w:type="paragraph" w:styleId="Title">
    <w:name w:val="Title"/>
    <w:basedOn w:val="Normal"/>
    <w:rPr>
      <w:b/>
      <w:sz w:val="34"/>
    </w:rPr>
  </w:style>
  <w:style w:type="paragraph" w:styleId="Heading1">
    <w:name w:val="heading 1"/>
    <w:basedOn w:val="Normal"/>
    <w:next w:val="Normal"/>
    <w:rPr>
      <w:b/>
      <w:color w:val="1F4E79"/>
      <w:sz w:val="30"/>
    </w:rPr>
  </w:style>
  <w:style w:type="paragraph" w:styleId="Heading2">
    <w:name w:val="heading 2"/>
    <w:basedOn w:val="Normal"/>
    <w:next w:val="Normal"/>
    <w:rPr>
      <w:b/>
      <w:color w:val="5B9BD5"/>
      <w:sz w:val="26"/>
    </w:rPr>
  </w:style>
  <w:style w:type="paragraph" w:styleId="ListBullet">
    <w:name w:val="List Bullet"/>
    <w:basedOn w:val="Normal"/>
    <w:pPr>
      <w:ind w:left="720" w:hanging="360"/>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