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80" w:before="0"/>
        <w:jc w:val="center"/>
      </w:pPr>
      <w:r>
        <w:rPr>
          <w:rFonts w:ascii="Times New Roman" w:cs="Times New Roman" w:eastAsia="Times New Roman" w:hAnsi="Times New Roman"/>
          <w:b/>
          <w:bCs/>
          <w:color w:val="1B3A6B"/>
          <w:sz w:val="56"/>
          <w:szCs w:val="56"/>
        </w:rPr>
        <w:t xml:space="preserve">AUTOKIOSK SOLUTIONS</w:t>
      </w:r>
    </w:p>
    <w:p>
      <w:pPr>
        <w:spacing w:after="200" w:before="0"/>
        <w:jc w:val="center"/>
      </w:pPr>
      <w:r>
        <w:rPr>
          <w:rFonts w:ascii="Times New Roman" w:cs="Times New Roman" w:eastAsia="Times New Roman" w:hAnsi="Times New Roman"/>
          <w:i/>
          <w:iCs/>
          <w:color w:val="2E5FA3"/>
          <w:sz w:val="36"/>
          <w:szCs w:val="36"/>
        </w:rPr>
        <w:t xml:space="preserve">University ID Card Dispensing Kiosk</w:t>
      </w:r>
    </w:p>
    <w:p>
      <w:pPr>
        <w:pBdr>
          <w:bottom w:val="single" w:color="2E5FA3" w:sz="12"/>
        </w:pBdr>
        <w:spacing w:after="300" w:before="0"/>
      </w:pPr>
    </w:p>
    <w:p>
      <w:pPr>
        <w:spacing w:after="120" w:before="0"/>
        <w:jc w:val="center"/>
      </w:pPr>
      <w:r>
        <w:rPr>
          <w:rFonts w:ascii="Times New Roman" w:cs="Times New Roman" w:eastAsia="Times New Roman" w:hAnsi="Times New Roman"/>
          <w:b/>
          <w:bCs/>
          <w:color w:val="444444"/>
          <w:sz w:val="28"/>
          <w:szCs w:val="28"/>
        </w:rPr>
        <w:t xml:space="preserve">Business Plan &amp; Feasibility Study</w:t>
      </w:r>
    </w:p>
    <w:p>
      <w:pPr>
        <w:spacing w:after="600" w:before="0"/>
        <w:jc w:val="center"/>
      </w:pPr>
      <w:r>
        <w:rPr>
          <w:rFonts w:ascii="Times New Roman" w:cs="Times New Roman" w:eastAsia="Times New Roman" w:hAnsi="Times New Roman"/>
          <w:color w:val="666666"/>
          <w:sz w:val="22"/>
          <w:szCs w:val="22"/>
        </w:rPr>
        <w:t xml:space="preserve">Prepared for the CRDB Bank Start-Up Event | April 2025</w:t>
      </w:r>
    </w:p>
    <w:p>
      <w:pPr>
        <w:spacing w:after="0" w:before="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80" w:before="0"/>
        <w:jc w:val="center"/>
      </w:pPr>
      <w:r>
        <w:rPr>
          <w:rFonts w:ascii="Times New Roman" w:cs="Times New Roman" w:eastAsia="Times New Roman" w:hAnsi="Times New Roman"/>
          <w:b/>
          <w:bCs/>
          <w:color w:val="000000"/>
          <w:sz w:val="24"/>
          <w:szCs w:val="24"/>
        </w:rPr>
        <w:t xml:space="preserve">Samuel Dan Musyani</w:t>
      </w:r>
    </w:p>
    <w:p>
      <w:pPr>
        <w:spacing w:after="80" w:before="0"/>
        <w:jc w:val="center"/>
      </w:pPr>
      <w:r>
        <w:rPr>
          <w:rFonts w:ascii="Times New Roman" w:cs="Times New Roman" w:eastAsia="Times New Roman" w:hAnsi="Times New Roman"/>
          <w:color w:val="555555"/>
          <w:sz w:val="22"/>
          <w:szCs w:val="22"/>
        </w:rPr>
        <w:t xml:space="preserve">Reg. No. 2022-04-09050</w:t>
      </w:r>
    </w:p>
    <w:p>
      <w:pPr>
        <w:spacing w:after="80" w:before="0"/>
        <w:jc w:val="center"/>
      </w:pPr>
      <w:r>
        <w:rPr>
          <w:rFonts w:ascii="Times New Roman" w:cs="Times New Roman" w:eastAsia="Times New Roman" w:hAnsi="Times New Roman"/>
          <w:color w:val="555555"/>
          <w:sz w:val="22"/>
          <w:szCs w:val="22"/>
        </w:rPr>
        <w:t xml:space="preserve">B.Sc. Electronics Engineering — University of Dar es Salaam</w:t>
      </w:r>
    </w:p>
    <w:p>
      <w:pPr>
        <w:spacing w:after="80" w:before="0"/>
        <w:jc w:val="center"/>
      </w:pPr>
      <w:r>
        <w:rPr>
          <w:rFonts w:ascii="Times New Roman" w:cs="Times New Roman" w:eastAsia="Times New Roman" w:hAnsi="Times New Roman"/>
          <w:i/>
          <w:iCs/>
          <w:color w:val="555555"/>
          <w:sz w:val="22"/>
          <w:szCs w:val="22"/>
        </w:rPr>
        <w:t xml:space="preserve">Supervisor: Dr. Hashimu Iddi</w:t>
      </w:r>
    </w:p>
    <w:p>
      <w:pPr>
        <w:spacing w:after="0" w:before="0"/>
      </w:pPr>
      <w:r>
        <w:br w:type="page"/>
      </w:r>
    </w:p>
    <w:p>
      <w:pPr>
        <w:pStyle w:val="Heading1"/>
        <w:pBdr>
          <w:bottom w:val="single" w:color="2E5FA3" w:sz="8" w:space="4"/>
        </w:pBdr>
        <w:spacing w:after="160" w:before="360"/>
      </w:pPr>
      <w:r>
        <w:rPr>
          <w:rFonts w:ascii="Times New Roman" w:cs="Times New Roman" w:eastAsia="Times New Roman" w:hAnsi="Times New Roman"/>
          <w:b/>
          <w:bCs/>
          <w:color w:val="1B3A6B"/>
          <w:sz w:val="32"/>
          <w:szCs w:val="32"/>
        </w:rPr>
        <w:t xml:space="preserve">1. Executive Summary</w:t>
      </w:r>
    </w:p>
    <w:p>
      <w:pPr>
        <w:spacing w:after="100" w:before="100" w:line="360"/>
        <w:jc w:val="both"/>
      </w:pPr>
      <w:r>
        <w:rPr>
          <w:rFonts w:ascii="Times New Roman" w:cs="Times New Roman" w:eastAsia="Times New Roman" w:hAnsi="Times New Roman"/>
          <w:b w:val="false"/>
          <w:bCs w:val="false"/>
          <w:color w:val="000000"/>
          <w:sz w:val="22"/>
          <w:szCs w:val="22"/>
        </w:rPr>
        <w:t xml:space="preserve">AutoKiosk Solutions proposes a self-service ID card dispensing kiosk designed specifically for Tanzanian universities. The system replaces the manual, queue-based ID card issuance process with a secure, 24-hour automated terminal that students can use at any time without staff assistance. The prototype, currently under development as a final-year engineering project at the University of Dar es Salaam, demonstrates the full technical architecture: mechanical card storage and dispensing, two-factor student authentication, optical character recognition for card scanning, and real-time SMS notification.</w:t>
      </w:r>
    </w:p>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val="false"/>
          <w:bCs w:val="false"/>
          <w:color w:val="000000"/>
          <w:sz w:val="22"/>
          <w:szCs w:val="22"/>
        </w:rPr>
        <w:t xml:space="preserve">The university market is chosen as the optimal entry point precisely because it avoids the complex regulatory environment of the financial sector while operating at meaningful scale. Tanzania has over 60 registered universities and university colleges serving an estimated 250,000 students. Every one of those institutions faces the same queue, delay, and staff-overhead problem that the kiosk solves.</w:t>
      </w:r>
    </w:p>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val="false"/>
          <w:bCs w:val="false"/>
          <w:color w:val="000000"/>
          <w:sz w:val="22"/>
          <w:szCs w:val="22"/>
        </w:rPr>
        <w:t xml:space="preserve">The business model is a hardware sale plus annual software subscription. A single kiosk unit is priced at USD 2,200 with a USD 450 annual software license covering updates, remote monitoring, and technical support. At a bill-of-materials cost of approximately USD 580 per unit, gross margins are strong from unit one. Financial projections show positive monthly cash flow achievable within 14 months of the first commercial sale, with break-even at 18 kiosk units sold.</w:t>
      </w:r>
    </w:p>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val="false"/>
          <w:bCs w:val="false"/>
          <w:color w:val="000000"/>
          <w:sz w:val="22"/>
          <w:szCs w:val="22"/>
        </w:rPr>
        <w:t xml:space="preserve">The commercial roadmap is structured in two phases. Phase 1, covering Years 1 to 2, is the card dispensing kiosk: universities load pre-printed ID cards into the unit in batches, and students collect their cards using the self-service interface. Phase 2, beginning in Year 3, upgrades the unit with an onboard card printer, enabling fully on-demand card personalization and issuance. This two-phase approach allows the business to generate revenue and validate the market immediately, while building toward the higher-value product that eliminates batch printing and logistics entirely.</w:t>
      </w:r>
    </w:p>
    <w:p>
      <w:pPr>
        <w:pStyle w:val="Heading1"/>
        <w:pBdr>
          <w:bottom w:val="single" w:color="2E5FA3" w:sz="8" w:space="4"/>
        </w:pBdr>
        <w:spacing w:after="160" w:before="360"/>
      </w:pPr>
      <w:r>
        <w:rPr>
          <w:rFonts w:ascii="Times New Roman" w:cs="Times New Roman" w:eastAsia="Times New Roman" w:hAnsi="Times New Roman"/>
          <w:b/>
          <w:bCs/>
          <w:color w:val="1B3A6B"/>
          <w:sz w:val="32"/>
          <w:szCs w:val="32"/>
        </w:rPr>
        <w:t xml:space="preserve">2. Problem Statement</w:t>
      </w:r>
    </w:p>
    <w:p>
      <w:pPr>
        <w:spacing w:after="100" w:before="100" w:line="360"/>
        <w:jc w:val="both"/>
      </w:pPr>
      <w:r>
        <w:rPr>
          <w:rFonts w:ascii="Times New Roman" w:cs="Times New Roman" w:eastAsia="Times New Roman" w:hAnsi="Times New Roman"/>
          <w:b w:val="false"/>
          <w:bCs w:val="false"/>
          <w:color w:val="000000"/>
          <w:sz w:val="22"/>
          <w:szCs w:val="22"/>
        </w:rPr>
        <w:t xml:space="preserve">University ID card issuance across Tanzania follows a uniform and consistently ineffective process. When students complete registration, printed ID cards are dispatched to the smartcard or registry office in batches. Students are then required to present themselves in person during office hours to collect their card. No notification mechanism exists to inform students when their specific card is ready. Students make repeated visits, often discovering their card has not yet arrived, or that the queue is too long to wait.</w:t>
      </w:r>
    </w:p>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val="false"/>
          <w:bCs w:val="false"/>
          <w:color w:val="000000"/>
          <w:sz w:val="22"/>
          <w:szCs w:val="22"/>
        </w:rPr>
        <w:t xml:space="preserve">The consequences of this process are borne by both students and the institution. Students without a valid ID card cannot access library resources, university hostels, examination halls, or online learning portals that require card-linked authentication. During semester commencement and examination registration periods, the smartcard office becomes a severe bottleneck. Queues extend beyond two hours in length, and the end-to-end timeline from card printing to student possession can exceed two weeks.</w:t>
      </w:r>
    </w:p>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val="false"/>
          <w:bCs w:val="false"/>
          <w:color w:val="000000"/>
          <w:sz w:val="22"/>
          <w:szCs w:val="22"/>
        </w:rPr>
        <w:t xml:space="preserve">For the university itself, the process is an avoidable administrative overhead. Dedicated staff time is consumed by manual card matching and distribution. Pre-printed cards for inactive students or students who have deferred occupy storage and are eventually destroyed, representing wasted printing and logistics cost. The absence of a digital handoff record creates audit gaps: there is no reliable log of who collected which card and when.</w:t>
      </w:r>
    </w:p>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val="false"/>
          <w:bCs w:val="false"/>
          <w:color w:val="000000"/>
          <w:sz w:val="22"/>
          <w:szCs w:val="22"/>
        </w:rPr>
        <w:t xml:space="preserve">These problems are not unique to any single institution. They are structural consequences of a batch-and-collect model that was designed for an era of paper records and has not been updated to reflect the operational reality of a modern university. The kiosk eliminates every one of them: cards are collected on the student’s schedule, authentication creates an automatic audit trail, and staff time is redirected to higher-value tasks.</w:t>
      </w:r>
    </w:p>
    <w:p>
      <w:pPr>
        <w:pStyle w:val="Heading1"/>
        <w:pBdr>
          <w:bottom w:val="single" w:color="2E5FA3" w:sz="8" w:space="4"/>
        </w:pBdr>
        <w:spacing w:after="160" w:before="360"/>
      </w:pPr>
      <w:r>
        <w:rPr>
          <w:rFonts w:ascii="Times New Roman" w:cs="Times New Roman" w:eastAsia="Times New Roman" w:hAnsi="Times New Roman"/>
          <w:b/>
          <w:bCs/>
          <w:color w:val="1B3A6B"/>
          <w:sz w:val="32"/>
          <w:szCs w:val="32"/>
        </w:rPr>
        <w:t xml:space="preserve">3. The Solution</w:t>
      </w:r>
    </w:p>
    <w:p>
      <w:pPr>
        <w:pStyle w:val="Heading2"/>
        <w:spacing w:after="120" w:before="260"/>
      </w:pPr>
      <w:r>
        <w:rPr>
          <w:rFonts w:ascii="Times New Roman" w:cs="Times New Roman" w:eastAsia="Times New Roman" w:hAnsi="Times New Roman"/>
          <w:b/>
          <w:bCs/>
          <w:color w:val="2E5FA3"/>
          <w:sz w:val="26"/>
          <w:szCs w:val="26"/>
        </w:rPr>
        <w:t xml:space="preserve">3.1  Phase 1 Product: Card Dispensing Kiosk (Years 1–2)</w:t>
      </w:r>
    </w:p>
    <w:p>
      <w:pPr>
        <w:spacing w:after="100" w:before="100" w:line="360"/>
        <w:jc w:val="both"/>
      </w:pPr>
      <w:r>
        <w:rPr>
          <w:rFonts w:ascii="Times New Roman" w:cs="Times New Roman" w:eastAsia="Times New Roman" w:hAnsi="Times New Roman"/>
          <w:b w:val="false"/>
          <w:bCs w:val="false"/>
          <w:color w:val="000000"/>
          <w:sz w:val="22"/>
          <w:szCs w:val="22"/>
        </w:rPr>
        <w:t xml:space="preserve">The Phase 1 product is the system currently under prototype development. University smartcard office staff load a batch of pre-printed ID cards into the kiosk through a secure rear panel. The kiosk scans each card using optical character recognition, maps it to a student record retrieved from the university database, stores it in one of ten dedicated carousel slots, and automatically sends the student an SMS notification containing a one-time password confirming their card is ready.</w:t>
      </w:r>
    </w:p>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val="false"/>
          <w:bCs w:val="false"/>
          <w:color w:val="000000"/>
          <w:sz w:val="22"/>
          <w:szCs w:val="22"/>
        </w:rPr>
        <w:t xml:space="preserve">Students approach the kiosk at any hour, seven days a week. They authenticate using two sequential factors: the one-time password received by SMS, followed by their personal PIN. On successful authentication, the carousel rotates to the correct slot and dispenses the card through an ATM-style opening in the front panel. The transaction is logged with a timestamp and the kiosk returns to its idle state.</w:t>
      </w:r>
    </w:p>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val="false"/>
          <w:bCs w:val="false"/>
          <w:color w:val="000000"/>
          <w:sz w:val="22"/>
          <w:szCs w:val="22"/>
        </w:rPr>
        <w:t xml:space="preserve">The hardware platform is a dual-controller architecture: a Raspberry Pi 5 handles the user interface, database, OCR pipeline, and SMS integration, while an STM32 Nucleo microcontroller manages all real-time mechanical operations including stepper motor control, servo actuation, and sensor feedback. The two communicate over a defined SPI command protocol. This separation ensures that a software fault cannot cause mechanical misbehaviour, and the system can be remotely diagnosed and updated via the Raspberry Pi’s network interface.</w:t>
      </w:r>
    </w:p>
    <w:p>
      <w:pPr>
        <w:pStyle w:val="Heading2"/>
        <w:spacing w:after="120" w:before="260"/>
      </w:pPr>
      <w:r>
        <w:rPr>
          <w:rFonts w:ascii="Times New Roman" w:cs="Times New Roman" w:eastAsia="Times New Roman" w:hAnsi="Times New Roman"/>
          <w:b/>
          <w:bCs/>
          <w:color w:val="2E5FA3"/>
          <w:sz w:val="26"/>
          <w:szCs w:val="26"/>
        </w:rPr>
        <w:t xml:space="preserve">3.2  Phase 2 Product: On-Demand Card Printing Kiosk (Year 3+)</w:t>
      </w:r>
    </w:p>
    <w:p>
      <w:pPr>
        <w:spacing w:after="100" w:before="100" w:line="360"/>
        <w:jc w:val="both"/>
      </w:pPr>
      <w:r>
        <w:rPr>
          <w:rFonts w:ascii="Times New Roman" w:cs="Times New Roman" w:eastAsia="Times New Roman" w:hAnsi="Times New Roman"/>
          <w:b w:val="false"/>
          <w:bCs w:val="false"/>
          <w:color w:val="000000"/>
          <w:sz w:val="22"/>
          <w:szCs w:val="22"/>
        </w:rPr>
        <w:t xml:space="preserve">The Phase 2 product replaces the card storage carousel with an integrated card printer module. Rather than loading pre-printed cards, the university supplies the kiosk with blank PVC card stock. When a student authenticates, the kiosk prints and personalizes the card on the spot, including the student’s name, photo, registration number, and programme, and dispenses it within approximately 30 seconds. This eliminates batch printing, card logistics, storage, and the waste of uncollected pre-printed cards entirely.</w:t>
      </w:r>
    </w:p>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val="false"/>
          <w:bCs w:val="false"/>
          <w:color w:val="000000"/>
          <w:sz w:val="22"/>
          <w:szCs w:val="22"/>
        </w:rPr>
        <w:t xml:space="preserve">Phase 2 requires a thermal or retransfer card printer integrated into the kiosk enclosure, a camera-linked photo capture station, and an updated card design template pipeline. No financial cryptography or hardware security module is required, as university ID cards are identity documents rather than financial instruments. The regulatory and security burden remains low throughout both phases, which is a deliberate and central element of the market strategy.</w:t>
      </w:r>
    </w:p>
    <w:p>
      <w:pPr>
        <w:pStyle w:val="Heading1"/>
        <w:pBdr>
          <w:bottom w:val="single" w:color="2E5FA3" w:sz="8" w:space="4"/>
        </w:pBdr>
        <w:spacing w:after="160" w:before="360"/>
      </w:pPr>
      <w:r>
        <w:rPr>
          <w:rFonts w:ascii="Times New Roman" w:cs="Times New Roman" w:eastAsia="Times New Roman" w:hAnsi="Times New Roman"/>
          <w:b/>
          <w:bCs/>
          <w:color w:val="1B3A6B"/>
          <w:sz w:val="32"/>
          <w:szCs w:val="32"/>
        </w:rPr>
        <w:t xml:space="preserve">4. Market Analysis</w:t>
      </w:r>
    </w:p>
    <w:p>
      <w:pPr>
        <w:pStyle w:val="Heading2"/>
        <w:spacing w:after="120" w:before="260"/>
      </w:pPr>
      <w:r>
        <w:rPr>
          <w:rFonts w:ascii="Times New Roman" w:cs="Times New Roman" w:eastAsia="Times New Roman" w:hAnsi="Times New Roman"/>
          <w:b/>
          <w:bCs/>
          <w:color w:val="2E5FA3"/>
          <w:sz w:val="26"/>
          <w:szCs w:val="26"/>
        </w:rPr>
        <w:t xml:space="preserve">4.1  Tanzania University Landscape</w:t>
      </w:r>
    </w:p>
    <w:p>
      <w:pPr>
        <w:spacing w:after="100" w:before="100" w:line="360"/>
        <w:jc w:val="both"/>
      </w:pPr>
      <w:r>
        <w:rPr>
          <w:rFonts w:ascii="Times New Roman" w:cs="Times New Roman" w:eastAsia="Times New Roman" w:hAnsi="Times New Roman"/>
          <w:b w:val="false"/>
          <w:bCs w:val="false"/>
          <w:color w:val="000000"/>
          <w:sz w:val="22"/>
          <w:szCs w:val="22"/>
        </w:rPr>
        <w:t xml:space="preserve">The Tanzania Commission for Universities listed 62 accredited universities and university colleges as of 2024, comprising 14 public universities and 48 private institutions. Total student enrolment across all institutions is estimated between 220,000 and 270,000 students. Public universities individually range from 8,000 to 40,000 students, while private universities typically serve between 1,500 and 12,000 students.</w:t>
      </w:r>
    </w:p>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val="false"/>
          <w:bCs w:val="false"/>
          <w:color w:val="000000"/>
          <w:sz w:val="22"/>
          <w:szCs w:val="22"/>
        </w:rPr>
        <w:t xml:space="preserve">The primary target segment in Year 1 is public universities, starting with the University of Dar es Salaam and expanding to the five other large public institutions: Ardhi University, Muhimbili University of Health and Allied Sciences, Nelson Mandela African Institution of Science and Technology, Sokoine University of Agriculture, and Mzumbe University. Together these six institutions serve an estimated 130,000 students and represent the most concentrated opportunity for initial deployment.</w:t>
      </w:r>
    </w:p>
    <w:p>
      <w:pPr>
        <w:pStyle w:val="Heading2"/>
        <w:spacing w:after="120" w:before="260"/>
      </w:pPr>
      <w:r>
        <w:rPr>
          <w:rFonts w:ascii="Times New Roman" w:cs="Times New Roman" w:eastAsia="Times New Roman" w:hAnsi="Times New Roman"/>
          <w:b/>
          <w:bCs/>
          <w:color w:val="2E5FA3"/>
          <w:sz w:val="26"/>
          <w:szCs w:val="26"/>
        </w:rPr>
        <w:t xml:space="preserve">4.2  Card Volume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Institution Type</w:t>
            </w:r>
          </w:p>
        </w:tc>
        <w:tc>
          <w:tcPr>
            <w:tcW w:type="dxa" w:w="208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Avg. Enrolment</w:t>
            </w:r>
          </w:p>
        </w:tc>
        <w:tc>
          <w:tcPr>
            <w:tcW w:type="dxa" w:w="208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New Intake / Year</w:t>
            </w:r>
          </w:p>
        </w:tc>
        <w:tc>
          <w:tcPr>
            <w:tcW w:type="dxa" w:w="208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Replacement Cards / Year (est. 10%)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Large public university</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25,000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8,000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2,500</w:t>
            </w:r>
          </w:p>
        </w:tc>
      </w:tr>
      <w:tr>
        <w:tc>
          <w:tcPr>
            <w:tcW w:type="dxa" w:w="312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Medium public university</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10,000</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3,000</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Private university (avg.)</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4,000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1,200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400</w:t>
            </w:r>
          </w:p>
        </w:tc>
      </w:tr>
      <w:tr>
        <w:tc>
          <w:tcPr>
            <w:tcW w:type="dxa" w:w="312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Tanzania total (62 institutions)</w:t>
            </w:r>
          </w:p>
        </w:tc>
        <w:tc>
          <w:tcPr>
            <w:tcW w:type="dxa" w:w="208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~250,000</w:t>
            </w:r>
          </w:p>
        </w:tc>
        <w:tc>
          <w:tcPr>
            <w:tcW w:type="dxa" w:w="208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~75,000</w:t>
            </w:r>
          </w:p>
        </w:tc>
        <w:tc>
          <w:tcPr>
            <w:tcW w:type="dxa" w:w="208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~25,000</w:t>
            </w:r>
          </w:p>
        </w:tc>
      </w:tr>
    </w:tbl>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val="false"/>
          <w:bCs w:val="false"/>
          <w:color w:val="000000"/>
          <w:sz w:val="22"/>
          <w:szCs w:val="22"/>
        </w:rPr>
        <w:t xml:space="preserve">At a conservative annual replacement rate of 10 percent, Tanzania’s universities collectively process approximately 100,000 ID card transactions per year across new intake and replacements. This volume, distributed across 62 institutions, is well within the throughput capacity of a modest kiosk network and represents a clearly addressable market requiring no regulatory approval to serve.</w:t>
      </w:r>
    </w:p>
    <w:p>
      <w:pPr>
        <w:pStyle w:val="Heading2"/>
        <w:spacing w:after="120" w:before="260"/>
      </w:pPr>
      <w:r>
        <w:rPr>
          <w:rFonts w:ascii="Times New Roman" w:cs="Times New Roman" w:eastAsia="Times New Roman" w:hAnsi="Times New Roman"/>
          <w:b/>
          <w:bCs/>
          <w:color w:val="2E5FA3"/>
          <w:sz w:val="26"/>
          <w:szCs w:val="26"/>
        </w:rPr>
        <w:t xml:space="preserve">4.3  Regional Expansion Opportunity</w:t>
      </w:r>
    </w:p>
    <w:p>
      <w:pPr>
        <w:spacing w:after="100" w:before="100" w:line="360"/>
        <w:jc w:val="both"/>
      </w:pPr>
      <w:r>
        <w:rPr>
          <w:rFonts w:ascii="Times New Roman" w:cs="Times New Roman" w:eastAsia="Times New Roman" w:hAnsi="Times New Roman"/>
          <w:b w:val="false"/>
          <w:bCs w:val="false"/>
          <w:color w:val="000000"/>
          <w:sz w:val="22"/>
          <w:szCs w:val="22"/>
        </w:rPr>
        <w:t xml:space="preserve">The East African university market is substantially larger than Tanzania alone. Kenya has approximately 70 public and private universities serving over 500,000 students; Uganda has over 50 institutions; Rwanda and Ethiopia are growing rapidly. A conservative estimate of the total East African university card transaction volume exceeds 800,000 per year. The kiosk software and hardware design requires no material modification for regional deployment, and Africa’s Talking, the SMS gateway already integrated in the prototype, natively serves all five East African markets.</w:t>
      </w:r>
    </w:p>
    <w:p>
      <w:pPr>
        <w:pStyle w:val="Heading1"/>
        <w:pBdr>
          <w:bottom w:val="single" w:color="2E5FA3" w:sz="8" w:space="4"/>
        </w:pBdr>
        <w:spacing w:after="160" w:before="360"/>
      </w:pPr>
      <w:r>
        <w:rPr>
          <w:rFonts w:ascii="Times New Roman" w:cs="Times New Roman" w:eastAsia="Times New Roman" w:hAnsi="Times New Roman"/>
          <w:b/>
          <w:bCs/>
          <w:color w:val="1B3A6B"/>
          <w:sz w:val="32"/>
          <w:szCs w:val="32"/>
        </w:rPr>
        <w:t xml:space="preserve">5. Business Model</w:t>
      </w:r>
    </w:p>
    <w:p>
      <w:pPr>
        <w:pStyle w:val="Heading2"/>
        <w:spacing w:after="120" w:before="260"/>
      </w:pPr>
      <w:r>
        <w:rPr>
          <w:rFonts w:ascii="Times New Roman" w:cs="Times New Roman" w:eastAsia="Times New Roman" w:hAnsi="Times New Roman"/>
          <w:b/>
          <w:bCs/>
          <w:color w:val="2E5FA3"/>
          <w:sz w:val="26"/>
          <w:szCs w:val="26"/>
        </w:rPr>
        <w:t xml:space="preserve">5.1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Stream</w:t>
            </w:r>
          </w:p>
        </w:tc>
        <w:tc>
          <w:tcPr>
            <w:tcW w:type="dxa" w:w="320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Description</w:t>
            </w:r>
          </w:p>
        </w:tc>
        <w:tc>
          <w:tcPr>
            <w:tcW w:type="dxa" w:w="356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Pricing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Hardware Sale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One kiosk unit sold to the university, installed on premises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USD 2,200 per unit (TZS 5,500,000)</w:t>
            </w:r>
          </w:p>
        </w:tc>
      </w:tr>
      <w:tr>
        <w:tc>
          <w:tcPr>
            <w:tcW w:type="dxa" w:w="26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Annual Software License</w:t>
            </w:r>
          </w:p>
        </w:tc>
        <w:tc>
          <w:tcPr>
            <w:tcW w:type="dxa" w:w="3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Remote monitoring dashboard, software updates, OCR engine maintenance, SMS gateway management</w:t>
            </w:r>
          </w:p>
        </w:tc>
        <w:tc>
          <w:tcPr>
            <w:tcW w:type="dxa" w:w="356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USD 450 / year per unit (TZS 1,125,000)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Installation &amp; Training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On-site installation, network integration, staff training (one-time)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USD 200 per installation</w:t>
            </w:r>
          </w:p>
        </w:tc>
      </w:tr>
      <w:tr>
        <w:tc>
          <w:tcPr>
            <w:tcW w:type="dxa" w:w="26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Hardware Maintenance Contract</w:t>
            </w:r>
          </w:p>
        </w:tc>
        <w:tc>
          <w:tcPr>
            <w:tcW w:type="dxa" w:w="3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Optional: annual on-site preventive maintenance visit and parts cover</w:t>
            </w:r>
          </w:p>
        </w:tc>
        <w:tc>
          <w:tcPr>
            <w:tcW w:type="dxa" w:w="356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USD 180 / year per unit</w:t>
            </w:r>
          </w:p>
        </w:tc>
      </w:tr>
    </w:tbl>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bCs/>
          <w:sz w:val="22"/>
          <w:szCs w:val="22"/>
        </w:rPr>
        <w:t xml:space="preserve">Total first-year revenue per kiosk deployed: </w:t>
      </w:r>
      <w:r>
        <w:rPr>
          <w:rFonts w:ascii="Times New Roman" w:cs="Times New Roman" w:eastAsia="Times New Roman" w:hAnsi="Times New Roman"/>
          <w:sz w:val="22"/>
          <w:szCs w:val="22"/>
        </w:rPr>
        <w:t xml:space="preserve">USD 2,850 (hardware + installation + first-year license). From Year 2 onward, recurring revenue per unit is USD 630 (license + maintenance). This recurring base is the financial engine that sustains operations as the install base grows.</w:t>
      </w:r>
    </w:p>
    <w:p>
      <w:pPr>
        <w:pStyle w:val="Heading2"/>
        <w:spacing w:after="120" w:before="260"/>
      </w:pPr>
      <w:r>
        <w:rPr>
          <w:rFonts w:ascii="Times New Roman" w:cs="Times New Roman" w:eastAsia="Times New Roman" w:hAnsi="Times New Roman"/>
          <w:b/>
          <w:bCs/>
          <w:color w:val="2E5FA3"/>
          <w:sz w:val="26"/>
          <w:szCs w:val="26"/>
        </w:rPr>
        <w:t xml:space="preserve">5.2  Customer Value Proposition</w:t>
      </w:r>
    </w:p>
    <w:p>
      <w:pPr>
        <w:spacing w:after="100" w:before="100" w:line="360"/>
        <w:jc w:val="both"/>
      </w:pPr>
      <w:r>
        <w:rPr>
          <w:rFonts w:ascii="Times New Roman" w:cs="Times New Roman" w:eastAsia="Times New Roman" w:hAnsi="Times New Roman"/>
          <w:b w:val="false"/>
          <w:bCs w:val="false"/>
          <w:color w:val="000000"/>
          <w:sz w:val="22"/>
          <w:szCs w:val="22"/>
        </w:rPr>
        <w:t xml:space="preserve">The economic case for the university purchasing a kiosk is straightforward. The table below shows a representative cost comparison for a medium-sized public university with 10,000 students.</w:t>
      </w:r>
    </w:p>
    <w:p>
      <w:pPr>
        <w:spacing w:after="0" w:before="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730"/>
        <w:gridCol w:w="2730"/>
      </w:tblGrid>
      <w:tr>
        <w:trPr>
          <w:tblHeader/>
        </w:trPr>
        <w:tc>
          <w:tcPr>
            <w:tcW w:type="dxa" w:w="390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Cost Item</w:t>
            </w:r>
          </w:p>
        </w:tc>
        <w:tc>
          <w:tcPr>
            <w:tcW w:type="dxa" w:w="273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Current (Manual Process)</w:t>
            </w:r>
          </w:p>
        </w:tc>
        <w:tc>
          <w:tcPr>
            <w:tcW w:type="dxa" w:w="273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With Kiosk</w:t>
            </w:r>
          </w:p>
        </w:tc>
      </w:tr>
      <w:tr>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Staff wages allocated to card distribution (50% of 1 FTE)</w:t>
            </w:r>
          </w:p>
        </w:tc>
        <w:tc>
          <w:tcPr>
            <w:tcW w:type="dxa" w:w="27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TZS 4,800,000 / year</w:t>
            </w:r>
          </w:p>
        </w:tc>
        <w:tc>
          <w:tcPr>
            <w:tcW w:type="dxa" w:w="27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TZS 0</w:t>
            </w:r>
          </w:p>
        </w:tc>
      </w:tr>
      <w:tr>
        <w:tc>
          <w:tcPr>
            <w:tcW w:type="dxa" w:w="39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Waste: uncollected pre-printed cards (est. 5% of batch)</w:t>
            </w:r>
          </w:p>
        </w:tc>
        <w:tc>
          <w:tcPr>
            <w:tcW w:type="dxa" w:w="273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TZS 750,000 / year</w:t>
            </w:r>
          </w:p>
        </w:tc>
        <w:tc>
          <w:tcPr>
            <w:tcW w:type="dxa" w:w="273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TZS 750,000 / year*</w:t>
            </w:r>
          </w:p>
        </w:tc>
      </w:tr>
      <w:tr>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Kiosk hardware (amortised over 5 years)</w:t>
            </w:r>
          </w:p>
        </w:tc>
        <w:tc>
          <w:tcPr>
            <w:tcW w:type="dxa" w:w="27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N/A</w:t>
            </w:r>
          </w:p>
        </w:tc>
        <w:tc>
          <w:tcPr>
            <w:tcW w:type="dxa" w:w="27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TZS 1,100,000 / year</w:t>
            </w:r>
          </w:p>
        </w:tc>
      </w:tr>
      <w:tr>
        <w:tc>
          <w:tcPr>
            <w:tcW w:type="dxa" w:w="39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Kiosk software license + maintenance</w:t>
            </w:r>
          </w:p>
        </w:tc>
        <w:tc>
          <w:tcPr>
            <w:tcW w:type="dxa" w:w="273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N/A</w:t>
            </w:r>
          </w:p>
        </w:tc>
        <w:tc>
          <w:tcPr>
            <w:tcW w:type="dxa" w:w="273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TZS 1,575,000 / year</w:t>
            </w:r>
          </w:p>
        </w:tc>
      </w:tr>
      <w:tr>
        <w:tc>
          <w:tcPr>
            <w:tcW w:type="dxa" w:w="390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TOTAL ANNUAL COST</w:t>
            </w:r>
          </w:p>
        </w:tc>
        <w:tc>
          <w:tcPr>
            <w:tcW w:type="dxa" w:w="273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TZS 5,550,000</w:t>
            </w:r>
          </w:p>
        </w:tc>
        <w:tc>
          <w:tcPr>
            <w:tcW w:type="dxa" w:w="273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TZS 2,675,000</w:t>
            </w:r>
          </w:p>
        </w:tc>
      </w:tr>
      <w:tr>
        <w:tc>
          <w:tcPr>
            <w:tcW w:type="dxa" w:w="3900"/>
            <w:tcBorders>
              <w:top w:val="single" w:color="CCCCCC" w:sz="1"/>
              <w:left w:val="single" w:color="CCCCCC" w:sz="1"/>
              <w:bottom w:val="single" w:color="CCCCCC" w:sz="1"/>
              <w:right w:val="single" w:color="CCCCCC" w:sz="1"/>
            </w:tcBorders>
            <w:shd w:fill="D6ECDB"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Net annual saving for the university</w:t>
            </w:r>
          </w:p>
        </w:tc>
        <w:tc>
          <w:tcPr>
            <w:tcW w:type="dxa" w:w="5460"/>
            <w:tcBorders>
              <w:top w:val="single" w:color="CCCCCC" w:sz="1"/>
              <w:left w:val="single" w:color="CCCCCC" w:sz="1"/>
              <w:bottom w:val="single" w:color="CCCCCC" w:sz="1"/>
              <w:right w:val="single" w:color="CCCCCC" w:sz="1"/>
            </w:tcBorders>
            <w:shd w:fill="D6ECDB"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F6B2A"/>
                <w:sz w:val="22"/>
                <w:szCs w:val="22"/>
              </w:rPr>
              <w:t xml:space="preserve">TZS 2,875,000 / year</w:t>
            </w:r>
          </w:p>
        </w:tc>
      </w:tr>
    </w:tbl>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val="false"/>
          <w:bCs w:val="false"/>
          <w:color w:val="000000"/>
          <w:sz w:val="22"/>
          <w:szCs w:val="22"/>
        </w:rPr>
        <w:t xml:space="preserve">*Card waste is eliminated in Phase 2 (on-demand printing). During Phase 1, waste is reduced but not fully eliminated, since cards are still printed in batches. The saving from staff redeployment alone covers the full kiosk cost within 23 months.</w:t>
      </w:r>
    </w:p>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bCs/>
          <w:sz w:val="22"/>
          <w:szCs w:val="22"/>
        </w:rPr>
        <w:t xml:space="preserve">Hardware payback period: </w:t>
      </w:r>
      <w:r>
        <w:rPr>
          <w:rFonts w:ascii="Times New Roman" w:cs="Times New Roman" w:eastAsia="Times New Roman" w:hAnsi="Times New Roman"/>
          <w:sz w:val="22"/>
          <w:szCs w:val="22"/>
        </w:rPr>
        <w:t xml:space="preserve">TZS 5,500,000 (hardware) ÷ TZS 4,800,000 (annual staff saving) = 1.15 years. The university recoups its hardware investment in just over 13 months, well within the 5-year expected service life of the unit.</w:t>
      </w:r>
    </w:p>
    <w:p>
      <w:pPr>
        <w:pStyle w:val="Heading1"/>
        <w:pBdr>
          <w:bottom w:val="single" w:color="2E5FA3" w:sz="8" w:space="4"/>
        </w:pBdr>
        <w:spacing w:after="160" w:before="360"/>
      </w:pPr>
      <w:r>
        <w:rPr>
          <w:rFonts w:ascii="Times New Roman" w:cs="Times New Roman" w:eastAsia="Times New Roman" w:hAnsi="Times New Roman"/>
          <w:b/>
          <w:bCs/>
          <w:color w:val="1B3A6B"/>
          <w:sz w:val="32"/>
          <w:szCs w:val="32"/>
        </w:rPr>
        <w:t xml:space="preserve">6.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5C1F" w:val="clear"/>
            <w:tcMar>
              <w:top w:type="dxa" w:w="100"/>
              <w:left w:type="dxa" w:w="160"/>
              <w:bottom w:type="dxa" w:w="100"/>
              <w:right w:type="dxa" w:w="160"/>
            </w:tcMar>
          </w:tcPr>
          <w:p>
            <w:pPr>
              <w:spacing w:after="100" w:before="60"/>
              <w:jc w:val="center"/>
            </w:pPr>
            <w:r>
              <w:rPr>
                <w:rFonts w:ascii="Times New Roman" w:cs="Times New Roman" w:eastAsia="Times New Roman" w:hAnsi="Times New Roman"/>
                <w:b/>
                <w:bCs/>
                <w:color w:val="FFFFFF"/>
                <w:sz w:val="22"/>
                <w:szCs w:val="22"/>
              </w:rPr>
              <w:t xml:space="preserve">STRENGTHS</w:t>
            </w:r>
          </w:p>
          <w:p>
            <w:pPr>
              <w:spacing w:after="40" w:before="40" w:line="320"/>
            </w:pPr>
            <w:r>
              <w:rPr>
                <w:rFonts w:ascii="Times New Roman" w:cs="Times New Roman" w:eastAsia="Times New Roman" w:hAnsi="Times New Roman"/>
                <w:color w:val="FFFFFF"/>
                <w:sz w:val="20"/>
                <w:szCs w:val="20"/>
              </w:rPr>
              <w:t xml:space="preserve">• Working prototype validates full technical architecture before first sale</w:t>
            </w:r>
          </w:p>
          <w:p>
            <w:pPr>
              <w:spacing w:after="40" w:before="40" w:line="320"/>
            </w:pPr>
            <w:r>
              <w:rPr>
                <w:rFonts w:ascii="Times New Roman" w:cs="Times New Roman" w:eastAsia="Times New Roman" w:hAnsi="Times New Roman"/>
                <w:color w:val="FFFFFF"/>
                <w:sz w:val="20"/>
                <w:szCs w:val="20"/>
              </w:rPr>
              <w:t xml:space="preserve">• No financial regulation, no PCI DSS, no HSM requirement</w:t>
            </w:r>
          </w:p>
          <w:p>
            <w:pPr>
              <w:spacing w:after="40" w:before="40" w:line="320"/>
            </w:pPr>
            <w:r>
              <w:rPr>
                <w:rFonts w:ascii="Times New Roman" w:cs="Times New Roman" w:eastAsia="Times New Roman" w:hAnsi="Times New Roman"/>
                <w:color w:val="FFFFFF"/>
                <w:sz w:val="20"/>
                <w:szCs w:val="20"/>
              </w:rPr>
              <w:t xml:space="preserve">• Tanzania-specific design: power-resilient, Swahili-compatible UI</w:t>
            </w:r>
          </w:p>
          <w:p>
            <w:pPr>
              <w:spacing w:after="40" w:before="40" w:line="320"/>
            </w:pPr>
            <w:r>
              <w:rPr>
                <w:rFonts w:ascii="Times New Roman" w:cs="Times New Roman" w:eastAsia="Times New Roman" w:hAnsi="Times New Roman"/>
                <w:color w:val="FFFFFF"/>
                <w:sz w:val="20"/>
                <w:szCs w:val="20"/>
              </w:rPr>
              <w:t xml:space="preserve">• Two-factor authentication exceeds current institutional security practice</w:t>
            </w:r>
          </w:p>
          <w:p>
            <w:pPr>
              <w:spacing w:after="40" w:before="40" w:line="320"/>
            </w:pPr>
            <w:r>
              <w:rPr>
                <w:rFonts w:ascii="Times New Roman" w:cs="Times New Roman" w:eastAsia="Times New Roman" w:hAnsi="Times New Roman"/>
                <w:color w:val="FFFFFF"/>
                <w:sz w:val="20"/>
                <w:szCs w:val="20"/>
              </w:rPr>
              <w:t xml:space="preserve">• Low bill of materials (~USD 580) yields strong gross margin at USD 2,200 sell price</w:t>
            </w:r>
          </w:p>
          <w:p>
            <w:pPr>
              <w:spacing w:after="40" w:before="40" w:line="320"/>
            </w:pPr>
            <w:r>
              <w:rPr>
                <w:rFonts w:ascii="Times New Roman" w:cs="Times New Roman" w:eastAsia="Times New Roman" w:hAnsi="Times New Roman"/>
                <w:color w:val="FFFFFF"/>
                <w:sz w:val="20"/>
                <w:szCs w:val="20"/>
              </w:rPr>
              <w:t xml:space="preserve">• Africa’s Talking SMS gateway already integrated and tested</w:t>
            </w:r>
          </w:p>
          <w:p>
            <w:pPr>
              <w:spacing w:after="40" w:before="40" w:line="320"/>
            </w:pPr>
            <w:r>
              <w:rPr>
                <w:rFonts w:ascii="Times New Roman" w:cs="Times New Roman" w:eastAsia="Times New Roman" w:hAnsi="Times New Roman"/>
                <w:color w:val="FFFFFF"/>
                <w:sz w:val="20"/>
                <w:szCs w:val="20"/>
              </w:rPr>
              <w:t xml:space="preserve">• 24/7 availability creates immediate, visible student satisfaction improvement</w:t>
            </w:r>
          </w:p>
          <w:p>
            <w:pPr>
              <w:spacing w:after="40" w:before="40" w:line="320"/>
            </w:pPr>
            <w:r>
              <w:rPr>
                <w:rFonts w:ascii="Times New Roman" w:cs="Times New Roman" w:eastAsia="Times New Roman" w:hAnsi="Times New Roman"/>
                <w:color w:val="FFFFFF"/>
                <w:sz w:val="20"/>
                <w:szCs w:val="20"/>
              </w:rPr>
              <w:t xml:space="preserve">• Single developer can build, maintain, and iterate rapidly</w:t>
            </w:r>
          </w:p>
          <w:p>
            <w:pPr>
              <w:spacing w:after="0" w:before="60"/>
            </w:pPr>
            <w:r>
              <w:rPr>
                <w:sz w:val="10"/>
                <w:szCs w:val="10"/>
              </w:rPr>
              <w:t xml:space="preserve"/>
            </w:r>
          </w:p>
        </w:tc>
        <w:tc>
          <w:tcPr>
            <w:tcW w:type="dxa" w:w="4680"/>
            <w:tcBorders>
              <w:top w:val="single" w:color="CCCCCC" w:sz="1"/>
              <w:left w:val="single" w:color="CCCCCC" w:sz="1"/>
              <w:bottom w:val="single" w:color="CCCCCC" w:sz="1"/>
              <w:right w:val="single" w:color="CCCCCC" w:sz="1"/>
            </w:tcBorders>
            <w:shd w:fill="7B1818" w:val="clear"/>
            <w:tcMar>
              <w:top w:type="dxa" w:w="100"/>
              <w:left w:type="dxa" w:w="160"/>
              <w:bottom w:type="dxa" w:w="100"/>
              <w:right w:type="dxa" w:w="160"/>
            </w:tcMar>
          </w:tcPr>
          <w:p>
            <w:pPr>
              <w:spacing w:after="100" w:before="60"/>
              <w:jc w:val="center"/>
            </w:pPr>
            <w:r>
              <w:rPr>
                <w:rFonts w:ascii="Times New Roman" w:cs="Times New Roman" w:eastAsia="Times New Roman" w:hAnsi="Times New Roman"/>
                <w:b/>
                <w:bCs/>
                <w:color w:val="FFFFFF"/>
                <w:sz w:val="22"/>
                <w:szCs w:val="22"/>
              </w:rPr>
              <w:t xml:space="preserve">WEAKNESSES</w:t>
            </w:r>
          </w:p>
          <w:p>
            <w:pPr>
              <w:spacing w:after="40" w:before="40" w:line="320"/>
            </w:pPr>
            <w:r>
              <w:rPr>
                <w:rFonts w:ascii="Times New Roman" w:cs="Times New Roman" w:eastAsia="Times New Roman" w:hAnsi="Times New Roman"/>
                <w:color w:val="FFFFFF"/>
                <w:sz w:val="20"/>
                <w:szCs w:val="20"/>
              </w:rPr>
              <w:t xml:space="preserve">• Phase 1 does not eliminate card printing logistics — universities still batch-print</w:t>
            </w:r>
          </w:p>
          <w:p>
            <w:pPr>
              <w:spacing w:after="40" w:before="40" w:line="320"/>
            </w:pPr>
            <w:r>
              <w:rPr>
                <w:rFonts w:ascii="Times New Roman" w:cs="Times New Roman" w:eastAsia="Times New Roman" w:hAnsi="Times New Roman"/>
                <w:color w:val="FFFFFF"/>
                <w:sz w:val="20"/>
                <w:szCs w:val="20"/>
              </w:rPr>
              <w:t xml:space="preserve">• 10-card carousel capacity limits throughput per loading cycle</w:t>
            </w:r>
          </w:p>
          <w:p>
            <w:pPr>
              <w:spacing w:after="40" w:before="40" w:line="320"/>
            </w:pPr>
            <w:r>
              <w:rPr>
                <w:rFonts w:ascii="Times New Roman" w:cs="Times New Roman" w:eastAsia="Times New Roman" w:hAnsi="Times New Roman"/>
                <w:color w:val="FFFFFF"/>
                <w:sz w:val="20"/>
                <w:szCs w:val="20"/>
              </w:rPr>
              <w:t xml:space="preserve">• Prototype is built from off-the-shelf development boards; not yet production-hardened</w:t>
            </w:r>
          </w:p>
          <w:p>
            <w:pPr>
              <w:spacing w:after="40" w:before="40" w:line="320"/>
            </w:pPr>
            <w:r>
              <w:rPr>
                <w:rFonts w:ascii="Times New Roman" w:cs="Times New Roman" w:eastAsia="Times New Roman" w:hAnsi="Times New Roman"/>
                <w:color w:val="FFFFFF"/>
                <w:sz w:val="20"/>
                <w:szCs w:val="20"/>
              </w:rPr>
              <w:t xml:space="preserve">• No track record: first commercial deployment will require trust-building and extended pilot period</w:t>
            </w:r>
          </w:p>
          <w:p>
            <w:pPr>
              <w:spacing w:after="40" w:before="40" w:line="320"/>
            </w:pPr>
            <w:r>
              <w:rPr>
                <w:rFonts w:ascii="Times New Roman" w:cs="Times New Roman" w:eastAsia="Times New Roman" w:hAnsi="Times New Roman"/>
                <w:color w:val="FFFFFF"/>
                <w:sz w:val="20"/>
                <w:szCs w:val="20"/>
              </w:rPr>
              <w:t xml:space="preserve">• Single developer is a key-person risk for support and maintenance</w:t>
            </w:r>
          </w:p>
          <w:p>
            <w:pPr>
              <w:spacing w:after="40" w:before="40" w:line="320"/>
            </w:pPr>
            <w:r>
              <w:rPr>
                <w:rFonts w:ascii="Times New Roman" w:cs="Times New Roman" w:eastAsia="Times New Roman" w:hAnsi="Times New Roman"/>
                <w:color w:val="FFFFFF"/>
                <w:sz w:val="20"/>
                <w:szCs w:val="20"/>
              </w:rPr>
              <w:t xml:space="preserve">• No injection-moulded enclosure; acrylic prototype is not vandal-resistant</w:t>
            </w:r>
          </w:p>
          <w:p>
            <w:pPr>
              <w:spacing w:after="40" w:before="40" w:line="320"/>
            </w:pPr>
            <w:r>
              <w:rPr>
                <w:rFonts w:ascii="Times New Roman" w:cs="Times New Roman" w:eastAsia="Times New Roman" w:hAnsi="Times New Roman"/>
                <w:color w:val="FFFFFF"/>
                <w:sz w:val="20"/>
                <w:szCs w:val="20"/>
              </w:rPr>
              <w:t xml:space="preserve">• SMS delivery depends on mobile network coverage and Africa’s Talking uptime</w:t>
            </w:r>
          </w:p>
          <w:p>
            <w:pPr>
              <w:spacing w:after="0" w:before="60"/>
            </w:pPr>
            <w:r>
              <w:rPr>
                <w:sz w:val="10"/>
                <w:szCs w:val="10"/>
              </w:rPr>
              <w:t xml:space="preserve"/>
            </w:r>
          </w:p>
        </w:tc>
      </w:tr>
      <w:tr>
        <w:tc>
          <w:tcPr>
            <w:tcW w:type="dxa" w:w="468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spacing w:after="100" w:before="60"/>
              <w:jc w:val="center"/>
            </w:pPr>
            <w:r>
              <w:rPr>
                <w:rFonts w:ascii="Times New Roman" w:cs="Times New Roman" w:eastAsia="Times New Roman" w:hAnsi="Times New Roman"/>
                <w:b/>
                <w:bCs/>
                <w:color w:val="FFFFFF"/>
                <w:sz w:val="22"/>
                <w:szCs w:val="22"/>
              </w:rPr>
              <w:t xml:space="preserve">OPPORTUNITIES</w:t>
            </w:r>
          </w:p>
          <w:p>
            <w:pPr>
              <w:spacing w:after="40" w:before="40" w:line="320"/>
            </w:pPr>
            <w:r>
              <w:rPr>
                <w:rFonts w:ascii="Times New Roman" w:cs="Times New Roman" w:eastAsia="Times New Roman" w:hAnsi="Times New Roman"/>
                <w:color w:val="FFFFFF"/>
                <w:sz w:val="20"/>
                <w:szCs w:val="20"/>
              </w:rPr>
              <w:t xml:space="preserve">• 62 Tanzanian universities, none currently using automated card dispensing</w:t>
            </w:r>
          </w:p>
          <w:p>
            <w:pPr>
              <w:spacing w:after="40" w:before="40" w:line="320"/>
            </w:pPr>
            <w:r>
              <w:rPr>
                <w:rFonts w:ascii="Times New Roman" w:cs="Times New Roman" w:eastAsia="Times New Roman" w:hAnsi="Times New Roman"/>
                <w:color w:val="FFFFFF"/>
                <w:sz w:val="20"/>
                <w:szCs w:val="20"/>
              </w:rPr>
              <w:t xml:space="preserve">• Regional expansion: Kenya, Uganda, Rwanda, Ethiopia present same problem</w:t>
            </w:r>
          </w:p>
          <w:p>
            <w:pPr>
              <w:spacing w:after="40" w:before="40" w:line="320"/>
            </w:pPr>
            <w:r>
              <w:rPr>
                <w:rFonts w:ascii="Times New Roman" w:cs="Times New Roman" w:eastAsia="Times New Roman" w:hAnsi="Times New Roman"/>
                <w:color w:val="FFFFFF"/>
                <w:sz w:val="20"/>
                <w:szCs w:val="20"/>
              </w:rPr>
              <w:t xml:space="preserve">• Phase 2 on-demand printing eliminates entire logistics supply chain for the customer</w:t>
            </w:r>
          </w:p>
          <w:p>
            <w:pPr>
              <w:spacing w:after="40" w:before="40" w:line="320"/>
            </w:pPr>
            <w:r>
              <w:rPr>
                <w:rFonts w:ascii="Times New Roman" w:cs="Times New Roman" w:eastAsia="Times New Roman" w:hAnsi="Times New Roman"/>
                <w:color w:val="FFFFFF"/>
                <w:sz w:val="20"/>
                <w:szCs w:val="20"/>
              </w:rPr>
              <w:t xml:space="preserve">• Platform reusable for other card types: staff ID, library card, access control</w:t>
            </w:r>
          </w:p>
          <w:p>
            <w:pPr>
              <w:spacing w:after="40" w:before="40" w:line="320"/>
            </w:pPr>
            <w:r>
              <w:rPr>
                <w:rFonts w:ascii="Times New Roman" w:cs="Times New Roman" w:eastAsia="Times New Roman" w:hAnsi="Times New Roman"/>
                <w:color w:val="FFFFFF"/>
                <w:sz w:val="20"/>
                <w:szCs w:val="20"/>
              </w:rPr>
              <w:t xml:space="preserve">• CRDB Bank and similar institutions may procure for non-banking access card needs</w:t>
            </w:r>
          </w:p>
          <w:p>
            <w:pPr>
              <w:spacing w:after="40" w:before="40" w:line="320"/>
            </w:pPr>
            <w:r>
              <w:rPr>
                <w:rFonts w:ascii="Times New Roman" w:cs="Times New Roman" w:eastAsia="Times New Roman" w:hAnsi="Times New Roman"/>
                <w:color w:val="FFFFFF"/>
                <w:sz w:val="20"/>
                <w:szCs w:val="20"/>
              </w:rPr>
              <w:t xml:space="preserve">• University procurement cycles are predictable (annual budget rounds)</w:t>
            </w:r>
          </w:p>
          <w:p>
            <w:pPr>
              <w:spacing w:after="40" w:before="40" w:line="320"/>
            </w:pPr>
            <w:r>
              <w:rPr>
                <w:rFonts w:ascii="Times New Roman" w:cs="Times New Roman" w:eastAsia="Times New Roman" w:hAnsi="Times New Roman"/>
                <w:color w:val="FFFFFF"/>
                <w:sz w:val="20"/>
                <w:szCs w:val="20"/>
              </w:rPr>
              <w:t xml:space="preserve">• Government digitisation agenda supports automation of public university services</w:t>
            </w:r>
          </w:p>
          <w:p>
            <w:pPr>
              <w:spacing w:after="0" w:before="60"/>
            </w:pPr>
            <w:r>
              <w:rPr>
                <w:sz w:val="10"/>
                <w:szCs w:val="10"/>
              </w:rPr>
              <w:t xml:space="preserve"/>
            </w:r>
          </w:p>
        </w:tc>
        <w:tc>
          <w:tcPr>
            <w:tcW w:type="dxa" w:w="4680"/>
            <w:tcBorders>
              <w:top w:val="single" w:color="CCCCCC" w:sz="1"/>
              <w:left w:val="single" w:color="CCCCCC" w:sz="1"/>
              <w:bottom w:val="single" w:color="CCCCCC" w:sz="1"/>
              <w:right w:val="single" w:color="CCCCCC" w:sz="1"/>
            </w:tcBorders>
            <w:shd w:fill="B45309" w:val="clear"/>
            <w:tcMar>
              <w:top w:type="dxa" w:w="100"/>
              <w:left w:type="dxa" w:w="160"/>
              <w:bottom w:type="dxa" w:w="100"/>
              <w:right w:type="dxa" w:w="160"/>
            </w:tcMar>
          </w:tcPr>
          <w:p>
            <w:pPr>
              <w:spacing w:after="100" w:before="60"/>
              <w:jc w:val="center"/>
            </w:pPr>
            <w:r>
              <w:rPr>
                <w:rFonts w:ascii="Times New Roman" w:cs="Times New Roman" w:eastAsia="Times New Roman" w:hAnsi="Times New Roman"/>
                <w:b/>
                <w:bCs/>
                <w:color w:val="FFFFFF"/>
                <w:sz w:val="22"/>
                <w:szCs w:val="22"/>
              </w:rPr>
              <w:t xml:space="preserve">THREATS</w:t>
            </w:r>
          </w:p>
          <w:p>
            <w:pPr>
              <w:spacing w:after="40" w:before="40" w:line="320"/>
            </w:pPr>
            <w:r>
              <w:rPr>
                <w:rFonts w:ascii="Times New Roman" w:cs="Times New Roman" w:eastAsia="Times New Roman" w:hAnsi="Times New Roman"/>
                <w:color w:val="FFFFFF"/>
                <w:sz w:val="20"/>
                <w:szCs w:val="20"/>
              </w:rPr>
              <w:t xml:space="preserve">• International vendors (HID Global, Entrust Datacard) could enter this niche</w:t>
            </w:r>
          </w:p>
          <w:p>
            <w:pPr>
              <w:spacing w:after="40" w:before="40" w:line="320"/>
            </w:pPr>
            <w:r>
              <w:rPr>
                <w:rFonts w:ascii="Times New Roman" w:cs="Times New Roman" w:eastAsia="Times New Roman" w:hAnsi="Times New Roman"/>
                <w:color w:val="FFFFFF"/>
                <w:sz w:val="20"/>
                <w:szCs w:val="20"/>
              </w:rPr>
              <w:t xml:space="preserve">• University procurement can be slow, politically influenced, or stalled by bureaucracy</w:t>
            </w:r>
          </w:p>
          <w:p>
            <w:pPr>
              <w:spacing w:after="40" w:before="40" w:line="320"/>
            </w:pPr>
            <w:r>
              <w:rPr>
                <w:rFonts w:ascii="Times New Roman" w:cs="Times New Roman" w:eastAsia="Times New Roman" w:hAnsi="Times New Roman"/>
                <w:color w:val="FFFFFF"/>
                <w:sz w:val="20"/>
                <w:szCs w:val="20"/>
              </w:rPr>
              <w:t xml:space="preserve">• Power interruptions in Tanzania require robust UPS design (managed but adds cost)</w:t>
            </w:r>
          </w:p>
          <w:p>
            <w:pPr>
              <w:spacing w:after="40" w:before="40" w:line="320"/>
            </w:pPr>
            <w:r>
              <w:rPr>
                <w:rFonts w:ascii="Times New Roman" w:cs="Times New Roman" w:eastAsia="Times New Roman" w:hAnsi="Times New Roman"/>
                <w:color w:val="FFFFFF"/>
                <w:sz w:val="20"/>
                <w:szCs w:val="20"/>
              </w:rPr>
              <w:t xml:space="preserve">• Student vandalism or misuse of unattended hardware is a physical risk</w:t>
            </w:r>
          </w:p>
          <w:p>
            <w:pPr>
              <w:spacing w:after="40" w:before="40" w:line="320"/>
            </w:pPr>
            <w:r>
              <w:rPr>
                <w:rFonts w:ascii="Times New Roman" w:cs="Times New Roman" w:eastAsia="Times New Roman" w:hAnsi="Times New Roman"/>
                <w:color w:val="FFFFFF"/>
                <w:sz w:val="20"/>
                <w:szCs w:val="20"/>
              </w:rPr>
              <w:t xml:space="preserve">• Open-source hardware replication: a rival could copy the design after public demonstration</w:t>
            </w:r>
          </w:p>
          <w:p>
            <w:pPr>
              <w:spacing w:after="40" w:before="40" w:line="320"/>
            </w:pPr>
            <w:r>
              <w:rPr>
                <w:rFonts w:ascii="Times New Roman" w:cs="Times New Roman" w:eastAsia="Times New Roman" w:hAnsi="Times New Roman"/>
                <w:color w:val="FFFFFF"/>
                <w:sz w:val="20"/>
                <w:szCs w:val="20"/>
              </w:rPr>
              <w:t xml:space="preserve">• Foreign exchange volatility affects component import costs (Pi, STM32, sensors)</w:t>
            </w:r>
          </w:p>
          <w:p>
            <w:pPr>
              <w:spacing w:after="0" w:before="60"/>
            </w:pPr>
            <w:r>
              <w:rPr>
                <w:sz w:val="10"/>
                <w:szCs w:val="10"/>
              </w:rPr>
              <w:t xml:space="preserve"/>
            </w:r>
          </w:p>
        </w:tc>
      </w:tr>
    </w:tbl>
    <w:p>
      <w:pPr>
        <w:pStyle w:val="Heading1"/>
        <w:pBdr>
          <w:bottom w:val="single" w:color="2E5FA3" w:sz="8" w:space="4"/>
        </w:pBdr>
        <w:spacing w:after="160" w:before="360"/>
      </w:pPr>
      <w:r>
        <w:rPr>
          <w:rFonts w:ascii="Times New Roman" w:cs="Times New Roman" w:eastAsia="Times New Roman" w:hAnsi="Times New Roman"/>
          <w:b/>
          <w:bCs/>
          <w:color w:val="1B3A6B"/>
          <w:sz w:val="32"/>
          <w:szCs w:val="32"/>
        </w:rPr>
        <w:t xml:space="preserve">7. Financial Feasibility</w:t>
      </w:r>
    </w:p>
    <w:p>
      <w:pPr>
        <w:spacing w:after="100" w:before="100" w:line="360"/>
        <w:jc w:val="both"/>
      </w:pPr>
      <w:r>
        <w:rPr>
          <w:rFonts w:ascii="Times New Roman" w:cs="Times New Roman" w:eastAsia="Times New Roman" w:hAnsi="Times New Roman"/>
          <w:b w:val="false"/>
          <w:bCs w:val="false"/>
          <w:color w:val="000000"/>
          <w:sz w:val="22"/>
          <w:szCs w:val="22"/>
        </w:rPr>
        <w:t xml:space="preserve">All figures in USD unless stated otherwise. Exchange rate applied: 1 USD = TZS 2,500.</w:t>
      </w:r>
    </w:p>
    <w:p>
      <w:pPr>
        <w:pStyle w:val="Heading2"/>
        <w:spacing w:after="120" w:before="260"/>
      </w:pPr>
      <w:r>
        <w:rPr>
          <w:rFonts w:ascii="Times New Roman" w:cs="Times New Roman" w:eastAsia="Times New Roman" w:hAnsi="Times New Roman"/>
          <w:b/>
          <w:bCs/>
          <w:color w:val="2E5FA3"/>
          <w:sz w:val="26"/>
          <w:szCs w:val="26"/>
        </w:rPr>
        <w:t xml:space="preserve">7.1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Component / Cost Item</w:t>
            </w:r>
          </w:p>
        </w:tc>
        <w:tc>
          <w:tcPr>
            <w:tcW w:type="dxa" w:w="208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Unit Cost (USD)</w:t>
            </w:r>
          </w:p>
        </w:tc>
        <w:tc>
          <w:tcPr>
            <w:tcW w:type="dxa" w:w="208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Notes</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Raspberry Pi 5 (4GB)</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85</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Main compute unit</w:t>
            </w:r>
          </w:p>
        </w:tc>
      </w:tr>
      <w:tr>
        <w:tc>
          <w:tcPr>
            <w:tcW w:type="dxa" w:w="5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STM32 Nucleo-F401RE</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22</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Hardware controller</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5-inch IPS DSI touchscreen</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42</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Student / staff UI</w:t>
            </w:r>
          </w:p>
        </w:tc>
      </w:tr>
      <w:tr>
        <w:tc>
          <w:tcPr>
            <w:tcW w:type="dxa" w:w="5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Pi Camera V2 (CSI, batch scan)</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28</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OCR station</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USB webcam 1080p (front slot)</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18</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Card verification</w:t>
            </w:r>
          </w:p>
        </w:tc>
      </w:tr>
      <w:tr>
        <w:tc>
          <w:tcPr>
            <w:tcW w:type="dxa" w:w="5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NEMA 17 stepper motors x2</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32</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Carousel + conveyor</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DRV8825 motor driver modules x2</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Step/direction control</w:t>
            </w:r>
          </w:p>
        </w:tc>
      </w:tr>
      <w:tr>
        <w:tc>
          <w:tcPr>
            <w:tcW w:type="dxa" w:w="5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SG90 servo motors x2</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6</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Latch + ejector</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12V solenoid lock + IRLZ44N MOSFET</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16</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Staff door security</w:t>
            </w:r>
          </w:p>
        </w:tc>
      </w:tr>
      <w:tr>
        <w:tc>
          <w:tcPr>
            <w:tcW w:type="dxa" w:w="5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A3144 Hall-effect sensor + IR sensors x4</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14</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Position feedback</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12V/10A switching PSU</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22</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Primary power rail</w:t>
            </w:r>
          </w:p>
        </w:tc>
      </w:tr>
      <w:tr>
        <w:tc>
          <w:tcPr>
            <w:tcW w:type="dxa" w:w="5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LM2596 buck converter + AMS1117 LDO</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8</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5V and 3.3V regulation</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UPS HAT module + 18650 cells</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28</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Graceful shutdown</w:t>
            </w:r>
          </w:p>
        </w:tc>
      </w:tr>
      <w:tr>
        <w:tc>
          <w:tcPr>
            <w:tcW w:type="dxa" w:w="5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GT2 timing belt + pulleys</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Carousel drive</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Neodymium magnets x10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6</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Card slot retention</w:t>
            </w:r>
          </w:p>
        </w:tc>
      </w:tr>
      <w:tr>
        <w:tc>
          <w:tcPr>
            <w:tcW w:type="dxa" w:w="5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Acrylic sheet + fabrication</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85</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Enclosure and disc</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Perfboard, connectors, wiring</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18</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Electrical assembly</w:t>
            </w:r>
          </w:p>
        </w:tc>
      </w:tr>
      <w:tr>
        <w:tc>
          <w:tcPr>
            <w:tcW w:type="dxa" w:w="5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Fasteners, standoffs, brackets</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Mechanical assembly</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32GB microSD (Class 10)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8</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OS + database storage</w:t>
            </w:r>
          </w:p>
        </w:tc>
      </w:tr>
      <w:tr>
        <w:tc>
          <w:tcPr>
            <w:tcW w:type="dxa" w:w="520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TOTAL BILL OF MATERIALS</w:t>
            </w:r>
          </w:p>
        </w:tc>
        <w:tc>
          <w:tcPr>
            <w:tcW w:type="dxa" w:w="208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USD 474</w:t>
            </w:r>
          </w:p>
        </w:tc>
        <w:tc>
          <w:tcPr>
            <w:tcW w:type="dxa" w:w="208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Direct hardware only</w:t>
            </w:r>
          </w:p>
        </w:tc>
      </w:tr>
      <w:tr>
        <w:tc>
          <w:tcPr>
            <w:tcW w:type="dxa" w:w="5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Assembly labour + quality testing (8 hours at USD 8/hr)</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USD 64</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Prototype rate</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Packaging + shipping to customer</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USD 42</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Dar es Salaam local</w:t>
            </w:r>
          </w:p>
        </w:tc>
      </w:tr>
      <w:tr>
        <w:tc>
          <w:tcPr>
            <w:tcW w:type="dxa" w:w="520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TOTAL COST OF GOODS SOLD (COGS)</w:t>
            </w:r>
          </w:p>
        </w:tc>
        <w:tc>
          <w:tcPr>
            <w:tcW w:type="dxa" w:w="208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USD 580</w:t>
            </w:r>
          </w:p>
        </w:tc>
        <w:tc>
          <w:tcPr>
            <w:tcW w:type="dxa" w:w="208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w:r>
          </w:p>
        </w:tc>
      </w:tr>
      <w:tr>
        <w:tc>
          <w:tcPr>
            <w:tcW w:type="dxa" w:w="5200"/>
            <w:tcBorders>
              <w:top w:val="single" w:color="CCCCCC" w:sz="1"/>
              <w:left w:val="single" w:color="CCCCCC" w:sz="1"/>
              <w:bottom w:val="single" w:color="CCCCCC" w:sz="1"/>
              <w:right w:val="single" w:color="CCCCCC" w:sz="1"/>
            </w:tcBorders>
            <w:shd w:fill="D6ECDB"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Selling Price</w:t>
            </w:r>
          </w:p>
        </w:tc>
        <w:tc>
          <w:tcPr>
            <w:tcW w:type="dxa" w:w="2080"/>
            <w:tcBorders>
              <w:top w:val="single" w:color="CCCCCC" w:sz="1"/>
              <w:left w:val="single" w:color="CCCCCC" w:sz="1"/>
              <w:bottom w:val="single" w:color="CCCCCC" w:sz="1"/>
              <w:right w:val="single" w:color="CCCCCC" w:sz="1"/>
            </w:tcBorders>
            <w:shd w:fill="D6ECDB"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USD 2,200</w:t>
            </w:r>
          </w:p>
        </w:tc>
        <w:tc>
          <w:tcPr>
            <w:tcW w:type="dxa" w:w="2080"/>
            <w:tcBorders>
              <w:top w:val="single" w:color="CCCCCC" w:sz="1"/>
              <w:left w:val="single" w:color="CCCCCC" w:sz="1"/>
              <w:bottom w:val="single" w:color="CCCCCC" w:sz="1"/>
              <w:right w:val="single" w:color="CCCCCC" w:sz="1"/>
            </w:tcBorders>
            <w:shd w:fill="D6ECDB"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Ex-works price</w:t>
            </w:r>
          </w:p>
        </w:tc>
      </w:tr>
      <w:tr>
        <w:tc>
          <w:tcPr>
            <w:tcW w:type="dxa" w:w="5200"/>
            <w:tcBorders>
              <w:top w:val="single" w:color="CCCCCC" w:sz="1"/>
              <w:left w:val="single" w:color="CCCCCC" w:sz="1"/>
              <w:bottom w:val="single" w:color="CCCCCC" w:sz="1"/>
              <w:right w:val="single" w:color="CCCCCC" w:sz="1"/>
            </w:tcBorders>
            <w:shd w:fill="D6ECDB"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Gross Profit per Unit</w:t>
            </w:r>
          </w:p>
        </w:tc>
        <w:tc>
          <w:tcPr>
            <w:tcW w:type="dxa" w:w="2080"/>
            <w:tcBorders>
              <w:top w:val="single" w:color="CCCCCC" w:sz="1"/>
              <w:left w:val="single" w:color="CCCCCC" w:sz="1"/>
              <w:bottom w:val="single" w:color="CCCCCC" w:sz="1"/>
              <w:right w:val="single" w:color="CCCCCC" w:sz="1"/>
            </w:tcBorders>
            <w:shd w:fill="D6ECDB"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USD 1,620</w:t>
            </w:r>
          </w:p>
        </w:tc>
        <w:tc>
          <w:tcPr>
            <w:tcW w:type="dxa" w:w="2080"/>
            <w:tcBorders>
              <w:top w:val="single" w:color="CCCCCC" w:sz="1"/>
              <w:left w:val="single" w:color="CCCCCC" w:sz="1"/>
              <w:bottom w:val="single" w:color="CCCCCC" w:sz="1"/>
              <w:right w:val="single" w:color="CCCCCC" w:sz="1"/>
            </w:tcBorders>
            <w:shd w:fill="D6ECDB"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Gross margin: 74%</w:t>
            </w:r>
          </w:p>
        </w:tc>
      </w:tr>
    </w:tbl>
    <w:p>
      <w:pPr>
        <w:pStyle w:val="Heading2"/>
        <w:spacing w:after="120" w:before="260"/>
      </w:pPr>
      <w:r>
        <w:rPr>
          <w:rFonts w:ascii="Times New Roman" w:cs="Times New Roman" w:eastAsia="Times New Roman" w:hAnsi="Times New Roman"/>
          <w:b/>
          <w:bCs/>
          <w:color w:val="2E5FA3"/>
          <w:sz w:val="26"/>
          <w:szCs w:val="26"/>
        </w:rPr>
        <w:t xml:space="preserve">7.2  Operational Expense Budget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Expense Item</w:t>
            </w:r>
          </w:p>
        </w:tc>
        <w:tc>
          <w:tcPr>
            <w:tcW w:type="dxa" w:w="208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Monthly (USD)</w:t>
            </w:r>
          </w:p>
        </w:tc>
        <w:tc>
          <w:tcPr>
            <w:tcW w:type="dxa" w:w="208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Annual (USD)</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Africa’s Talking SMS API (per kiosk average 500 SMS/month at USD 0.015)</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7.50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90</w:t>
            </w:r>
          </w:p>
        </w:tc>
      </w:tr>
      <w:tr>
        <w:tc>
          <w:tcPr>
            <w:tcW w:type="dxa" w:w="5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Cloud server / VPS for remote monitoring dashboard</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180</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Domain, SSL certificate, miscellaneous web hosting</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36</w:t>
            </w:r>
          </w:p>
        </w:tc>
      </w:tr>
      <w:tr>
        <w:tc>
          <w:tcPr>
            <w:tcW w:type="dxa" w:w="5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Component inventory buffer (spare parts)</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300</w:t>
            </w:r>
          </w:p>
        </w:tc>
      </w:tr>
      <w:tr>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Transport / site visit fuel</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240</w:t>
            </w:r>
          </w:p>
        </w:tc>
      </w:tr>
      <w:tr>
        <w:tc>
          <w:tcPr>
            <w:tcW w:type="dxa" w:w="5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Internet data (Pi cellular backup SIM per unit)</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8</w:t>
            </w:r>
          </w:p>
        </w:tc>
        <w:tc>
          <w:tcPr>
            <w:tcW w:type="dxa" w:w="20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96</w:t>
            </w:r>
          </w:p>
        </w:tc>
      </w:tr>
      <w:tr>
        <w:tc>
          <w:tcPr>
            <w:tcW w:type="dxa" w:w="520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TOTAL OPEX PER KIOSK PER YEAR</w:t>
            </w:r>
          </w:p>
        </w:tc>
        <w:tc>
          <w:tcPr>
            <w:tcW w:type="dxa" w:w="208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USD 78.50</w:t>
            </w:r>
          </w:p>
        </w:tc>
        <w:tc>
          <w:tcPr>
            <w:tcW w:type="dxa" w:w="208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USD 942</w:t>
            </w:r>
          </w:p>
        </w:tc>
      </w:tr>
    </w:tbl>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bCs/>
          <w:sz w:val="22"/>
          <w:szCs w:val="22"/>
        </w:rPr>
        <w:t xml:space="preserve">Net profit per kiosk per year (from Year 2): </w:t>
      </w:r>
      <w:r>
        <w:rPr>
          <w:rFonts w:ascii="Times New Roman" w:cs="Times New Roman" w:eastAsia="Times New Roman" w:hAnsi="Times New Roman"/>
          <w:sz w:val="22"/>
          <w:szCs w:val="22"/>
        </w:rPr>
        <w:t xml:space="preserve">Annual license (USD 450) + maintenance contract (USD 180) − OPEX (USD 942) = −USD 312. This means recurring revenue from a single deployed unit does not fully cover its ongoing running cost. However, with 4 or more units in the field, the fixed cloud and overhead costs are shared and the per-unit contribution turns positive. This is the correct model: hardware margin funds operations; recurring revenue scales faster than costs.</w:t>
      </w:r>
    </w:p>
    <w:p>
      <w:pPr>
        <w:pStyle w:val="Heading2"/>
        <w:spacing w:after="120" w:before="260"/>
      </w:pPr>
      <w:r>
        <w:rPr>
          <w:rFonts w:ascii="Times New Roman" w:cs="Times New Roman" w:eastAsia="Times New Roman" w:hAnsi="Times New Roman"/>
          <w:b/>
          <w:bCs/>
          <w:color w:val="2E5FA3"/>
          <w:sz w:val="26"/>
          <w:szCs w:val="26"/>
        </w:rPr>
        <w:t xml:space="preserve">7.3  Break-Even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786"/>
        <w:gridCol w:w="2574"/>
      </w:tblGrid>
      <w:tr>
        <w:trPr>
          <w:tblHeader/>
        </w:trPr>
        <w:tc>
          <w:tcPr>
            <w:tcW w:type="dxa" w:w="400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Scenario</w:t>
            </w:r>
          </w:p>
        </w:tc>
        <w:tc>
          <w:tcPr>
            <w:tcW w:type="dxa" w:w="2786"/>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Units Sold</w:t>
            </w:r>
          </w:p>
        </w:tc>
        <w:tc>
          <w:tcPr>
            <w:tcW w:type="dxa" w:w="2574"/>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Cumulative Revenue (USD)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Fixed development cost to recover (prototype + tooling)</w:t>
            </w:r>
          </w:p>
        </w:tc>
        <w:tc>
          <w:tcPr>
            <w:tcW w:type="dxa" w:w="27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257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USD 3,200</w:t>
            </w:r>
          </w:p>
        </w:tc>
      </w:tr>
      <w:tr>
        <w:tc>
          <w:tcPr>
            <w:tcW w:type="dxa" w:w="40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Break-even (hardware margin only)</w:t>
            </w:r>
          </w:p>
        </w:tc>
        <w:tc>
          <w:tcPr>
            <w:tcW w:type="dxa" w:w="2786"/>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 units</w:t>
            </w:r>
          </w:p>
        </w:tc>
        <w:tc>
          <w:tcPr>
            <w:tcW w:type="dxa" w:w="2574"/>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USD 3,240 gross profit</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First 6 public universities, 2 units each</w:t>
            </w:r>
          </w:p>
        </w:tc>
        <w:tc>
          <w:tcPr>
            <w:tcW w:type="dxa" w:w="27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 units</w:t>
            </w:r>
          </w:p>
        </w:tc>
        <w:tc>
          <w:tcPr>
            <w:tcW w:type="dxa" w:w="257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USD 33,240</w:t>
            </w:r>
          </w:p>
        </w:tc>
      </w:tr>
      <w:tr>
        <w:tc>
          <w:tcPr>
            <w:tcW w:type="dxa" w:w="40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Full Tanzania large public university coverage</w:t>
            </w:r>
          </w:p>
        </w:tc>
        <w:tc>
          <w:tcPr>
            <w:tcW w:type="dxa" w:w="2786"/>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18 units</w:t>
            </w:r>
          </w:p>
        </w:tc>
        <w:tc>
          <w:tcPr>
            <w:tcW w:type="dxa" w:w="2574"/>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USD 49,860</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East Africa Year 3 target (50 units)</w:t>
            </w:r>
          </w:p>
        </w:tc>
        <w:tc>
          <w:tcPr>
            <w:tcW w:type="dxa" w:w="278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50 units</w:t>
            </w:r>
          </w:p>
        </w:tc>
        <w:tc>
          <w:tcPr>
            <w:tcW w:type="dxa" w:w="257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USD 138,500</w:t>
            </w:r>
          </w:p>
        </w:tc>
      </w:tr>
    </w:tbl>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val="false"/>
          <w:bCs w:val="false"/>
          <w:color w:val="000000"/>
          <w:sz w:val="22"/>
          <w:szCs w:val="22"/>
        </w:rPr>
        <w:t xml:space="preserve">The business reaches financial sustainability at 4 units deployed (covering fixed overheads from recurring revenue) and fully recovers development investment at 2 hardware sales. This is an unusually low break-even threshold for a hardware startup, enabled by the high gross margin on the unit itself.</w:t>
      </w:r>
    </w:p>
    <w:p>
      <w:pPr>
        <w:pStyle w:val="Heading2"/>
        <w:spacing w:after="120" w:before="260"/>
      </w:pPr>
      <w:r>
        <w:rPr>
          <w:rFonts w:ascii="Times New Roman" w:cs="Times New Roman" w:eastAsia="Times New Roman" w:hAnsi="Times New Roman"/>
          <w:b/>
          <w:bCs/>
          <w:color w:val="2E5FA3"/>
          <w:sz w:val="26"/>
          <w:szCs w:val="26"/>
        </w:rPr>
        <w:t xml:space="preserve">7.4  Three-Year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4"/>
      </w:tblGrid>
      <w:tr>
        <w:trPr>
          <w:tblHeader/>
        </w:trPr>
        <w:tc>
          <w:tcPr>
            <w:tcW w:type="dxa" w:w="350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Revenue Line</w:t>
            </w:r>
          </w:p>
        </w:tc>
        <w:tc>
          <w:tcPr>
            <w:tcW w:type="dxa" w:w="1953"/>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Year 1 (USD)</w:t>
            </w:r>
          </w:p>
        </w:tc>
        <w:tc>
          <w:tcPr>
            <w:tcW w:type="dxa" w:w="1953"/>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Year 2 (USD)</w:t>
            </w:r>
          </w:p>
        </w:tc>
        <w:tc>
          <w:tcPr>
            <w:tcW w:type="dxa" w:w="1954"/>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Year 3 (USD)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Kiosk units sold</w:t>
            </w:r>
          </w:p>
        </w:tc>
        <w:tc>
          <w:tcPr>
            <w:tcW w:type="dxa" w:w="195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 units</w:t>
            </w:r>
          </w:p>
        </w:tc>
        <w:tc>
          <w:tcPr>
            <w:tcW w:type="dxa" w:w="195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 units</w:t>
            </w:r>
          </w:p>
        </w:tc>
        <w:tc>
          <w:tcPr>
            <w:tcW w:type="dxa" w:w="195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20 units</w:t>
            </w:r>
          </w:p>
        </w:tc>
      </w:tr>
      <w:tr>
        <w:tc>
          <w:tcPr>
            <w:tcW w:type="dxa" w:w="35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Hardware revenue</w:t>
            </w:r>
          </w:p>
        </w:tc>
        <w:tc>
          <w:tcPr>
            <w:tcW w:type="dxa" w:w="1953"/>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8,800</w:t>
            </w:r>
          </w:p>
        </w:tc>
        <w:tc>
          <w:tcPr>
            <w:tcW w:type="dxa" w:w="1953"/>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22,000</w:t>
            </w:r>
          </w:p>
        </w:tc>
        <w:tc>
          <w:tcPr>
            <w:tcW w:type="dxa" w:w="1954"/>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44,000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Installation revenue</w:t>
            </w:r>
          </w:p>
        </w:tc>
        <w:tc>
          <w:tcPr>
            <w:tcW w:type="dxa" w:w="195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800</w:t>
            </w:r>
          </w:p>
        </w:tc>
        <w:tc>
          <w:tcPr>
            <w:tcW w:type="dxa" w:w="195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2,000</w:t>
            </w:r>
          </w:p>
        </w:tc>
        <w:tc>
          <w:tcPr>
            <w:tcW w:type="dxa" w:w="195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4,000</w:t>
            </w:r>
          </w:p>
        </w:tc>
      </w:tr>
      <w:tr>
        <w:tc>
          <w:tcPr>
            <w:tcW w:type="dxa" w:w="35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Software license revenue (cumulative base)</w:t>
            </w:r>
          </w:p>
        </w:tc>
        <w:tc>
          <w:tcPr>
            <w:tcW w:type="dxa" w:w="1953"/>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1,800</w:t>
            </w:r>
          </w:p>
        </w:tc>
        <w:tc>
          <w:tcPr>
            <w:tcW w:type="dxa" w:w="1953"/>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6,750</w:t>
            </w:r>
          </w:p>
        </w:tc>
        <w:tc>
          <w:tcPr>
            <w:tcW w:type="dxa" w:w="1954"/>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15,300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Maintenance contract revenue (cumulative)</w:t>
            </w:r>
          </w:p>
        </w:tc>
        <w:tc>
          <w:tcPr>
            <w:tcW w:type="dxa" w:w="195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720</w:t>
            </w:r>
          </w:p>
        </w:tc>
        <w:tc>
          <w:tcPr>
            <w:tcW w:type="dxa" w:w="195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2,700</w:t>
            </w:r>
          </w:p>
        </w:tc>
        <w:tc>
          <w:tcPr>
            <w:tcW w:type="dxa" w:w="195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6,120</w:t>
            </w:r>
          </w:p>
        </w:tc>
      </w:tr>
      <w:tr>
        <w:tc>
          <w:tcPr>
            <w:tcW w:type="dxa" w:w="350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TOTAL REVENUE</w:t>
            </w:r>
          </w:p>
        </w:tc>
        <w:tc>
          <w:tcPr>
            <w:tcW w:type="dxa" w:w="1953"/>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12,120</w:t>
            </w:r>
          </w:p>
        </w:tc>
        <w:tc>
          <w:tcPr>
            <w:tcW w:type="dxa" w:w="1953"/>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33,450</w:t>
            </w:r>
          </w:p>
        </w:tc>
        <w:tc>
          <w:tcPr>
            <w:tcW w:type="dxa" w:w="1954"/>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69,420</w:t>
            </w:r>
          </w:p>
        </w:tc>
      </w:tr>
      <w:tr>
        <w:tc>
          <w:tcPr>
            <w:tcW w:type="dxa" w:w="35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Total COGS (hardware + installation)</w:t>
            </w:r>
          </w:p>
        </w:tc>
        <w:tc>
          <w:tcPr>
            <w:tcW w:type="dxa" w:w="1953"/>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(2,320)</w:t>
            </w:r>
          </w:p>
        </w:tc>
        <w:tc>
          <w:tcPr>
            <w:tcW w:type="dxa" w:w="1953"/>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(5,800)</w:t>
            </w:r>
          </w:p>
        </w:tc>
        <w:tc>
          <w:tcPr>
            <w:tcW w:type="dxa" w:w="1954"/>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(11,600)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Total OPEX (shared overhead + per-unit running)</w:t>
            </w:r>
          </w:p>
        </w:tc>
        <w:tc>
          <w:tcPr>
            <w:tcW w:type="dxa" w:w="195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(5,200)</w:t>
            </w:r>
          </w:p>
        </w:tc>
        <w:tc>
          <w:tcPr>
            <w:tcW w:type="dxa" w:w="195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(8,100)</w:t>
            </w:r>
          </w:p>
        </w:tc>
        <w:tc>
          <w:tcPr>
            <w:tcW w:type="dxa" w:w="1954"/>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(14,200)</w:t>
            </w:r>
          </w:p>
        </w:tc>
      </w:tr>
      <w:tr>
        <w:tc>
          <w:tcPr>
            <w:tcW w:type="dxa" w:w="3500"/>
            <w:tcBorders>
              <w:top w:val="single" w:color="CCCCCC" w:sz="1"/>
              <w:left w:val="single" w:color="CCCCCC" w:sz="1"/>
              <w:bottom w:val="single" w:color="CCCCCC" w:sz="1"/>
              <w:right w:val="single" w:color="CCCCCC" w:sz="1"/>
            </w:tcBorders>
            <w:shd w:fill="D6ECDB"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NET PROFIT / (LOSS)</w:t>
            </w:r>
          </w:p>
        </w:tc>
        <w:tc>
          <w:tcPr>
            <w:tcW w:type="dxa" w:w="1953"/>
            <w:tcBorders>
              <w:top w:val="single" w:color="CCCCCC" w:sz="1"/>
              <w:left w:val="single" w:color="CCCCCC" w:sz="1"/>
              <w:bottom w:val="single" w:color="CCCCCC" w:sz="1"/>
              <w:right w:val="single" w:color="CCCCCC" w:sz="1"/>
            </w:tcBorders>
            <w:shd w:fill="D6ECDB"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4,600</w:t>
            </w:r>
          </w:p>
        </w:tc>
        <w:tc>
          <w:tcPr>
            <w:tcW w:type="dxa" w:w="1953"/>
            <w:tcBorders>
              <w:top w:val="single" w:color="CCCCCC" w:sz="1"/>
              <w:left w:val="single" w:color="CCCCCC" w:sz="1"/>
              <w:bottom w:val="single" w:color="CCCCCC" w:sz="1"/>
              <w:right w:val="single" w:color="CCCCCC" w:sz="1"/>
            </w:tcBorders>
            <w:shd w:fill="D6ECDB"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19,550</w:t>
            </w:r>
          </w:p>
        </w:tc>
        <w:tc>
          <w:tcPr>
            <w:tcW w:type="dxa" w:w="1954"/>
            <w:tcBorders>
              <w:top w:val="single" w:color="CCCCCC" w:sz="1"/>
              <w:left w:val="single" w:color="CCCCCC" w:sz="1"/>
              <w:bottom w:val="single" w:color="CCCCCC" w:sz="1"/>
              <w:right w:val="single" w:color="CCCCCC" w:sz="1"/>
            </w:tcBorders>
            <w:shd w:fill="D6ECDB"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43,620</w:t>
            </w:r>
          </w:p>
        </w:tc>
      </w:tr>
    </w:tbl>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val="false"/>
          <w:bCs w:val="false"/>
          <w:color w:val="000000"/>
          <w:sz w:val="22"/>
          <w:szCs w:val="22"/>
        </w:rPr>
        <w:t xml:space="preserve">Year 1 net profit of USD 4,600 is modest but positive, which is an unusually strong result for a hardware startup in its first year. This is achievable because development costs are already absorbed by the prototype engineering project, leaving only direct production and overhead costs against first-sale revenue.</w:t>
      </w:r>
    </w:p>
    <w:p>
      <w:pPr>
        <w:pStyle w:val="Heading1"/>
        <w:pBdr>
          <w:bottom w:val="single" w:color="2E5FA3" w:sz="8" w:space="4"/>
        </w:pBdr>
        <w:spacing w:after="160" w:before="360"/>
      </w:pPr>
      <w:r>
        <w:rPr>
          <w:rFonts w:ascii="Times New Roman" w:cs="Times New Roman" w:eastAsia="Times New Roman" w:hAnsi="Times New Roman"/>
          <w:b/>
          <w:bCs/>
          <w:color w:val="1B3A6B"/>
          <w:sz w:val="32"/>
          <w:szCs w:val="32"/>
        </w:rPr>
        <w:t xml:space="preserve">8. Go-To-Market Strategy</w:t>
      </w:r>
    </w:p>
    <w:p>
      <w:pPr>
        <w:pStyle w:val="Heading2"/>
        <w:spacing w:after="120" w:before="260"/>
      </w:pPr>
      <w:r>
        <w:rPr>
          <w:rFonts w:ascii="Times New Roman" w:cs="Times New Roman" w:eastAsia="Times New Roman" w:hAnsi="Times New Roman"/>
          <w:b/>
          <w:bCs/>
          <w:color w:val="2E5FA3"/>
          <w:sz w:val="26"/>
          <w:szCs w:val="26"/>
        </w:rPr>
        <w:t xml:space="preserve">8.1  The UDSM Pilot Advantage</w:t>
      </w:r>
    </w:p>
    <w:p>
      <w:pPr>
        <w:spacing w:after="100" w:before="100" w:line="360"/>
        <w:jc w:val="both"/>
      </w:pPr>
      <w:r>
        <w:rPr>
          <w:rFonts w:ascii="Times New Roman" w:cs="Times New Roman" w:eastAsia="Times New Roman" w:hAnsi="Times New Roman"/>
          <w:b w:val="false"/>
          <w:bCs w:val="false"/>
          <w:color w:val="000000"/>
          <w:sz w:val="22"/>
          <w:szCs w:val="22"/>
        </w:rPr>
        <w:t xml:space="preserve">The single most powerful go-to-market asset available is the fact that the prototype is being developed at the University of Dar es Salaam, one of the largest and most prominent public universities in East Africa. A successful pilot deployment at UDSM, endorsed by the university administration and visible to students, provides independent third-party validation that cannot be purchased with marketing spend. Every other university administrator in Tanzania knows UDSM. A reference there opens conversations everywhere else.</w:t>
      </w:r>
    </w:p>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val="false"/>
          <w:bCs w:val="false"/>
          <w:color w:val="000000"/>
          <w:sz w:val="22"/>
          <w:szCs w:val="22"/>
        </w:rPr>
        <w:t xml:space="preserve">The proposed pilot is a zero-cost deployment of one kiosk unit at the UDSM smartcard office for a period of one semester. The university bears no procurement cost during the pilot. In return, AutoKiosk Solutions receives operating data (card transaction volume, collection time, authentication success rate) and a formal written endorsement letter from the university registrar on completion.</w:t>
      </w:r>
    </w:p>
    <w:p>
      <w:pPr>
        <w:pStyle w:val="Heading2"/>
        <w:spacing w:after="120" w:before="260"/>
      </w:pPr>
      <w:r>
        <w:rPr>
          <w:rFonts w:ascii="Times New Roman" w:cs="Times New Roman" w:eastAsia="Times New Roman" w:hAnsi="Times New Roman"/>
          <w:b/>
          <w:bCs/>
          <w:color w:val="2E5FA3"/>
          <w:sz w:val="26"/>
          <w:szCs w:val="26"/>
        </w:rPr>
        <w:t xml:space="preserve">8.2  University Procurement Pathway</w:t>
      </w:r>
    </w:p>
    <w:p>
      <w:pPr>
        <w:spacing w:after="100" w:before="100" w:line="360"/>
        <w:jc w:val="both"/>
      </w:pPr>
      <w:r>
        <w:rPr>
          <w:rFonts w:ascii="Times New Roman" w:cs="Times New Roman" w:eastAsia="Times New Roman" w:hAnsi="Times New Roman"/>
          <w:b w:val="false"/>
          <w:bCs w:val="false"/>
          <w:color w:val="000000"/>
          <w:sz w:val="22"/>
          <w:szCs w:val="22"/>
        </w:rPr>
        <w:t xml:space="preserve">University procurement in Tanzania follows a cycle aligned with budget submissions, typically concluded between June and September for the following academic year. The sales process must be initiated at the department head level (Registrar or Director of ICT) and supported by a demonstration of the working system. The following sequence is recommended.</w:t>
      </w:r>
    </w:p>
    <w:p>
      <w:pPr>
        <w:spacing w:after="0" w:before="0"/>
      </w:pPr>
      <w:r>
        <w:rPr>
          <w:rFonts w:ascii="Times New Roman" w:cs="Times New Roman" w:eastAsia="Times New Roman" w:hAnsi="Times New Roman"/>
          <w:sz w:val="22"/>
          <w:szCs w:val="22"/>
        </w:rPr>
        <w:t xml:space="preserve"/>
      </w:r>
    </w:p>
    <w:p>
      <w:pPr>
        <w:pStyle w:val="ListParagraph"/>
        <w:numPr>
          <w:ilvl w:val="0"/>
          <w:numId w:val="2"/>
        </w:numPr>
        <w:spacing w:after="60" w:before="60" w:line="340"/>
        <w:jc w:val="both"/>
      </w:pPr>
      <w:r>
        <w:rPr>
          <w:rFonts w:ascii="Times New Roman" w:cs="Times New Roman" w:eastAsia="Times New Roman" w:hAnsi="Times New Roman"/>
          <w:sz w:val="22"/>
          <w:szCs w:val="22"/>
        </w:rPr>
        <w:t xml:space="preserve">Months 1–3: UDSM pilot deployment and data collection.</w:t>
      </w:r>
    </w:p>
    <w:p>
      <w:pPr>
        <w:pStyle w:val="ListParagraph"/>
        <w:numPr>
          <w:ilvl w:val="0"/>
          <w:numId w:val="2"/>
        </w:numPr>
        <w:spacing w:after="60" w:before="60" w:line="340"/>
        <w:jc w:val="both"/>
      </w:pPr>
      <w:r>
        <w:rPr>
          <w:rFonts w:ascii="Times New Roman" w:cs="Times New Roman" w:eastAsia="Times New Roman" w:hAnsi="Times New Roman"/>
          <w:sz w:val="22"/>
          <w:szCs w:val="22"/>
        </w:rPr>
        <w:t xml:space="preserve">Month 4: Prepare formal impact report with pilot data. Present to UDSM Registrar for written endorsement.</w:t>
      </w:r>
    </w:p>
    <w:p>
      <w:pPr>
        <w:pStyle w:val="ListParagraph"/>
        <w:numPr>
          <w:ilvl w:val="0"/>
          <w:numId w:val="2"/>
        </w:numPr>
        <w:spacing w:after="60" w:before="60" w:line="340"/>
        <w:jc w:val="both"/>
      </w:pPr>
      <w:r>
        <w:rPr>
          <w:rFonts w:ascii="Times New Roman" w:cs="Times New Roman" w:eastAsia="Times New Roman" w:hAnsi="Times New Roman"/>
          <w:sz w:val="22"/>
          <w:szCs w:val="22"/>
        </w:rPr>
        <w:t xml:space="preserve">Months 4–6: Schedule demonstrations at Ardhi University, MUHAS, and Mzumbe University — all within or near Dar es Salaam. Bring the working unit. Show, do not just tell.</w:t>
      </w:r>
    </w:p>
    <w:p>
      <w:pPr>
        <w:pStyle w:val="ListParagraph"/>
        <w:numPr>
          <w:ilvl w:val="0"/>
          <w:numId w:val="2"/>
        </w:numPr>
        <w:spacing w:after="60" w:before="60" w:line="340"/>
        <w:jc w:val="both"/>
      </w:pPr>
      <w:r>
        <w:rPr>
          <w:rFonts w:ascii="Times New Roman" w:cs="Times New Roman" w:eastAsia="Times New Roman" w:hAnsi="Times New Roman"/>
          <w:sz w:val="22"/>
          <w:szCs w:val="22"/>
        </w:rPr>
        <w:t xml:space="preserve">Month 6–8: Submit procurement proposals to target university ICT or Estates departments with budget cycle timing aligned.</w:t>
      </w:r>
    </w:p>
    <w:p>
      <w:pPr>
        <w:pStyle w:val="ListParagraph"/>
        <w:numPr>
          <w:ilvl w:val="0"/>
          <w:numId w:val="2"/>
        </w:numPr>
        <w:spacing w:after="60" w:before="60" w:line="340"/>
        <w:jc w:val="both"/>
      </w:pPr>
      <w:r>
        <w:rPr>
          <w:rFonts w:ascii="Times New Roman" w:cs="Times New Roman" w:eastAsia="Times New Roman" w:hAnsi="Times New Roman"/>
          <w:sz w:val="22"/>
          <w:szCs w:val="22"/>
        </w:rPr>
        <w:t xml:space="preserve">Month 9–: Begin installations as purchase orders are confirmed.</w:t>
      </w:r>
    </w:p>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val="false"/>
          <w:bCs w:val="false"/>
          <w:color w:val="000000"/>
          <w:sz w:val="22"/>
          <w:szCs w:val="22"/>
        </w:rPr>
        <w:t xml:space="preserve">The key competitive advantage at the demonstration stage is that the system is already built and running. Many vendors pitch slides; AutoKiosk Solutions brings a unit.</w:t>
      </w:r>
    </w:p>
    <w:p>
      <w:pPr>
        <w:pStyle w:val="Heading1"/>
        <w:pBdr>
          <w:bottom w:val="single" w:color="2E5FA3" w:sz="8" w:space="4"/>
        </w:pBdr>
        <w:spacing w:after="160" w:before="360"/>
      </w:pPr>
      <w:r>
        <w:rPr>
          <w:rFonts w:ascii="Times New Roman" w:cs="Times New Roman" w:eastAsia="Times New Roman" w:hAnsi="Times New Roman"/>
          <w:b/>
          <w:bCs/>
          <w:color w:val="1B3A6B"/>
          <w:sz w:val="32"/>
          <w:szCs w:val="32"/>
        </w:rPr>
        <w:t xml:space="preserve">9. Product Upgrade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3720"/>
        <w:gridCol w:w="2000"/>
      </w:tblGrid>
      <w:tr>
        <w:trPr>
          <w:tblHeader/>
        </w:trPr>
        <w:tc>
          <w:tcPr>
            <w:tcW w:type="dxa" w:w="144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Phase</w:t>
            </w:r>
          </w:p>
        </w:tc>
        <w:tc>
          <w:tcPr>
            <w:tcW w:type="dxa" w:w="220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Timeline</w:t>
            </w:r>
          </w:p>
        </w:tc>
        <w:tc>
          <w:tcPr>
            <w:tcW w:type="dxa" w:w="372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Upgrade</w:t>
            </w:r>
          </w:p>
        </w:tc>
        <w:tc>
          <w:tcPr>
            <w:tcW w:type="dxa" w:w="200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Impact</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Now (prototype)</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10-slot carousel dispensing, two-factor auth, OCR batch scan, SMS notify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Core MVP live</w:t>
            </w:r>
          </w:p>
        </w:tc>
      </w:tr>
      <w:tr>
        <w:tc>
          <w:tcPr>
            <w:tcW w:type="dxa" w:w="144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1.1</w:t>
            </w:r>
          </w:p>
        </w:tc>
        <w:tc>
          <w:tcPr>
            <w:tcW w:type="dxa" w:w="2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Year 1 Q2</w:t>
            </w:r>
          </w:p>
        </w:tc>
        <w:tc>
          <w:tcPr>
            <w:tcW w:type="dxa" w:w="372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Remote management dashboard: real-time kiosk health, card inventory, audit log view from web browser</w:t>
            </w:r>
          </w:p>
        </w:tc>
        <w:tc>
          <w:tcPr>
            <w:tcW w:type="dxa" w:w="20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Reduces on-site support visits</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Year 1 Q3</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Expand carousel to 20 or 30 slots (larger disc, same firmware logic)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Doubles batch capacity</w:t>
            </w:r>
          </w:p>
        </w:tc>
      </w:tr>
      <w:tr>
        <w:tc>
          <w:tcPr>
            <w:tcW w:type="dxa" w:w="144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1.3</w:t>
            </w:r>
          </w:p>
        </w:tc>
        <w:tc>
          <w:tcPr>
            <w:tcW w:type="dxa" w:w="2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Year 1 Q4</w:t>
            </w:r>
          </w:p>
        </w:tc>
        <w:tc>
          <w:tcPr>
            <w:tcW w:type="dxa" w:w="372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WhatsApp notification channel via Africa’s Talking WhatsApp API (supplement SMS)</w:t>
            </w:r>
          </w:p>
        </w:tc>
        <w:tc>
          <w:tcPr>
            <w:tcW w:type="dxa" w:w="20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Reaches students with limited SMS plans</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2.0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Year 3</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Integrate onboard card printer module: on-demand card printing and personalisation. Eliminates batch logistics for the university.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Removes last remaining university pain point</w:t>
            </w:r>
          </w:p>
        </w:tc>
      </w:tr>
      <w:tr>
        <w:tc>
          <w:tcPr>
            <w:tcW w:type="dxa" w:w="144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2.1</w:t>
            </w:r>
          </w:p>
        </w:tc>
        <w:tc>
          <w:tcPr>
            <w:tcW w:type="dxa" w:w="2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Year 3 Q2</w:t>
            </w:r>
          </w:p>
        </w:tc>
        <w:tc>
          <w:tcPr>
            <w:tcW w:type="dxa" w:w="372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Biometric liveness check on front camera: face match against student photo on file before dispensing</w:t>
            </w:r>
          </w:p>
        </w:tc>
        <w:tc>
          <w:tcPr>
            <w:tcW w:type="dxa" w:w="20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Eliminates card theft risk</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2.2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Year 4</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Multi-institution kiosk: single unit serves multiple institutions (e.g. a shared campus hub). Revenue per unit doubles.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New revenue model</w:t>
            </w:r>
          </w:p>
        </w:tc>
      </w:tr>
      <w:tr>
        <w:tc>
          <w:tcPr>
            <w:tcW w:type="dxa" w:w="144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3.0</w:t>
            </w:r>
          </w:p>
        </w:tc>
        <w:tc>
          <w:tcPr>
            <w:tcW w:type="dxa" w:w="2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Year 4–5</w:t>
            </w:r>
          </w:p>
        </w:tc>
        <w:tc>
          <w:tcPr>
            <w:tcW w:type="dxa" w:w="372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Platform expansion: same hardware serves staff ID, library access card, conference badge dispensing</w:t>
            </w:r>
          </w:p>
        </w:tc>
        <w:tc>
          <w:tcPr>
            <w:tcW w:type="dxa" w:w="20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New customer verticals</w:t>
            </w:r>
          </w:p>
        </w:tc>
      </w:tr>
    </w:tbl>
    <w:p>
      <w:pPr>
        <w:pStyle w:val="Heading1"/>
        <w:pBdr>
          <w:bottom w:val="single" w:color="2E5FA3" w:sz="8" w:space="4"/>
        </w:pBdr>
        <w:spacing w:after="160" w:before="360"/>
      </w:pPr>
      <w:r>
        <w:rPr>
          <w:rFonts w:ascii="Times New Roman" w:cs="Times New Roman" w:eastAsia="Times New Roman" w:hAnsi="Times New Roman"/>
          <w:b/>
          <w:bCs/>
          <w:color w:val="1B3A6B"/>
          <w:sz w:val="32"/>
          <w:szCs w:val="32"/>
        </w:rPr>
        <w:t xml:space="preserve">10.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Risk</w:t>
            </w:r>
          </w:p>
        </w:tc>
        <w:tc>
          <w:tcPr>
            <w:tcW w:type="dxa" w:w="120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Likelihood</w:t>
            </w:r>
          </w:p>
        </w:tc>
        <w:tc>
          <w:tcPr>
            <w:tcW w:type="dxa" w:w="120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Impact</w:t>
            </w:r>
          </w:p>
        </w:tc>
        <w:tc>
          <w:tcPr>
            <w:tcW w:type="dxa" w:w="416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University procurement stalls or is delayed by 6+ months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C00000"/>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C00000"/>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Pursue UDSM pilot at zero cost to eliminate the procurement barrier for the first installation. Use UDSM reference to accelerate subsequent negotiations.</w:t>
            </w:r>
          </w:p>
        </w:tc>
      </w:tr>
      <w:tr>
        <w:tc>
          <w:tcPr>
            <w:tcW w:type="dxa" w:w="28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Power interruptions damage hardware or corrupt the database</w:t>
            </w:r>
          </w:p>
        </w:tc>
        <w:tc>
          <w:tcPr>
            <w:tcW w:type="dxa" w:w="1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B45309"/>
                <w:sz w:val="20"/>
                <w:szCs w:val="20"/>
              </w:rPr>
              <w:t xml:space="preserve">Medium</w:t>
            </w:r>
          </w:p>
        </w:tc>
        <w:tc>
          <w:tcPr>
            <w:tcW w:type="dxa" w:w="1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C00000"/>
                <w:sz w:val="20"/>
                <w:szCs w:val="20"/>
              </w:rPr>
              <w:t xml:space="preserve">High</w:t>
            </w:r>
          </w:p>
        </w:tc>
        <w:tc>
          <w:tcPr>
            <w:tcW w:type="dxa" w:w="416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UPS module sustains operation for 10+ minutes; SQLite WAL mode prevents corruption; graceful shutdown sequence implemented in firmware.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Raspberry Pi 5 or STM32 component availability disruption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1F6B2A"/>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C00000"/>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Maintain 3-unit spare inventory of critical boards. Design allows substitution of equivalent SBCs without firmware changes.</w:t>
            </w:r>
          </w:p>
        </w:tc>
      </w:tr>
      <w:tr>
        <w:tc>
          <w:tcPr>
            <w:tcW w:type="dxa" w:w="28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Student attempts to tamper with kiosk or force the dispensing slot</w:t>
            </w:r>
          </w:p>
        </w:tc>
        <w:tc>
          <w:tcPr>
            <w:tcW w:type="dxa" w:w="1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B45309"/>
                <w:sz w:val="20"/>
                <w:szCs w:val="20"/>
              </w:rPr>
              <w:t xml:space="preserve">Medium</w:t>
            </w:r>
          </w:p>
        </w:tc>
        <w:tc>
          <w:tcPr>
            <w:tcW w:type="dxa" w:w="1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B45309"/>
                <w:sz w:val="20"/>
                <w:szCs w:val="20"/>
              </w:rPr>
              <w:t xml:space="preserve">Medium</w:t>
            </w:r>
          </w:p>
        </w:tc>
        <w:tc>
          <w:tcPr>
            <w:tcW w:type="dxa" w:w="416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Acrylic enclosure reinforced at access points; solenoid door lock fail-secure; audit log captures all failed authentication attempts for review.</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 competitor copies the design after public demo or publication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B45309"/>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B45309"/>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First-mover advantage and installed base are the primary moat. File a utility model patent with BRELA (Tanzania) before public demonstration.</w:t>
            </w:r>
          </w:p>
        </w:tc>
      </w:tr>
      <w:tr>
        <w:tc>
          <w:tcPr>
            <w:tcW w:type="dxa" w:w="28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SMS OTP delivery failure leaves student unable to collect card</w:t>
            </w:r>
          </w:p>
        </w:tc>
        <w:tc>
          <w:tcPr>
            <w:tcW w:type="dxa" w:w="1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1F6B2A"/>
                <w:sz w:val="20"/>
                <w:szCs w:val="20"/>
              </w:rPr>
              <w:t xml:space="preserve">Low</w:t>
            </w:r>
          </w:p>
        </w:tc>
        <w:tc>
          <w:tcPr>
            <w:tcW w:type="dxa" w:w="12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B45309"/>
                <w:sz w:val="20"/>
                <w:szCs w:val="20"/>
              </w:rPr>
              <w:t xml:space="preserve">Medium</w:t>
            </w:r>
          </w:p>
        </w:tc>
        <w:tc>
          <w:tcPr>
            <w:tcW w:type="dxa" w:w="416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OTP automatically resends if undelivered. Staff admin interface allows manual OTP reset. WhatsApp channel (Phase 1.3) provides backup.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Foreign exchange rate increase raises component import cost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B45309"/>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val="false"/>
                <w:bCs w:val="false"/>
                <w:color w:val="1F6B2A"/>
                <w:sz w:val="20"/>
                <w:szCs w:val="20"/>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Maintain a 20% component cost buffer in pricing. Review sell price annually against current exchange rate.</w:t>
            </w:r>
          </w:p>
        </w:tc>
      </w:tr>
    </w:tbl>
    <w:p>
      <w:pPr>
        <w:pStyle w:val="Heading1"/>
        <w:pBdr>
          <w:bottom w:val="single" w:color="2E5FA3" w:sz="8" w:space="4"/>
        </w:pBdr>
        <w:spacing w:after="160" w:before="360"/>
      </w:pPr>
      <w:r>
        <w:rPr>
          <w:rFonts w:ascii="Times New Roman" w:cs="Times New Roman" w:eastAsia="Times New Roman" w:hAnsi="Times New Roman"/>
          <w:b/>
          <w:bCs/>
          <w:color w:val="1B3A6B"/>
          <w:sz w:val="32"/>
          <w:szCs w:val="32"/>
        </w:rPr>
        <w:t xml:space="preserve">11. What to Expect: 36-Month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80"/>
        <w:gridCol w:w="4380"/>
      </w:tblGrid>
      <w:tr>
        <w:trPr>
          <w:tblHeader/>
        </w:trPr>
        <w:tc>
          <w:tcPr>
            <w:tcW w:type="dxa" w:w="180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Timeline</w:t>
            </w:r>
          </w:p>
        </w:tc>
        <w:tc>
          <w:tcPr>
            <w:tcW w:type="dxa" w:w="318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Milestone</w:t>
            </w:r>
          </w:p>
        </w:tc>
        <w:tc>
          <w:tcPr>
            <w:tcW w:type="dxa" w:w="4380"/>
            <w:tcBorders>
              <w:top w:val="single" w:color="CCCCCC" w:sz="1"/>
              <w:left w:val="single" w:color="CCCCCC" w:sz="1"/>
              <w:bottom w:val="single" w:color="CCCCCC" w:sz="1"/>
              <w:right w:val="single" w:color="CCCCCC" w:sz="1"/>
            </w:tcBorders>
            <w:shd w:fill="F2F5FA"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1B3A6B"/>
                <w:sz w:val="20"/>
                <w:szCs w:val="20"/>
              </w:rPr>
              <w:t xml:space="preserve">Success Indicator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Month 1–2</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Prototype complete and validated</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Full batch load of 10 cards, 10 successful student collections, OCR &gt;90% accuracy on test set</w:t>
            </w:r>
          </w:p>
        </w:tc>
      </w:tr>
      <w:tr>
        <w:tc>
          <w:tcPr>
            <w:tcW w:type="dxa" w:w="18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Month 3</w:t>
            </w:r>
          </w:p>
        </w:tc>
        <w:tc>
          <w:tcPr>
            <w:tcW w:type="dxa" w:w="31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UDSM pilot live</w:t>
            </w:r>
          </w:p>
        </w:tc>
        <w:tc>
          <w:tcPr>
            <w:tcW w:type="dxa" w:w="43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Kiosk operational at UDSM smartcard office; first real student collections logged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Month 5</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Pilot data report published</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Formal report with collection time, queue reduction, student satisfaction rating; endorsement letter from UDSM registrar</w:t>
            </w:r>
          </w:p>
        </w:tc>
      </w:tr>
      <w:tr>
        <w:tc>
          <w:tcPr>
            <w:tcW w:type="dxa" w:w="18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Month 6</w:t>
            </w:r>
          </w:p>
        </w:tc>
        <w:tc>
          <w:tcPr>
            <w:tcW w:type="dxa" w:w="31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First paid sale</w:t>
            </w:r>
          </w:p>
        </w:tc>
        <w:tc>
          <w:tcPr>
            <w:tcW w:type="dxa" w:w="43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Purchase order received from a second institution; deposit received; unit in production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Month 9</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3 units deployed</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Three institutions live; recurring license revenue stream established; first maintenance visit completed</w:t>
            </w:r>
          </w:p>
        </w:tc>
      </w:tr>
      <w:tr>
        <w:tc>
          <w:tcPr>
            <w:tcW w:type="dxa" w:w="18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Month 12</w:t>
            </w:r>
          </w:p>
        </w:tc>
        <w:tc>
          <w:tcPr>
            <w:tcW w:type="dxa" w:w="31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Remote monitoring dashboard live</w:t>
            </w:r>
          </w:p>
        </w:tc>
        <w:tc>
          <w:tcPr>
            <w:tcW w:type="dxa" w:w="43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All units visible on dashboard; automated alert on low card inventory or offline status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Month 18</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Break-even reached</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Cumulative net profit positive; development cost fully recovered; business self-sustaining</w:t>
            </w:r>
          </w:p>
        </w:tc>
      </w:tr>
      <w:tr>
        <w:tc>
          <w:tcPr>
            <w:tcW w:type="dxa" w:w="18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Month 24</w:t>
            </w:r>
          </w:p>
        </w:tc>
        <w:tc>
          <w:tcPr>
            <w:tcW w:type="dxa" w:w="31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10 units deployed in Tanzania</w:t>
            </w:r>
          </w:p>
        </w:tc>
        <w:tc>
          <w:tcPr>
            <w:tcW w:type="dxa" w:w="43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USD 33,000+ cumulative revenue; shortlist of 5 Kenyan institutions identified for Year 3 expansion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Month 30</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Regional expansion begins</w:t>
            </w:r>
          </w:p>
        </w:tc>
        <w:tc>
          <w:tcPr>
            <w:tcW w:type="dxa" w:w="4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First Kenyan or Ugandan institution signed; import/export logistics established</w:t>
            </w:r>
          </w:p>
        </w:tc>
      </w:tr>
      <w:tr>
        <w:tc>
          <w:tcPr>
            <w:tcW w:type="dxa" w:w="180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Month 36</w:t>
            </w:r>
          </w:p>
        </w:tc>
        <w:tc>
          <w:tcPr>
            <w:tcW w:type="dxa" w:w="31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Phase 2 prototype complete</w:t>
            </w:r>
          </w:p>
        </w:tc>
        <w:tc>
          <w:tcPr>
            <w:tcW w:type="dxa" w:w="4380"/>
            <w:tcBorders>
              <w:top w:val="single" w:color="CCCCCC" w:sz="1"/>
              <w:left w:val="single" w:color="CCCCCC" w:sz="1"/>
              <w:bottom w:val="single" w:color="CCCCCC" w:sz="1"/>
              <w:right w:val="single" w:color="CCCCCC" w:sz="1"/>
            </w:tcBorders>
            <w:shd w:fill="E8ECF2" w:val="clear"/>
            <w:tcMar>
              <w:top w:type="dxa" w:w="100"/>
              <w:left w:type="dxa" w:w="140"/>
              <w:bottom w:type="dxa" w:w="10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On-demand card printing module integrated and tested; ready for Year 4 premium product launch</w:t>
            </w:r>
          </w:p>
        </w:tc>
      </w:tr>
    </w:tbl>
    <w:p>
      <w:pPr>
        <w:pStyle w:val="Heading1"/>
        <w:pBdr>
          <w:bottom w:val="single" w:color="2E5FA3" w:sz="8" w:space="4"/>
        </w:pBdr>
        <w:spacing w:after="160" w:before="360"/>
      </w:pPr>
      <w:r>
        <w:rPr>
          <w:rFonts w:ascii="Times New Roman" w:cs="Times New Roman" w:eastAsia="Times New Roman" w:hAnsi="Times New Roman"/>
          <w:b/>
          <w:bCs/>
          <w:color w:val="1B3A6B"/>
          <w:sz w:val="32"/>
          <w:szCs w:val="32"/>
        </w:rPr>
        <w:t xml:space="preserve">12. Conclusion</w:t>
      </w:r>
    </w:p>
    <w:p>
      <w:pPr>
        <w:spacing w:after="100" w:before="100" w:line="360"/>
        <w:jc w:val="both"/>
      </w:pPr>
      <w:r>
        <w:rPr>
          <w:rFonts w:ascii="Times New Roman" w:cs="Times New Roman" w:eastAsia="Times New Roman" w:hAnsi="Times New Roman"/>
          <w:b w:val="false"/>
          <w:bCs w:val="false"/>
          <w:color w:val="000000"/>
          <w:sz w:val="22"/>
          <w:szCs w:val="22"/>
        </w:rPr>
        <w:t xml:space="preserve">The AutoKiosk University ID Card Dispensing Kiosk addresses a real, universal, and currently unsolved problem across every university in Tanzania and the wider East African region. It does so with a working prototype, a clear regulatory-light market entry, a compelling economic case for the customer, strong unit economics for the business, and a defined two-phase product roadmap toward a higher-value on-demand printing solution.</w:t>
      </w:r>
    </w:p>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val="false"/>
          <w:bCs w:val="false"/>
          <w:color w:val="000000"/>
          <w:sz w:val="22"/>
          <w:szCs w:val="22"/>
        </w:rPr>
        <w:t xml:space="preserve">The financial projections are conservative. They assume a modest sales rate, no grant or angel funding, and no cost reduction from manufacturing scale. Even under these assumptions, the business turns profitable in Year 1 and generates meaningful income by Year 3. With external funding accelerating prototype-to-production hardening and sales activity, the trajectory improves substantially.</w:t>
      </w:r>
    </w:p>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val="false"/>
          <w:bCs w:val="false"/>
          <w:color w:val="000000"/>
          <w:sz w:val="22"/>
          <w:szCs w:val="22"/>
        </w:rPr>
        <w:t xml:space="preserve">Most critically, the technology is not a concept. It is a physical, working system built on proven components by an engineer who understands every layer of the stack, from the STM32 stepper motor firmware to the bcrypt-secured authentication module to the Africa’s Talking SMS integration. That is a rare and genuine competitive advantage in a market where most proposed solutions remain at the slide-deck stage.</w:t>
      </w:r>
    </w:p>
    <w:p>
      <w:pPr>
        <w:spacing w:after="0" w:before="0"/>
      </w:pPr>
      <w:r>
        <w:rPr>
          <w:rFonts w:ascii="Times New Roman" w:cs="Times New Roman" w:eastAsia="Times New Roman" w:hAnsi="Times New Roman"/>
          <w:sz w:val="22"/>
          <w:szCs w:val="22"/>
        </w:rPr>
        <w:t xml:space="preserve"/>
      </w:r>
    </w:p>
    <w:p>
      <w:pPr>
        <w:spacing w:after="100" w:before="100" w:line="360"/>
        <w:jc w:val="both"/>
      </w:pPr>
      <w:r>
        <w:rPr>
          <w:rFonts w:ascii="Times New Roman" w:cs="Times New Roman" w:eastAsia="Times New Roman" w:hAnsi="Times New Roman"/>
          <w:b/>
          <w:bCs/>
          <w:sz w:val="22"/>
          <w:szCs w:val="22"/>
        </w:rPr>
        <w:t xml:space="preserve">The ask is simple: </w:t>
      </w:r>
      <w:r>
        <w:rPr>
          <w:rFonts w:ascii="Times New Roman" w:cs="Times New Roman" w:eastAsia="Times New Roman" w:hAnsi="Times New Roman"/>
          <w:sz w:val="22"/>
          <w:szCs w:val="22"/>
        </w:rPr>
        <w:t xml:space="preserve">the opportunity to pilot at UDSM, the resources to produce 3 production-quality units, and the platform to reach university procurement decision-makers across Tanzania. The prototype already proves it works. The business plan proves it pays.</w:t>
      </w:r>
    </w:p>
    <w:p>
      <w:pPr>
        <w:spacing w:after="0" w:before="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pBdr>
          <w:bottom w:val="single" w:color="2E5FA3" w:sz="6"/>
        </w:pBdr>
        <w:spacing w:after="200" w:before="0"/>
      </w:pPr>
    </w:p>
    <w:p>
      <w:pPr>
        <w:spacing w:after="0" w:before="0"/>
        <w:jc w:val="center"/>
      </w:pPr>
      <w:r>
        <w:rPr>
          <w:rFonts w:ascii="Times New Roman" w:cs="Times New Roman" w:eastAsia="Times New Roman" w:hAnsi="Times New Roman"/>
          <w:i/>
          <w:iCs/>
          <w:color w:val="888888"/>
          <w:sz w:val="18"/>
          <w:szCs w:val="18"/>
        </w:rPr>
        <w:t xml:space="preserve">Samuel Dan Musyani | Reg. 2022-04-09050 | B.Sc. Electronics Engineering | University of Dar es Salaam | April 2025</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jc w:val="left"/>
    </w:pPr>
    <w:r>
      <w:rPr>
        <w:rFonts w:ascii="Times New Roman" w:cs="Times New Roman" w:eastAsia="Times New Roman" w:hAnsi="Times New Roman"/>
        <w:color w:val="888888"/>
        <w:sz w:val="18"/>
        <w:szCs w:val="18"/>
      </w:rPr>
      <w:t xml:space="preserve">Confidential — April 2025</w:t>
    </w:r>
    <w:r>
      <w:rPr>
        <w:rFonts w:ascii="Times New Roman" w:cs="Times New Roman" w:eastAsia="Times New Roman" w:hAnsi="Times New Roman"/>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60"/>
      <w:jc w:val="right"/>
    </w:pPr>
    <w:r>
      <w:rPr>
        <w:rFonts w:ascii="Times New Roman" w:cs="Times New Roman" w:eastAsia="Times New Roman" w:hAnsi="Times New Roman"/>
        <w:i/>
        <w:iCs/>
        <w:color w:val="888888"/>
        <w:sz w:val="18"/>
        <w:szCs w:val="18"/>
      </w:rPr>
      <w:t xml:space="preserve">AutoKiosk Solutions | Business Plan — University ID Card Dispensing Kiosk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B3A6B"/>
      <w:sz w:val="32"/>
      <w:szCs w:val="32"/>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2E5FA3"/>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2026-04-22T23:22:36.025Z</dcterms:created>
  <dcterms:modified xsi:type="dcterms:W3CDTF">2026-04-22T23:22:36.026Z</dcterms:modified>
</cp:coreProperties>
</file>

<file path=docProps/custom.xml><?xml version="1.0" encoding="utf-8"?>
<Properties xmlns="http://schemas.openxmlformats.org/officeDocument/2006/custom-properties" xmlns:vt="http://schemas.openxmlformats.org/officeDocument/2006/docPropsVTypes"/>
</file>