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i w:val="false"/>
          <w:iCs w:val="false"/>
          <w:caps w:val="false"/>
          <w:color w:val="4A5A70"/>
          <w:sz w:val="15"/>
          <w:szCs w:val="15"/>
        </w:rPr>
        <w:t xml:space="preserve">2026 MUNICH TECH ARENA — TECHNICAL PROPOSAL</w:t>
      </w:r>
    </w:p>
    <w:p>
      <w:pPr>
        <w:spacing w:after="30"/>
      </w:pPr>
      <w:r>
        <w:rPr>
          <w:rFonts w:ascii="Calibri" w:cs="Calibri" w:eastAsia="Calibri" w:hAnsi="Calibri"/>
          <w:b/>
          <w:bCs/>
          <w:i w:val="false"/>
          <w:iCs w:val="false"/>
          <w:caps w:val="false"/>
          <w:color w:val="12213A"/>
          <w:sz w:val="28"/>
          <w:szCs w:val="28"/>
        </w:rPr>
        <w:t xml:space="preserve">HELIX: Hybrid Ear Landmark Inference with eXplicit Shape Priors</w:t>
      </w:r>
    </w:p>
    <w:p>
      <w:pPr>
        <w:pBdr>
          <w:bottom w:val="single" w:color="12213A" w:sz="10" w:space="4"/>
        </w:pBdr>
        <w:spacing w:after="100"/>
      </w:pPr>
      <w:r>
        <w:rPr>
          <w:rFonts w:ascii="Calibri" w:cs="Calibri" w:eastAsia="Calibri" w:hAnsi="Calibri"/>
          <w:b w:val="false"/>
          <w:bCs w:val="false"/>
          <w:i/>
          <w:iCs/>
          <w:caps w:val="false"/>
          <w:color w:val="4A5A70"/>
          <w:sz w:val="18"/>
          <w:szCs w:val="18"/>
        </w:rPr>
        <w:t xml:space="preserve">Automatic Extraction of 85 Anatomical Landmarks of Pinna Shape from 3D Head Meshes</w:t>
      </w:r>
    </w:p>
    <w:p>
      <w:pPr>
        <w:keepNext/>
        <w:pBdr>
          <w:bottom w:val="single" w:color="9AA7B8" w:sz="6" w:space="3"/>
        </w:pBdr>
        <w:spacing w:after="90" w:before="190"/>
      </w:pPr>
      <w:r>
        <w:rPr>
          <w:rFonts w:ascii="Calibri" w:cs="Calibri" w:eastAsia="Calibri" w:hAnsi="Calibri"/>
          <w:b/>
          <w:bCs/>
          <w:i w:val="false"/>
          <w:iCs w:val="false"/>
          <w:caps w:val="false"/>
          <w:color w:val="12213A"/>
          <w:sz w:val="22"/>
          <w:szCs w:val="22"/>
        </w:rPr>
        <w:t xml:space="preserve">1  </w:t>
      </w:r>
      <w:r>
        <w:rPr>
          <w:rFonts w:ascii="Calibri" w:cs="Calibri" w:eastAsia="Calibri" w:hAnsi="Calibri"/>
          <w:b/>
          <w:bCs/>
          <w:i w:val="false"/>
          <w:iCs w:val="false"/>
          <w:caps w:val="false"/>
          <w:color w:val="12213A"/>
          <w:sz w:val="22"/>
          <w:szCs w:val="22"/>
        </w:rPr>
        <w:t xml:space="preserve">Basic Information</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900"/>
        <w:gridCol w:w="3253"/>
        <w:gridCol w:w="1900"/>
        <w:gridCol w:w="3253"/>
      </w:tblGrid>
      <w:tr>
        <w:tc>
          <w:tcPr>
            <w:tcW w:type="dxa" w:w="1900"/>
            <w:tcBorders>
              <w:top w:val="single" w:color="C9D2DD" w:sz="3"/>
              <w:left w:val="none" w:color="FFFFFF" w:sz="0"/>
              <w:bottom w:val="single" w:color="C9D2DD" w:sz="3"/>
              <w:right w:val="none" w:color="FFFFFF" w:sz="0"/>
            </w:tcBorders>
            <w:shd w:fill="F2F5F9" w:color="auto" w:val="clear"/>
            <w:tcMar>
              <w:top w:type="dxa" w:w="55"/>
              <w:left w:type="dxa" w:w="85"/>
              <w:bottom w:type="dxa" w:w="55"/>
              <w:right w:type="dxa" w:w="85"/>
            </w:tcMar>
            <w:vAlign w:val="top"/>
          </w:tcPr>
          <w:p>
            <w:pPr>
              <w:keepNext w:val="false"/>
              <w:spacing w:after="0" w:before="0" w:line="224"/>
              <w:jc w:val="left"/>
            </w:pPr>
            <w:r>
              <w:rPr>
                <w:rFonts w:ascii="Calibri" w:cs="Calibri" w:eastAsia="Calibri" w:hAnsi="Calibri"/>
                <w:b/>
                <w:bCs/>
                <w:i w:val="false"/>
                <w:iCs w:val="false"/>
                <w:caps w:val="false"/>
                <w:color w:val="1A1A1A"/>
                <w:sz w:val="16"/>
                <w:szCs w:val="16"/>
              </w:rPr>
              <w:t xml:space="preserve">Team Name</w:t>
            </w:r>
          </w:p>
        </w:tc>
        <w:tc>
          <w:tcPr>
            <w:tcW w:type="dxa" w:w="3253"/>
            <w:tcBorders>
              <w:top w:val="single" w:color="C9D2DD" w:sz="3"/>
              <w:left w:val="none" w:color="FFFFFF" w:sz="0"/>
              <w:bottom w:val="single" w:color="C9D2DD" w:sz="3"/>
              <w:right w:val="none" w:color="FFFFFF" w:sz="0"/>
            </w:tcBorders>
            <w:tcMar>
              <w:top w:type="dxa" w:w="55"/>
              <w:left w:type="dxa" w:w="85"/>
              <w:bottom w:type="dxa" w:w="55"/>
              <w:right w:type="dxa" w:w="85"/>
            </w:tcMar>
            <w:vAlign w:val="top"/>
          </w:tcPr>
          <w:p>
            <w:pPr>
              <w:keepNext w:val="false"/>
              <w:spacing w:after="0" w:before="0" w:line="224"/>
              <w:jc w:val="left"/>
            </w:pPr>
            <w:r>
              <w:rPr>
                <w:rFonts w:ascii="Calibri" w:cs="Calibri" w:eastAsia="Calibri" w:hAnsi="Calibri"/>
                <w:b w:val="false"/>
                <w:bCs w:val="false"/>
                <w:i w:val="false"/>
                <w:iCs w:val="false"/>
                <w:caps w:val="false"/>
                <w:color w:val="1A1A1A"/>
                <w:sz w:val="16"/>
                <w:szCs w:val="16"/>
              </w:rPr>
              <w:t xml:space="preserve">〈to be completed〉</w:t>
            </w:r>
          </w:p>
        </w:tc>
        <w:tc>
          <w:tcPr>
            <w:tcW w:type="dxa" w:w="1900"/>
            <w:tcBorders>
              <w:top w:val="single" w:color="C9D2DD" w:sz="3"/>
              <w:left w:val="none" w:color="FFFFFF" w:sz="0"/>
              <w:bottom w:val="single" w:color="C9D2DD" w:sz="3"/>
              <w:right w:val="none" w:color="FFFFFF" w:sz="0"/>
            </w:tcBorders>
            <w:shd w:fill="F2F5F9" w:color="auto" w:val="clear"/>
            <w:tcMar>
              <w:top w:type="dxa" w:w="55"/>
              <w:left w:type="dxa" w:w="85"/>
              <w:bottom w:type="dxa" w:w="55"/>
              <w:right w:type="dxa" w:w="85"/>
            </w:tcMar>
            <w:vAlign w:val="top"/>
          </w:tcPr>
          <w:p>
            <w:pPr>
              <w:keepNext w:val="false"/>
              <w:spacing w:after="0" w:before="0" w:line="224"/>
              <w:jc w:val="left"/>
            </w:pPr>
            <w:r>
              <w:rPr>
                <w:rFonts w:ascii="Calibri" w:cs="Calibri" w:eastAsia="Calibri" w:hAnsi="Calibri"/>
                <w:b/>
                <w:bCs/>
                <w:i w:val="false"/>
                <w:iCs w:val="false"/>
                <w:caps w:val="false"/>
                <w:color w:val="1A1A1A"/>
                <w:sz w:val="16"/>
                <w:szCs w:val="16"/>
              </w:rPr>
              <w:t xml:space="preserve">Contact Email</w:t>
            </w:r>
          </w:p>
        </w:tc>
        <w:tc>
          <w:tcPr>
            <w:tcW w:type="dxa" w:w="3253"/>
            <w:tcBorders>
              <w:top w:val="single" w:color="C9D2DD" w:sz="3"/>
              <w:left w:val="none" w:color="FFFFFF" w:sz="0"/>
              <w:bottom w:val="single" w:color="C9D2DD" w:sz="3"/>
              <w:right w:val="none" w:color="FFFFFF" w:sz="0"/>
            </w:tcBorders>
            <w:tcMar>
              <w:top w:type="dxa" w:w="55"/>
              <w:left w:type="dxa" w:w="85"/>
              <w:bottom w:type="dxa" w:w="55"/>
              <w:right w:type="dxa" w:w="85"/>
            </w:tcMar>
            <w:vAlign w:val="top"/>
          </w:tcPr>
          <w:p>
            <w:pPr>
              <w:keepNext w:val="false"/>
              <w:spacing w:after="0" w:before="0" w:line="224"/>
              <w:jc w:val="left"/>
            </w:pPr>
            <w:r>
              <w:rPr>
                <w:rFonts w:ascii="Calibri" w:cs="Calibri" w:eastAsia="Calibri" w:hAnsi="Calibri"/>
                <w:b w:val="false"/>
                <w:bCs w:val="false"/>
                <w:i w:val="false"/>
                <w:iCs w:val="false"/>
                <w:caps w:val="false"/>
                <w:color w:val="1A1A1A"/>
                <w:sz w:val="16"/>
                <w:szCs w:val="16"/>
              </w:rPr>
              <w:t xml:space="preserve">〈to be completed〉</w:t>
            </w:r>
          </w:p>
        </w:tc>
      </w:tr>
      <w:tr>
        <w:tc>
          <w:tcPr>
            <w:tcW w:type="dxa" w:w="1900"/>
            <w:tcBorders>
              <w:top w:val="single" w:color="C9D2DD" w:sz="3"/>
              <w:left w:val="none" w:color="FFFFFF" w:sz="0"/>
              <w:bottom w:val="single" w:color="C9D2DD" w:sz="3"/>
              <w:right w:val="none" w:color="FFFFFF" w:sz="0"/>
            </w:tcBorders>
            <w:shd w:fill="F2F5F9" w:color="auto" w:val="clear"/>
            <w:tcMar>
              <w:top w:type="dxa" w:w="55"/>
              <w:left w:type="dxa" w:w="85"/>
              <w:bottom w:type="dxa" w:w="55"/>
              <w:right w:type="dxa" w:w="85"/>
            </w:tcMar>
            <w:vAlign w:val="top"/>
          </w:tcPr>
          <w:p>
            <w:pPr>
              <w:keepNext w:val="false"/>
              <w:spacing w:after="0" w:before="0" w:line="224"/>
              <w:jc w:val="left"/>
            </w:pPr>
            <w:r>
              <w:rPr>
                <w:rFonts w:ascii="Calibri" w:cs="Calibri" w:eastAsia="Calibri" w:hAnsi="Calibri"/>
                <w:b/>
                <w:bCs/>
                <w:i w:val="false"/>
                <w:iCs w:val="false"/>
                <w:caps w:val="false"/>
                <w:color w:val="1A1A1A"/>
                <w:sz w:val="16"/>
                <w:szCs w:val="16"/>
              </w:rPr>
              <w:t xml:space="preserve">Challenge</w:t>
            </w:r>
          </w:p>
        </w:tc>
        <w:tc>
          <w:tcPr>
            <w:tcW w:type="dxa" w:w="3253"/>
            <w:tcBorders>
              <w:top w:val="single" w:color="C9D2DD" w:sz="3"/>
              <w:left w:val="none" w:color="FFFFFF" w:sz="0"/>
              <w:bottom w:val="single" w:color="C9D2DD" w:sz="3"/>
              <w:right w:val="none" w:color="FFFFFF" w:sz="0"/>
            </w:tcBorders>
            <w:tcMar>
              <w:top w:type="dxa" w:w="55"/>
              <w:left w:type="dxa" w:w="85"/>
              <w:bottom w:type="dxa" w:w="55"/>
              <w:right w:type="dxa" w:w="85"/>
            </w:tcMar>
            <w:vAlign w:val="top"/>
          </w:tcPr>
          <w:p>
            <w:pPr>
              <w:keepNext w:val="false"/>
              <w:spacing w:after="0" w:before="0" w:line="224"/>
              <w:jc w:val="left"/>
            </w:pPr>
            <w:r>
              <w:rPr>
                <w:rFonts w:ascii="Calibri" w:cs="Calibri" w:eastAsia="Calibri" w:hAnsi="Calibri"/>
                <w:b w:val="false"/>
                <w:bCs w:val="false"/>
                <w:i w:val="false"/>
                <w:iCs w:val="false"/>
                <w:caps w:val="false"/>
                <w:color w:val="1A1A1A"/>
                <w:sz w:val="16"/>
                <w:szCs w:val="16"/>
              </w:rPr>
              <w:t xml:space="preserve">Pinna landmark extraction (85 × 3 per ear, both ears)</w:t>
            </w:r>
          </w:p>
        </w:tc>
        <w:tc>
          <w:tcPr>
            <w:tcW w:type="dxa" w:w="1900"/>
            <w:tcBorders>
              <w:top w:val="single" w:color="C9D2DD" w:sz="3"/>
              <w:left w:val="none" w:color="FFFFFF" w:sz="0"/>
              <w:bottom w:val="single" w:color="C9D2DD" w:sz="3"/>
              <w:right w:val="none" w:color="FFFFFF" w:sz="0"/>
            </w:tcBorders>
            <w:shd w:fill="F2F5F9" w:color="auto" w:val="clear"/>
            <w:tcMar>
              <w:top w:type="dxa" w:w="55"/>
              <w:left w:type="dxa" w:w="85"/>
              <w:bottom w:type="dxa" w:w="55"/>
              <w:right w:type="dxa" w:w="85"/>
            </w:tcMar>
            <w:vAlign w:val="top"/>
          </w:tcPr>
          <w:p>
            <w:pPr>
              <w:keepNext w:val="false"/>
              <w:spacing w:after="0" w:before="0" w:line="224"/>
              <w:jc w:val="left"/>
            </w:pPr>
            <w:r>
              <w:rPr>
                <w:rFonts w:ascii="Calibri" w:cs="Calibri" w:eastAsia="Calibri" w:hAnsi="Calibri"/>
                <w:b/>
                <w:bCs/>
                <w:i w:val="false"/>
                <w:iCs w:val="false"/>
                <w:caps w:val="false"/>
                <w:color w:val="1A1A1A"/>
                <w:sz w:val="16"/>
                <w:szCs w:val="16"/>
              </w:rPr>
              <w:t xml:space="preserve">Date</w:t>
            </w:r>
          </w:p>
        </w:tc>
        <w:tc>
          <w:tcPr>
            <w:tcW w:type="dxa" w:w="3253"/>
            <w:tcBorders>
              <w:top w:val="single" w:color="C9D2DD" w:sz="3"/>
              <w:left w:val="none" w:color="FFFFFF" w:sz="0"/>
              <w:bottom w:val="single" w:color="C9D2DD" w:sz="3"/>
              <w:right w:val="none" w:color="FFFFFF" w:sz="0"/>
            </w:tcBorders>
            <w:tcMar>
              <w:top w:type="dxa" w:w="55"/>
              <w:left w:type="dxa" w:w="85"/>
              <w:bottom w:type="dxa" w:w="55"/>
              <w:right w:type="dxa" w:w="85"/>
            </w:tcMar>
            <w:vAlign w:val="top"/>
          </w:tcPr>
          <w:p>
            <w:pPr>
              <w:keepNext w:val="false"/>
              <w:spacing w:after="0" w:before="0" w:line="224"/>
              <w:jc w:val="left"/>
            </w:pPr>
            <w:r>
              <w:rPr>
                <w:rFonts w:ascii="Calibri" w:cs="Calibri" w:eastAsia="Calibri" w:hAnsi="Calibri"/>
                <w:b w:val="false"/>
                <w:bCs w:val="false"/>
                <w:i w:val="false"/>
                <w:iCs w:val="false"/>
                <w:caps w:val="false"/>
                <w:color w:val="1A1A1A"/>
                <w:sz w:val="16"/>
                <w:szCs w:val="16"/>
              </w:rPr>
              <w:t xml:space="preserve">29 July 2026</w:t>
            </w:r>
          </w:p>
        </w:tc>
      </w:tr>
    </w:tbl>
    <w:p>
      <w:pPr>
        <w:keepNext w:val="false"/>
        <w:spacing w:after="0" w:before="0" w:line="232"/>
        <w:jc w:val="left"/>
      </w:pPr>
      <w:r>
        <w:rPr>
          <w:rFonts w:ascii="Calibri" w:cs="Calibri" w:eastAsia="Calibri" w:hAnsi="Calibri"/>
          <w:b w:val="false"/>
          <w:bCs w:val="false"/>
          <w:i w:val="false"/>
          <w:iCs w:val="false"/>
          <w:caps w:val="false"/>
          <w:color w:val="1A1A1A"/>
          <w:sz w:val="8"/>
          <w:szCs w:val="8"/>
        </w:rPr>
        <w:t xml:space="preserve"/>
      </w:r>
    </w:p>
    <w:p>
      <w:pPr>
        <w:keepNext/>
        <w:pBdr>
          <w:bottom w:val="single" w:color="9AA7B8" w:sz="6" w:space="3"/>
        </w:pBdr>
        <w:spacing w:after="90" w:before="190"/>
      </w:pPr>
      <w:r>
        <w:rPr>
          <w:rFonts w:ascii="Calibri" w:cs="Calibri" w:eastAsia="Calibri" w:hAnsi="Calibri"/>
          <w:b/>
          <w:bCs/>
          <w:i w:val="false"/>
          <w:iCs w:val="false"/>
          <w:caps w:val="false"/>
          <w:color w:val="12213A"/>
          <w:sz w:val="22"/>
          <w:szCs w:val="22"/>
        </w:rPr>
        <w:t xml:space="preserve">2  </w:t>
      </w:r>
      <w:r>
        <w:rPr>
          <w:rFonts w:ascii="Calibri" w:cs="Calibri" w:eastAsia="Calibri" w:hAnsi="Calibri"/>
          <w:b/>
          <w:bCs/>
          <w:i w:val="false"/>
          <w:iCs w:val="false"/>
          <w:caps w:val="false"/>
          <w:color w:val="12213A"/>
          <w:sz w:val="22"/>
          <w:szCs w:val="22"/>
        </w:rPr>
        <w:t xml:space="preserve">Core Idea and Innovation</w:t>
      </w:r>
    </w:p>
    <w:p>
      <w:pPr>
        <w:keepNext w:val="false"/>
        <w:spacing w:after="70" w:before="0" w:line="232"/>
        <w:jc w:val="both"/>
      </w:pPr>
      <w:r>
        <w:rPr>
          <w:rFonts w:ascii="Calibri" w:cs="Calibri" w:eastAsia="Calibri" w:hAnsi="Calibri"/>
          <w:b w:val="false"/>
          <w:bCs w:val="false"/>
          <w:i w:val="false"/>
          <w:iCs w:val="false"/>
          <w:caps w:val="false"/>
          <w:color w:val="1A1A1A"/>
          <w:sz w:val="18"/>
          <w:szCs w:val="18"/>
        </w:rPr>
        <w:t xml:space="preserve">We propose </w:t>
      </w:r>
      <w:r>
        <w:rPr>
          <w:rFonts w:ascii="Calibri" w:cs="Calibri" w:eastAsia="Calibri" w:hAnsi="Calibri"/>
          <w:b/>
          <w:bCs/>
          <w:i w:val="false"/>
          <w:iCs w:val="false"/>
          <w:caps w:val="false"/>
          <w:color w:val="1A1A1A"/>
          <w:sz w:val="18"/>
          <w:szCs w:val="18"/>
        </w:rPr>
        <w:t xml:space="preserve">HELIX</w:t>
      </w:r>
      <w:r>
        <w:rPr>
          <w:rFonts w:ascii="Calibri" w:cs="Calibri" w:eastAsia="Calibri" w:hAnsi="Calibri"/>
          <w:b w:val="false"/>
          <w:bCs w:val="false"/>
          <w:i w:val="false"/>
          <w:iCs w:val="false"/>
          <w:caps w:val="false"/>
          <w:color w:val="1A1A1A"/>
          <w:sz w:val="18"/>
          <w:szCs w:val="18"/>
        </w:rPr>
        <w:t xml:space="preserve">, a coarse-to-fine pipeline that treats the challenge as </w:t>
      </w:r>
      <w:r>
        <w:rPr>
          <w:rFonts w:ascii="Calibri" w:cs="Calibri" w:eastAsia="Calibri" w:hAnsi="Calibri"/>
          <w:b w:val="false"/>
          <w:bCs w:val="false"/>
          <w:i/>
          <w:iCs/>
          <w:caps w:val="false"/>
          <w:color w:val="1A1A1A"/>
          <w:sz w:val="18"/>
          <w:szCs w:val="18"/>
        </w:rPr>
        <w:t xml:space="preserve">structured dense correspondence</w:t>
      </w:r>
      <w:r>
        <w:rPr>
          <w:rFonts w:ascii="Calibri" w:cs="Calibri" w:eastAsia="Calibri" w:hAnsi="Calibri"/>
          <w:b w:val="false"/>
          <w:bCs w:val="false"/>
          <w:i w:val="false"/>
          <w:iCs w:val="false"/>
          <w:caps w:val="false"/>
          <w:color w:val="1A1A1A"/>
          <w:sz w:val="18"/>
          <w:szCs w:val="18"/>
        </w:rPr>
        <w:t xml:space="preserve"> rather than 85 independent detections. The 85 targets are ordered samples of four anatomical contours, so the ground truth lies on a low-dimensional manifold: a PCA basis over the 255-dimensional landmark vector should explain more than 98 % of the variance in roughly 40 modes. Free coordinate regression discards that structure, which is why plain PointNet-style baselines plateau around 3–5 mm. HELIX instead predicts, for every surface point, an 85-channel heatmap </w:t>
      </w:r>
      <w:r>
        <w:rPr>
          <w:rFonts w:ascii="Calibri" w:cs="Calibri" w:eastAsia="Calibri" w:hAnsi="Calibri"/>
          <w:b w:val="false"/>
          <w:bCs w:val="false"/>
          <w:i/>
          <w:iCs/>
          <w:caps w:val="false"/>
          <w:color w:val="1A1A1A"/>
          <w:sz w:val="18"/>
          <w:szCs w:val="18"/>
        </w:rPr>
        <w:t xml:space="preserve">and</w:t>
      </w:r>
      <w:r>
        <w:rPr>
          <w:rFonts w:ascii="Calibri" w:cs="Calibri" w:eastAsia="Calibri" w:hAnsi="Calibri"/>
          <w:b w:val="false"/>
          <w:bCs w:val="false"/>
          <w:i w:val="false"/>
          <w:iCs w:val="false"/>
          <w:caps w:val="false"/>
          <w:color w:val="1A1A1A"/>
          <w:sz w:val="18"/>
          <w:szCs w:val="18"/>
        </w:rPr>
        <w:t xml:space="preserve"> an offset vector; decodes each landmark by confidence-weighted voting after O’Sullivan and Zafeiriou [1]; emits a per-landmark aleatoric uncertainty σ̂</w:t>
      </w:r>
      <w:r>
        <w:rPr>
          <w:rFonts w:ascii="Calibri" w:cs="Calibri" w:eastAsia="Calibri" w:hAnsi="Calibri"/>
          <w:b w:val="false"/>
          <w:bCs w:val="false"/>
          <w:i w:val="false"/>
          <w:iCs w:val="false"/>
          <w:caps w:val="false"/>
          <w:color w:val="1A1A1A"/>
          <w:sz w:val="13"/>
          <w:szCs w:val="13"/>
        </w:rPr>
        <w:t xml:space="preserve">k</w:t>
      </w:r>
      <w:r>
        <w:rPr>
          <w:rFonts w:ascii="Calibri" w:cs="Calibri" w:eastAsia="Calibri" w:hAnsi="Calibri"/>
          <w:b w:val="false"/>
          <w:bCs w:val="false"/>
          <w:i w:val="false"/>
          <w:iCs w:val="false"/>
          <w:caps w:val="false"/>
          <w:color w:val="1A1A1A"/>
          <w:sz w:val="18"/>
          <w:szCs w:val="18"/>
        </w:rPr>
        <w:t xml:space="preserve">; and fuses the result with a statistical shape prior through a closed-form σ̂-weighted MAP fit. Confident landmarks are left untouched, while ambiguous ones — typically in the deep concha, which structured-light scanners shadow — are pulled back onto the anatomical manifold.</w:t>
      </w:r>
    </w:p>
    <w:p>
      <w:pPr>
        <w:keepNext w:val="false"/>
        <w:spacing w:after="60" w:before="0" w:line="232"/>
        <w:jc w:val="left"/>
      </w:pPr>
      <w:r>
        <w:rPr>
          <w:rFonts w:ascii="Calibri" w:cs="Calibri" w:eastAsia="Calibri" w:hAnsi="Calibri"/>
          <w:b w:val="false"/>
          <w:bCs w:val="false"/>
          <w:i w:val="false"/>
          <w:iCs w:val="false"/>
          <w:caps w:val="false"/>
          <w:color w:val="1A1A1A"/>
          <w:sz w:val="18"/>
          <w:szCs w:val="18"/>
        </w:rPr>
        <w:t xml:space="preserve">Five choices separate this from an off-the-shelf backbone:</w:t>
      </w:r>
    </w:p>
    <w:p>
      <w:pPr>
        <w:keepNext w:val="false"/>
        <w:spacing w:after="48" w:before="0" w:line="232"/>
        <w:ind w:left="200" w:hanging="200"/>
        <w:jc w:val="both"/>
      </w:pPr>
      <w:r>
        <w:rPr>
          <w:rFonts w:ascii="Calibri" w:cs="Calibri" w:eastAsia="Calibri" w:hAnsi="Calibri"/>
          <w:b/>
          <w:bCs/>
          <w:i w:val="false"/>
          <w:iCs w:val="false"/>
          <w:caps w:val="false"/>
          <w:color w:val="1A1A1A"/>
          <w:sz w:val="18"/>
          <w:szCs w:val="18"/>
        </w:rPr>
        <w:t xml:space="preserve">1.  Uncertainty-gated prior. </w:t>
      </w:r>
      <w:r>
        <w:rPr>
          <w:rFonts w:ascii="Calibri" w:cs="Calibri" w:eastAsia="Calibri" w:hAnsi="Calibri"/>
          <w:b w:val="false"/>
          <w:bCs w:val="false"/>
          <w:i w:val="false"/>
          <w:iCs w:val="false"/>
          <w:caps w:val="false"/>
          <w:color w:val="1A1A1A"/>
          <w:sz w:val="18"/>
          <w:szCs w:val="18"/>
        </w:rPr>
        <w:t xml:space="preserve">The blending weight comes from predicted uncertainty rather than a fixed hyper-parameter. Because observation and prior are both Gaussian, the fit is a weighted linear least-squares problem with a closed-form solution — microseconds at inference, with no CPD/BCPD iteration to tune.</w:t>
      </w:r>
    </w:p>
    <w:p>
      <w:pPr>
        <w:keepNext w:val="false"/>
        <w:spacing w:after="48" w:before="0" w:line="232"/>
        <w:ind w:left="200" w:hanging="200"/>
        <w:jc w:val="both"/>
      </w:pPr>
      <w:r>
        <w:rPr>
          <w:rFonts w:ascii="Calibri" w:cs="Calibri" w:eastAsia="Calibri" w:hAnsi="Calibri"/>
          <w:b/>
          <w:bCs/>
          <w:i w:val="false"/>
          <w:iCs w:val="false"/>
          <w:caps w:val="false"/>
          <w:color w:val="1A1A1A"/>
          <w:sz w:val="18"/>
          <w:szCs w:val="18"/>
        </w:rPr>
        <w:t xml:space="preserve">2.  TPS shape-synthesis engine. </w:t>
      </w:r>
      <w:r>
        <w:rPr>
          <w:rFonts w:ascii="Calibri" w:cs="Calibri" w:eastAsia="Calibri" w:hAnsi="Calibri"/>
          <w:b w:val="false"/>
          <w:bCs w:val="false"/>
          <w:i w:val="false"/>
          <w:iCs w:val="false"/>
          <w:caps w:val="false"/>
          <w:color w:val="1A1A1A"/>
          <w:sz w:val="18"/>
          <w:szCs w:val="18"/>
        </w:rPr>
        <w:t xml:space="preserve">Sampling the PCA basis and propagating the landmark displacement field to the mesh through a thin-plate spline [11] yields unlimited, exactly-labelled synthetic ears. This is the augmentation strategy behind the York Ear Model [5] and is the highest-leverage response to having only 400 real ears.</w:t>
      </w:r>
    </w:p>
    <w:p>
      <w:pPr>
        <w:keepNext w:val="false"/>
        <w:spacing w:after="48" w:before="0" w:line="232"/>
        <w:ind w:left="200" w:hanging="200"/>
        <w:jc w:val="both"/>
      </w:pPr>
      <w:r>
        <w:rPr>
          <w:rFonts w:ascii="Calibri" w:cs="Calibri" w:eastAsia="Calibri" w:hAnsi="Calibri"/>
          <w:b/>
          <w:bCs/>
          <w:i w:val="false"/>
          <w:iCs w:val="false"/>
          <w:caps w:val="false"/>
          <w:color w:val="1A1A1A"/>
          <w:sz w:val="18"/>
          <w:szCs w:val="18"/>
        </w:rPr>
        <w:t xml:space="preserve">3.  Optimise the actual metric. </w:t>
      </w:r>
      <w:r>
        <w:rPr>
          <w:rFonts w:ascii="Calibri" w:cs="Calibri" w:eastAsia="Calibri" w:hAnsi="Calibri"/>
          <w:b w:val="false"/>
          <w:bCs w:val="false"/>
          <w:i w:val="false"/>
          <w:iCs w:val="false"/>
          <w:caps w:val="false"/>
          <w:color w:val="1A1A1A"/>
          <w:sz w:val="18"/>
          <w:szCs w:val="18"/>
        </w:rPr>
        <w:t xml:space="preserve">The coordinate loss is the challenge score itself — mean Euclidean norm, Huberised near zero — not MSE, whose squared penalty shifts the optimum toward outliers.</w:t>
      </w:r>
    </w:p>
    <w:p>
      <w:pPr>
        <w:keepNext w:val="false"/>
        <w:spacing w:after="48" w:before="0" w:line="232"/>
        <w:ind w:left="200" w:hanging="200"/>
        <w:jc w:val="both"/>
      </w:pPr>
      <w:r>
        <w:rPr>
          <w:rFonts w:ascii="Calibri" w:cs="Calibri" w:eastAsia="Calibri" w:hAnsi="Calibri"/>
          <w:b/>
          <w:bCs/>
          <w:i w:val="false"/>
          <w:iCs w:val="false"/>
          <w:caps w:val="false"/>
          <w:color w:val="1A1A1A"/>
          <w:sz w:val="18"/>
          <w:szCs w:val="18"/>
        </w:rPr>
        <w:t xml:space="preserve">4.  Contour-aware arc-length resampling. </w:t>
      </w:r>
      <w:r>
        <w:rPr>
          <w:rFonts w:ascii="Calibri" w:cs="Calibri" w:eastAsia="Calibri" w:hAnsi="Calibri"/>
          <w:b w:val="false"/>
          <w:bCs w:val="false"/>
          <w:i w:val="false"/>
          <w:iCs w:val="false"/>
          <w:caps w:val="false"/>
          <w:color w:val="1A1A1A"/>
          <w:sz w:val="18"/>
          <w:szCs w:val="18"/>
        </w:rPr>
        <w:t xml:space="preserve">On smooth contours the tangential (along-curve) component dominates MD and is largely annotation-protocol mismatch, not perception error. Measuring the ground-truth spacing convention in Step 0 and resampling the predicted contour splines to match removes much of it at negligible cost.</w:t>
      </w:r>
    </w:p>
    <w:p>
      <w:pPr>
        <w:keepNext w:val="false"/>
        <w:spacing w:after="48" w:before="0" w:line="232"/>
        <w:ind w:left="200" w:hanging="200"/>
        <w:jc w:val="both"/>
      </w:pPr>
      <w:r>
        <w:rPr>
          <w:rFonts w:ascii="Calibri" w:cs="Calibri" w:eastAsia="Calibri" w:hAnsi="Calibri"/>
          <w:b/>
          <w:bCs/>
          <w:i w:val="false"/>
          <w:iCs w:val="false"/>
          <w:caps w:val="false"/>
          <w:color w:val="1A1A1A"/>
          <w:sz w:val="18"/>
          <w:szCs w:val="18"/>
        </w:rPr>
        <w:t xml:space="preserve">5.  Representation-diverse ensemble. </w:t>
      </w:r>
      <w:r>
        <w:rPr>
          <w:rFonts w:ascii="Calibri" w:cs="Calibri" w:eastAsia="Calibri" w:hAnsi="Calibri"/>
          <w:b w:val="false"/>
          <w:bCs w:val="false"/>
          <w:i w:val="false"/>
          <w:iCs w:val="false"/>
          <w:caps w:val="false"/>
          <w:color w:val="1A1A1A"/>
          <w:sz w:val="18"/>
          <w:szCs w:val="18"/>
        </w:rPr>
        <w:t xml:space="preserve">Point, voxel and multi-view branches make decorrelated errors; averaging in landmark space is valid because all three outputs are already in correspondence.</w:t>
      </w:r>
    </w:p>
    <w:p>
      <w:pPr>
        <w:keepNext/>
        <w:pBdr>
          <w:bottom w:val="single" w:color="9AA7B8" w:sz="6" w:space="3"/>
        </w:pBdr>
        <w:spacing w:after="90" w:before="190"/>
      </w:pPr>
      <w:r>
        <w:rPr>
          <w:rFonts w:ascii="Calibri" w:cs="Calibri" w:eastAsia="Calibri" w:hAnsi="Calibri"/>
          <w:b/>
          <w:bCs/>
          <w:i w:val="false"/>
          <w:iCs w:val="false"/>
          <w:caps w:val="false"/>
          <w:color w:val="12213A"/>
          <w:sz w:val="22"/>
          <w:szCs w:val="22"/>
        </w:rPr>
        <w:t xml:space="preserve">3  </w:t>
      </w:r>
      <w:r>
        <w:rPr>
          <w:rFonts w:ascii="Calibri" w:cs="Calibri" w:eastAsia="Calibri" w:hAnsi="Calibri"/>
          <w:b/>
          <w:bCs/>
          <w:i w:val="false"/>
          <w:iCs w:val="false"/>
          <w:caps w:val="false"/>
          <w:color w:val="12213A"/>
          <w:sz w:val="22"/>
          <w:szCs w:val="22"/>
        </w:rPr>
        <w:t xml:space="preserve">Technical Solution</w:t>
      </w:r>
    </w:p>
    <w:p>
      <w:pPr>
        <w:keepNext/>
        <w:spacing w:after="60" w:before="130"/>
      </w:pPr>
      <w:r>
        <w:rPr>
          <w:rFonts w:ascii="Calibri" w:cs="Calibri" w:eastAsia="Calibri" w:hAnsi="Calibri"/>
          <w:b/>
          <w:bCs/>
          <w:i w:val="false"/>
          <w:iCs w:val="false"/>
          <w:caps w:val="false"/>
          <w:color w:val="12213A"/>
          <w:sz w:val="19"/>
          <w:szCs w:val="19"/>
        </w:rPr>
        <w:t xml:space="preserve">3.1  System Architecture</w:t>
      </w:r>
    </w:p>
    <w:p>
      <w:pPr>
        <w:spacing w:after="0" w:before="60"/>
        <w:jc w:val="center"/>
      </w:pPr>
      <w:r>
        <w:drawing>
          <wp:inline distT="0" distB="0" distL="0" distR="0">
            <wp:extent cx="6543675"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543675" cy="2609850"/>
                    </a:xfrm>
                    <a:prstGeom prst="rect">
                      <a:avLst/>
                    </a:prstGeom>
                  </pic:spPr>
                </pic:pic>
              </a:graphicData>
            </a:graphic>
          </wp:inline>
        </w:drawing>
      </w:r>
    </w:p>
    <w:p>
      <w:pPr>
        <w:spacing w:after="110" w:before="40"/>
        <w:jc w:val="center"/>
      </w:pPr>
      <w:r>
        <w:rPr>
          <w:rFonts w:ascii="Calibri" w:cs="Calibri" w:eastAsia="Calibri" w:hAnsi="Calibri"/>
          <w:b w:val="false"/>
          <w:bCs w:val="false"/>
          <w:i/>
          <w:iCs/>
          <w:caps w:val="false"/>
          <w:color w:val="4A5A70"/>
          <w:sz w:val="15"/>
          <w:szCs w:val="15"/>
        </w:rPr>
        <w:t xml:space="preserve">Figure 1 — End-to-end HELIX pipeline. Green = geometry preparation, blue = learned encoders, orange = prediction head, purple = structured post-processing.</w:t>
      </w:r>
    </w:p>
    <w:p>
      <w:pPr>
        <w:keepNext w:val="false"/>
        <w:spacing w:after="60" w:before="0" w:line="232"/>
        <w:jc w:val="both"/>
      </w:pPr>
      <w:r>
        <w:rPr>
          <w:rFonts w:ascii="Calibri" w:cs="Calibri" w:eastAsia="Calibri" w:hAnsi="Calibri"/>
          <w:b w:val="false"/>
          <w:bCs w:val="false"/>
          <w:i w:val="false"/>
          <w:iCs w:val="false"/>
          <w:caps w:val="false"/>
          <w:color w:val="1A1A1A"/>
          <w:sz w:val="18"/>
          <w:szCs w:val="18"/>
        </w:rPr>
        <w:t xml:space="preserve">Every stage is independently testable, and everything after Step 3 is a strict post-process, so the system degrades gracefully: if the shape prior or the cascade fail to earn their keep on validation, they are switched off without retraining the backbone. </w:t>
      </w:r>
      <w:r>
        <w:rPr>
          <w:rFonts w:ascii="Calibri" w:cs="Calibri" w:eastAsia="Calibri" w:hAnsi="Calibri"/>
          <w:b/>
          <w:bCs/>
          <w:i w:val="false"/>
          <w:iCs w:val="false"/>
          <w:caps w:val="false"/>
          <w:color w:val="1A1A1A"/>
          <w:sz w:val="18"/>
          <w:szCs w:val="18"/>
        </w:rPr>
        <w:t xml:space="preserve">Step 0 is budgeted as heavily as the network itself.</w:t>
      </w:r>
      <w:r>
        <w:rPr>
          <w:rFonts w:ascii="Calibri" w:cs="Calibri" w:eastAsia="Calibri" w:hAnsi="Calibri"/>
          <w:b w:val="false"/>
          <w:bCs w:val="false"/>
          <w:i w:val="false"/>
          <w:iCs w:val="false"/>
          <w:caps w:val="false"/>
          <w:color w:val="1A1A1A"/>
          <w:sz w:val="18"/>
          <w:szCs w:val="18"/>
        </w:rPr>
        <w:t xml:space="preserve"> The largest single risk here is not architectural but a silent convention mismatch — mirror sign, contour start index, traversal direction, or whether the annotations lie exactly on the surface. In our reading of the sample, landmarks sit between vertices (mean nearest-vertex distance ≈ 0.25 mm on a ≈ 366 k-vertex mesh), which is consistent with lying on the surface but off-vertex; that must be confirmed by point-to-</w:t>
      </w:r>
      <w:r>
        <w:rPr>
          <w:rFonts w:ascii="Calibri" w:cs="Calibri" w:eastAsia="Calibri" w:hAnsi="Calibri"/>
          <w:b w:val="false"/>
          <w:bCs w:val="false"/>
          <w:i/>
          <w:iCs/>
          <w:caps w:val="false"/>
          <w:color w:val="1A1A1A"/>
          <w:sz w:val="18"/>
          <w:szCs w:val="18"/>
        </w:rPr>
        <w:t xml:space="preserve">triangle</w:t>
      </w:r>
      <w:r>
        <w:rPr>
          <w:rFonts w:ascii="Calibri" w:cs="Calibri" w:eastAsia="Calibri" w:hAnsi="Calibri"/>
          <w:b w:val="false"/>
          <w:bCs w:val="false"/>
          <w:i w:val="false"/>
          <w:iCs w:val="false"/>
          <w:caps w:val="false"/>
          <w:color w:val="1A1A1A"/>
          <w:sz w:val="18"/>
          <w:szCs w:val="18"/>
        </w:rPr>
        <w:t xml:space="preserve"> distance before surface projection is trusted. Each of those checks is worth more than any backbone choice.</w:t>
      </w:r>
    </w:p>
    <w:p>
      <w:pPr>
        <w:keepNext/>
        <w:spacing w:after="60" w:before="130"/>
      </w:pPr>
      <w:r>
        <w:rPr>
          <w:rFonts w:ascii="Calibri" w:cs="Calibri" w:eastAsia="Calibri" w:hAnsi="Calibri"/>
          <w:b/>
          <w:bCs/>
          <w:i w:val="false"/>
          <w:iCs w:val="false"/>
          <w:caps w:val="false"/>
          <w:color w:val="12213A"/>
          <w:sz w:val="19"/>
          <w:szCs w:val="19"/>
        </w:rPr>
        <w:t xml:space="preserve">3.2  Implementation Plan</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560"/>
        <w:gridCol w:w="2000"/>
        <w:gridCol w:w="5146"/>
        <w:gridCol w:w="2600"/>
      </w:tblGrid>
      <w:tr>
        <w:trPr>
          <w:tblHeader/>
        </w:trPr>
        <w:tc>
          <w:tcPr>
            <w:tcW w:type="dxa" w:w="560"/>
            <w:tcBorders>
              <w:top w:val="single" w:color="C9D2DD" w:sz="3"/>
              <w:left w:val="none" w:color="FFFFFF" w:sz="0"/>
              <w:bottom w:val="single" w:color="C9D2DD" w:sz="3"/>
              <w:right w:val="none" w:color="FFFFFF" w:sz="0"/>
            </w:tcBorders>
            <w:shd w:fill="12213A" w:color="auto" w:val="clear"/>
            <w:tcMar>
              <w:top w:type="dxa" w:w="55"/>
              <w:left w:type="dxa" w:w="85"/>
              <w:bottom w:type="dxa" w:w="55"/>
              <w:right w:type="dxa" w:w="85"/>
            </w:tcMar>
            <w:vAlign w:val="top"/>
          </w:tcPr>
          <w:p>
            <w:pPr>
              <w:keepNext w:val="false"/>
              <w:spacing w:after="0" w:before="0" w:line="224"/>
              <w:jc w:val="left"/>
            </w:pPr>
            <w:r>
              <w:rPr>
                <w:rFonts w:ascii="Calibri" w:cs="Calibri" w:eastAsia="Calibri" w:hAnsi="Calibri"/>
                <w:b/>
                <w:bCs/>
                <w:i w:val="false"/>
                <w:iCs w:val="false"/>
                <w:caps w:val="false"/>
                <w:color w:val="FFFFFF"/>
                <w:sz w:val="15"/>
                <w:szCs w:val="15"/>
              </w:rPr>
              <w:t xml:space="preserve">#</w:t>
            </w:r>
          </w:p>
        </w:tc>
        <w:tc>
          <w:tcPr>
            <w:tcW w:type="dxa" w:w="2000"/>
            <w:tcBorders>
              <w:top w:val="single" w:color="C9D2DD" w:sz="3"/>
              <w:left w:val="none" w:color="FFFFFF" w:sz="0"/>
              <w:bottom w:val="single" w:color="C9D2DD" w:sz="3"/>
              <w:right w:val="none" w:color="FFFFFF" w:sz="0"/>
            </w:tcBorders>
            <w:shd w:fill="12213A" w:color="auto" w:val="clear"/>
            <w:tcMar>
              <w:top w:type="dxa" w:w="55"/>
              <w:left w:type="dxa" w:w="85"/>
              <w:bottom w:type="dxa" w:w="55"/>
              <w:right w:type="dxa" w:w="85"/>
            </w:tcMar>
            <w:vAlign w:val="top"/>
          </w:tcPr>
          <w:p>
            <w:pPr>
              <w:keepNext w:val="false"/>
              <w:spacing w:after="0" w:before="0" w:line="224"/>
              <w:jc w:val="left"/>
            </w:pPr>
            <w:r>
              <w:rPr>
                <w:rFonts w:ascii="Calibri" w:cs="Calibri" w:eastAsia="Calibri" w:hAnsi="Calibri"/>
                <w:b/>
                <w:bCs/>
                <w:i w:val="false"/>
                <w:iCs w:val="false"/>
                <w:caps w:val="false"/>
                <w:color w:val="FFFFFF"/>
                <w:sz w:val="15"/>
                <w:szCs w:val="15"/>
              </w:rPr>
              <w:t xml:space="preserve">Stage</w:t>
            </w:r>
          </w:p>
        </w:tc>
        <w:tc>
          <w:tcPr>
            <w:tcW w:type="dxa" w:w="5146"/>
            <w:tcBorders>
              <w:top w:val="single" w:color="C9D2DD" w:sz="3"/>
              <w:left w:val="none" w:color="FFFFFF" w:sz="0"/>
              <w:bottom w:val="single" w:color="C9D2DD" w:sz="3"/>
              <w:right w:val="none" w:color="FFFFFF" w:sz="0"/>
            </w:tcBorders>
            <w:shd w:fill="12213A" w:color="auto" w:val="clear"/>
            <w:tcMar>
              <w:top w:type="dxa" w:w="55"/>
              <w:left w:type="dxa" w:w="85"/>
              <w:bottom w:type="dxa" w:w="55"/>
              <w:right w:type="dxa" w:w="85"/>
            </w:tcMar>
            <w:vAlign w:val="top"/>
          </w:tcPr>
          <w:p>
            <w:pPr>
              <w:keepNext w:val="false"/>
              <w:spacing w:after="0" w:before="0" w:line="224"/>
              <w:jc w:val="left"/>
            </w:pPr>
            <w:r>
              <w:rPr>
                <w:rFonts w:ascii="Calibri" w:cs="Calibri" w:eastAsia="Calibri" w:hAnsi="Calibri"/>
                <w:b/>
                <w:bCs/>
                <w:i w:val="false"/>
                <w:iCs w:val="false"/>
                <w:caps w:val="false"/>
                <w:color w:val="FFFFFF"/>
                <w:sz w:val="15"/>
                <w:szCs w:val="15"/>
              </w:rPr>
              <w:t xml:space="preserve">Method, algorithms and tooling</w:t>
            </w:r>
          </w:p>
        </w:tc>
        <w:tc>
          <w:tcPr>
            <w:tcW w:type="dxa" w:w="2600"/>
            <w:tcBorders>
              <w:top w:val="single" w:color="C9D2DD" w:sz="3"/>
              <w:left w:val="none" w:color="FFFFFF" w:sz="0"/>
              <w:bottom w:val="single" w:color="C9D2DD" w:sz="3"/>
              <w:right w:val="none" w:color="FFFFFF" w:sz="0"/>
            </w:tcBorders>
            <w:shd w:fill="12213A" w:color="auto" w:val="clear"/>
            <w:tcMar>
              <w:top w:type="dxa" w:w="55"/>
              <w:left w:type="dxa" w:w="85"/>
              <w:bottom w:type="dxa" w:w="55"/>
              <w:right w:type="dxa" w:w="85"/>
            </w:tcMar>
            <w:vAlign w:val="top"/>
          </w:tcPr>
          <w:p>
            <w:pPr>
              <w:keepNext w:val="false"/>
              <w:spacing w:after="0" w:before="0" w:line="224"/>
              <w:jc w:val="left"/>
            </w:pPr>
            <w:r>
              <w:rPr>
                <w:rFonts w:ascii="Calibri" w:cs="Calibri" w:eastAsia="Calibri" w:hAnsi="Calibri"/>
                <w:b/>
                <w:bCs/>
                <w:i w:val="false"/>
                <w:iCs w:val="false"/>
                <w:caps w:val="false"/>
                <w:color w:val="FFFFFF"/>
                <w:sz w:val="15"/>
                <w:szCs w:val="15"/>
              </w:rPr>
              <w:t xml:space="preserve">Output / acceptance test</w:t>
            </w:r>
          </w:p>
        </w:tc>
      </w:tr>
      <w:tr>
        <w:tc>
          <w:tcPr>
            <w:tcW w:type="dxa" w:w="560"/>
            <w:tcBorders>
              <w:top w:val="single" w:color="C9D2DD" w:sz="3"/>
              <w:left w:val="none" w:color="FFFFFF" w:sz="0"/>
              <w:bottom w:val="single" w:color="C9D2DD" w:sz="3"/>
              <w:right w:val="none" w:color="FFFFFF" w:sz="0"/>
            </w:tcBorders>
            <w:tcMar>
              <w:top w:type="dxa" w:w="55"/>
              <w:left w:type="dxa" w:w="85"/>
              <w:bottom w:type="dxa" w:w="55"/>
              <w:right w:type="dxa" w:w="85"/>
            </w:tcMar>
            <w:vAlign w:val="top"/>
          </w:tcPr>
          <w:p>
            <w:pPr>
              <w:keepNext w:val="false"/>
              <w:spacing w:after="0" w:before="0" w:line="224"/>
              <w:jc w:val="left"/>
            </w:pPr>
            <w:r>
              <w:rPr>
                <w:rFonts w:ascii="Calibri" w:cs="Calibri" w:eastAsia="Calibri" w:hAnsi="Calibri"/>
                <w:b/>
                <w:bCs/>
                <w:i w:val="false"/>
                <w:iCs w:val="false"/>
                <w:caps w:val="false"/>
                <w:color w:val="1A1A1A"/>
                <w:sz w:val="15"/>
                <w:szCs w:val="15"/>
              </w:rPr>
              <w:t xml:space="preserve">0</w:t>
            </w:r>
          </w:p>
        </w:tc>
        <w:tc>
          <w:tcPr>
            <w:tcW w:type="dxa" w:w="2000"/>
            <w:tcBorders>
              <w:top w:val="single" w:color="C9D2DD" w:sz="3"/>
              <w:left w:val="none" w:color="FFFFFF" w:sz="0"/>
              <w:bottom w:val="single" w:color="C9D2DD" w:sz="3"/>
              <w:right w:val="none" w:color="FFFFFF" w:sz="0"/>
            </w:tcBorders>
            <w:tcMar>
              <w:top w:type="dxa" w:w="55"/>
              <w:left w:type="dxa" w:w="85"/>
              <w:bottom w:type="dxa" w:w="55"/>
              <w:right w:type="dxa" w:w="85"/>
            </w:tcMar>
            <w:vAlign w:val="top"/>
          </w:tcPr>
          <w:p>
            <w:pPr>
              <w:keepNext w:val="false"/>
              <w:spacing w:after="0" w:before="0" w:line="224"/>
              <w:jc w:val="left"/>
            </w:pPr>
            <w:r>
              <w:rPr>
                <w:rFonts w:ascii="Calibri" w:cs="Calibri" w:eastAsia="Calibri" w:hAnsi="Calibri"/>
                <w:b/>
                <w:bCs/>
                <w:i w:val="false"/>
                <w:iCs w:val="false"/>
                <w:caps w:val="false"/>
                <w:color w:val="1A1A1A"/>
                <w:sz w:val="15"/>
                <w:szCs w:val="15"/>
              </w:rPr>
              <w:t xml:space="preserve">Data forensics &amp; canonicalisation  (Wk 1)</w:t>
            </w:r>
          </w:p>
        </w:tc>
        <w:tc>
          <w:tcPr>
            <w:tcW w:type="dxa" w:w="5146"/>
            <w:tcBorders>
              <w:top w:val="single" w:color="C9D2DD" w:sz="3"/>
              <w:left w:val="none" w:color="FFFFFF" w:sz="0"/>
              <w:bottom w:val="single" w:color="C9D2DD" w:sz="3"/>
              <w:right w:val="none" w:color="FFFFFF" w:sz="0"/>
            </w:tcBorders>
            <w:tcMar>
              <w:top w:type="dxa" w:w="55"/>
              <w:left w:type="dxa" w:w="85"/>
              <w:bottom w:type="dxa" w:w="55"/>
              <w:right w:type="dxa" w:w="85"/>
            </w:tcMar>
            <w:vAlign w:val="top"/>
          </w:tcPr>
          <w:p>
            <w:pPr>
              <w:keepNext w:val="false"/>
              <w:spacing w:after="0" w:before="0" w:line="224"/>
              <w:jc w:val="left"/>
            </w:pPr>
            <w:r>
              <w:rPr>
                <w:rFonts w:ascii="Calibri" w:cs="Calibri" w:eastAsia="Calibri" w:hAnsi="Calibri"/>
                <w:b w:val="false"/>
                <w:bCs w:val="false"/>
                <w:i w:val="false"/>
                <w:iCs w:val="false"/>
                <w:caps w:val="false"/>
                <w:color w:val="1A1A1A"/>
                <w:sz w:val="15"/>
                <w:szCs w:val="15"/>
              </w:rPr>
              <w:t xml:space="preserve">trimesh / Open3D. Measure point-to-triangle (not point-to-vertex) distance of every GT landmark; arc-length spacing per contour; L/R sign convention; per-ear Procrustes residual to flag reversed or mislabelled sequences. Mirror left ears with M = diag(1, −1, 1). Cache normals, curvatures, shape index and heat-kernel signatures.</w:t>
            </w:r>
          </w:p>
        </w:tc>
        <w:tc>
          <w:tcPr>
            <w:tcW w:type="dxa" w:w="2600"/>
            <w:tcBorders>
              <w:top w:val="single" w:color="C9D2DD" w:sz="3"/>
              <w:left w:val="none" w:color="FFFFFF" w:sz="0"/>
              <w:bottom w:val="single" w:color="C9D2DD" w:sz="3"/>
              <w:right w:val="none" w:color="FFFFFF" w:sz="0"/>
            </w:tcBorders>
            <w:tcMar>
              <w:top w:type="dxa" w:w="55"/>
              <w:left w:type="dxa" w:w="85"/>
              <w:bottom w:type="dxa" w:w="55"/>
              <w:right w:type="dxa" w:w="85"/>
            </w:tcMar>
            <w:vAlign w:val="top"/>
          </w:tcPr>
          <w:p>
            <w:pPr>
              <w:keepNext w:val="false"/>
              <w:spacing w:after="0" w:before="0" w:line="224"/>
              <w:jc w:val="left"/>
            </w:pPr>
            <w:r>
              <w:rPr>
                <w:rFonts w:ascii="Calibri" w:cs="Calibri" w:eastAsia="Calibri" w:hAnsi="Calibri"/>
                <w:b w:val="false"/>
                <w:bCs w:val="false"/>
                <w:i w:val="false"/>
                <w:iCs w:val="false"/>
                <w:caps w:val="false"/>
                <w:color w:val="1A1A1A"/>
                <w:sz w:val="15"/>
                <w:szCs w:val="15"/>
              </w:rPr>
              <w:t xml:space="preserve">QC report + 400 canonicalised ROIs; assertions pass, 20 random overlays checked visually.</w:t>
            </w:r>
          </w:p>
        </w:tc>
      </w:tr>
      <w:tr>
        <w:tc>
          <w:tcPr>
            <w:tcW w:type="dxa" w:w="560"/>
            <w:tcBorders>
              <w:top w:val="single" w:color="C9D2DD" w:sz="3"/>
              <w:left w:val="none" w:color="FFFFFF" w:sz="0"/>
              <w:bottom w:val="single" w:color="C9D2DD" w:sz="3"/>
              <w:right w:val="none" w:color="FFFFFF" w:sz="0"/>
            </w:tcBorders>
            <w:shd w:fill="F6F8FB" w:color="auto" w:val="clear"/>
            <w:tcMar>
              <w:top w:type="dxa" w:w="55"/>
              <w:left w:type="dxa" w:w="85"/>
              <w:bottom w:type="dxa" w:w="55"/>
              <w:right w:type="dxa" w:w="85"/>
            </w:tcMar>
            <w:vAlign w:val="top"/>
          </w:tcPr>
          <w:p>
            <w:pPr>
              <w:keepNext w:val="false"/>
              <w:spacing w:after="0" w:before="0" w:line="224"/>
              <w:jc w:val="left"/>
            </w:pPr>
            <w:r>
              <w:rPr>
                <w:rFonts w:ascii="Calibri" w:cs="Calibri" w:eastAsia="Calibri" w:hAnsi="Calibri"/>
                <w:b/>
                <w:bCs/>
                <w:i w:val="false"/>
                <w:iCs w:val="false"/>
                <w:caps w:val="false"/>
                <w:color w:val="1A1A1A"/>
                <w:sz w:val="15"/>
                <w:szCs w:val="15"/>
              </w:rPr>
              <w:t xml:space="preserve">1</w:t>
            </w:r>
          </w:p>
        </w:tc>
        <w:tc>
          <w:tcPr>
            <w:tcW w:type="dxa" w:w="2000"/>
            <w:tcBorders>
              <w:top w:val="single" w:color="C9D2DD" w:sz="3"/>
              <w:left w:val="none" w:color="FFFFFF" w:sz="0"/>
              <w:bottom w:val="single" w:color="C9D2DD" w:sz="3"/>
              <w:right w:val="none" w:color="FFFFFF" w:sz="0"/>
            </w:tcBorders>
            <w:shd w:fill="F6F8FB" w:color="auto" w:val="clear"/>
            <w:tcMar>
              <w:top w:type="dxa" w:w="55"/>
              <w:left w:type="dxa" w:w="85"/>
              <w:bottom w:type="dxa" w:w="55"/>
              <w:right w:type="dxa" w:w="85"/>
            </w:tcMar>
            <w:vAlign w:val="top"/>
          </w:tcPr>
          <w:p>
            <w:pPr>
              <w:keepNext w:val="false"/>
              <w:spacing w:after="0" w:before="0" w:line="224"/>
              <w:jc w:val="left"/>
            </w:pPr>
            <w:r>
              <w:rPr>
                <w:rFonts w:ascii="Calibri" w:cs="Calibri" w:eastAsia="Calibri" w:hAnsi="Calibri"/>
                <w:b/>
                <w:bCs/>
                <w:i w:val="false"/>
                <w:iCs w:val="false"/>
                <w:caps w:val="false"/>
                <w:color w:val="1A1A1A"/>
                <w:sz w:val="15"/>
                <w:szCs w:val="15"/>
              </w:rPr>
              <w:t xml:space="preserve">Ear ROI &amp; local frame  (Wk 1–2)</w:t>
            </w:r>
          </w:p>
        </w:tc>
        <w:tc>
          <w:tcPr>
            <w:tcW w:type="dxa" w:w="5146"/>
            <w:tcBorders>
              <w:top w:val="single" w:color="C9D2DD" w:sz="3"/>
              <w:left w:val="none" w:color="FFFFFF" w:sz="0"/>
              <w:bottom w:val="single" w:color="C9D2DD" w:sz="3"/>
              <w:right w:val="none" w:color="FFFFFF" w:sz="0"/>
            </w:tcBorders>
            <w:shd w:fill="F6F8FB" w:color="auto" w:val="clear"/>
            <w:tcMar>
              <w:top w:type="dxa" w:w="55"/>
              <w:left w:type="dxa" w:w="85"/>
              <w:bottom w:type="dxa" w:w="55"/>
              <w:right w:type="dxa" w:w="85"/>
            </w:tcMar>
            <w:vAlign w:val="top"/>
          </w:tcPr>
          <w:p>
            <w:pPr>
              <w:keepNext w:val="false"/>
              <w:spacing w:after="0" w:before="0" w:line="224"/>
              <w:jc w:val="left"/>
            </w:pPr>
            <w:r>
              <w:rPr>
                <w:rFonts w:ascii="Calibri" w:cs="Calibri" w:eastAsia="Calibri" w:hAnsi="Calibri"/>
                <w:b w:val="false"/>
                <w:bCs w:val="false"/>
                <w:i w:val="false"/>
                <w:iCs w:val="false"/>
                <w:caps w:val="false"/>
                <w:color w:val="1A1A1A"/>
                <w:sz w:val="15"/>
                <w:szCs w:val="15"/>
              </w:rPr>
              <w:t xml:space="preserve">Interaural box prior from landmark statistics, refined by FPFH + RANSAC and point-to-plane ICP of a mean-ear template. Rigid only, so metric scale survives. O(N) voxel downsample → FPS → 24 k points (never FPS on 366 k). Whole-head fallback when ICP fitness is low.</w:t>
            </w:r>
          </w:p>
        </w:tc>
        <w:tc>
          <w:tcPr>
            <w:tcW w:type="dxa" w:w="2600"/>
            <w:tcBorders>
              <w:top w:val="single" w:color="C9D2DD" w:sz="3"/>
              <w:left w:val="none" w:color="FFFFFF" w:sz="0"/>
              <w:bottom w:val="single" w:color="C9D2DD" w:sz="3"/>
              <w:right w:val="none" w:color="FFFFFF" w:sz="0"/>
            </w:tcBorders>
            <w:shd w:fill="F6F8FB" w:color="auto" w:val="clear"/>
            <w:tcMar>
              <w:top w:type="dxa" w:w="55"/>
              <w:left w:type="dxa" w:w="85"/>
              <w:bottom w:type="dxa" w:w="55"/>
              <w:right w:type="dxa" w:w="85"/>
            </w:tcMar>
            <w:vAlign w:val="top"/>
          </w:tcPr>
          <w:p>
            <w:pPr>
              <w:keepNext w:val="false"/>
              <w:spacing w:after="0" w:before="0" w:line="224"/>
              <w:jc w:val="left"/>
            </w:pPr>
            <w:r>
              <w:rPr>
                <w:rFonts w:ascii="Calibri" w:cs="Calibri" w:eastAsia="Calibri" w:hAnsi="Calibri"/>
                <w:b w:val="false"/>
                <w:bCs w:val="false"/>
                <w:i w:val="false"/>
                <w:iCs w:val="false"/>
                <w:caps w:val="false"/>
                <w:color w:val="1A1A1A"/>
                <w:sz w:val="15"/>
                <w:szCs w:val="15"/>
              </w:rPr>
              <w:t xml:space="preserve">100 % ROI recall on train + val; median ROI-centroid error &lt; 3 mm.</w:t>
            </w:r>
          </w:p>
        </w:tc>
      </w:tr>
      <w:tr>
        <w:tc>
          <w:tcPr>
            <w:tcW w:type="dxa" w:w="560"/>
            <w:tcBorders>
              <w:top w:val="single" w:color="C9D2DD" w:sz="3"/>
              <w:left w:val="none" w:color="FFFFFF" w:sz="0"/>
              <w:bottom w:val="single" w:color="C9D2DD" w:sz="3"/>
              <w:right w:val="none" w:color="FFFFFF" w:sz="0"/>
            </w:tcBorders>
            <w:tcMar>
              <w:top w:type="dxa" w:w="55"/>
              <w:left w:type="dxa" w:w="85"/>
              <w:bottom w:type="dxa" w:w="55"/>
              <w:right w:type="dxa" w:w="85"/>
            </w:tcMar>
            <w:vAlign w:val="top"/>
          </w:tcPr>
          <w:p>
            <w:pPr>
              <w:keepNext w:val="false"/>
              <w:spacing w:after="0" w:before="0" w:line="224"/>
              <w:jc w:val="left"/>
            </w:pPr>
            <w:r>
              <w:rPr>
                <w:rFonts w:ascii="Calibri" w:cs="Calibri" w:eastAsia="Calibri" w:hAnsi="Calibri"/>
                <w:b/>
                <w:bCs/>
                <w:i w:val="false"/>
                <w:iCs w:val="false"/>
                <w:caps w:val="false"/>
                <w:color w:val="1A1A1A"/>
                <w:sz w:val="15"/>
                <w:szCs w:val="15"/>
              </w:rPr>
              <w:t xml:space="preserve">2</w:t>
            </w:r>
          </w:p>
        </w:tc>
        <w:tc>
          <w:tcPr>
            <w:tcW w:type="dxa" w:w="2000"/>
            <w:tcBorders>
              <w:top w:val="single" w:color="C9D2DD" w:sz="3"/>
              <w:left w:val="none" w:color="FFFFFF" w:sz="0"/>
              <w:bottom w:val="single" w:color="C9D2DD" w:sz="3"/>
              <w:right w:val="none" w:color="FFFFFF" w:sz="0"/>
            </w:tcBorders>
            <w:tcMar>
              <w:top w:type="dxa" w:w="55"/>
              <w:left w:type="dxa" w:w="85"/>
              <w:bottom w:type="dxa" w:w="55"/>
              <w:right w:type="dxa" w:w="85"/>
            </w:tcMar>
            <w:vAlign w:val="top"/>
          </w:tcPr>
          <w:p>
            <w:pPr>
              <w:keepNext w:val="false"/>
              <w:spacing w:after="0" w:before="0" w:line="224"/>
              <w:jc w:val="left"/>
            </w:pPr>
            <w:r>
              <w:rPr>
                <w:rFonts w:ascii="Calibri" w:cs="Calibri" w:eastAsia="Calibri" w:hAnsi="Calibri"/>
                <w:b/>
                <w:bCs/>
                <w:i w:val="false"/>
                <w:iCs w:val="false"/>
                <w:caps w:val="false"/>
                <w:color w:val="1A1A1A"/>
                <w:sz w:val="15"/>
                <w:szCs w:val="15"/>
              </w:rPr>
              <w:t xml:space="preserve">Backbone  (Wk 2–4)</w:t>
            </w:r>
          </w:p>
        </w:tc>
        <w:tc>
          <w:tcPr>
            <w:tcW w:type="dxa" w:w="5146"/>
            <w:tcBorders>
              <w:top w:val="single" w:color="C9D2DD" w:sz="3"/>
              <w:left w:val="none" w:color="FFFFFF" w:sz="0"/>
              <w:bottom w:val="single" w:color="C9D2DD" w:sz="3"/>
              <w:right w:val="none" w:color="FFFFFF" w:sz="0"/>
            </w:tcBorders>
            <w:tcMar>
              <w:top w:type="dxa" w:w="55"/>
              <w:left w:type="dxa" w:w="85"/>
              <w:bottom w:type="dxa" w:w="55"/>
              <w:right w:type="dxa" w:w="85"/>
            </w:tcMar>
            <w:vAlign w:val="top"/>
          </w:tcPr>
          <w:p>
            <w:pPr>
              <w:keepNext w:val="false"/>
              <w:spacing w:after="0" w:before="0" w:line="224"/>
              <w:jc w:val="left"/>
            </w:pPr>
            <w:r>
              <w:rPr>
                <w:rFonts w:ascii="Calibri" w:cs="Calibri" w:eastAsia="Calibri" w:hAnsi="Calibri"/>
                <w:b w:val="false"/>
                <w:bCs w:val="false"/>
                <w:i w:val="false"/>
                <w:iCs w:val="false"/>
                <w:caps w:val="false"/>
                <w:color w:val="1A1A1A"/>
                <w:sz w:val="15"/>
                <w:szCs w:val="15"/>
              </w:rPr>
              <w:t xml:space="preserve">(A) Point Transformer v3 [2] as primary — serialised attention, linear in N, proven on small medical-mesh sets at MICCAI 2024 [3]. (B) Sparse 3D U-Net (MinkowskiEngine / spconv) at 0.4 mm voxels. (C) Five orthographic depth + normal + curvature renders → HRNet-W32 [8], the configuration Mesh2PPM validated on pinnae [6]. PyTorch 2.x, PyTorch3D.</w:t>
            </w:r>
          </w:p>
        </w:tc>
        <w:tc>
          <w:tcPr>
            <w:tcW w:type="dxa" w:w="2600"/>
            <w:tcBorders>
              <w:top w:val="single" w:color="C9D2DD" w:sz="3"/>
              <w:left w:val="none" w:color="FFFFFF" w:sz="0"/>
              <w:bottom w:val="single" w:color="C9D2DD" w:sz="3"/>
              <w:right w:val="none" w:color="FFFFFF" w:sz="0"/>
            </w:tcBorders>
            <w:tcMar>
              <w:top w:type="dxa" w:w="55"/>
              <w:left w:type="dxa" w:w="85"/>
              <w:bottom w:type="dxa" w:w="55"/>
              <w:right w:type="dxa" w:w="85"/>
            </w:tcMar>
            <w:vAlign w:val="top"/>
          </w:tcPr>
          <w:p>
            <w:pPr>
              <w:keepNext w:val="false"/>
              <w:spacing w:after="0" w:before="0" w:line="224"/>
              <w:jc w:val="left"/>
            </w:pPr>
            <w:r>
              <w:rPr>
                <w:rFonts w:ascii="Calibri" w:cs="Calibri" w:eastAsia="Calibri" w:hAnsi="Calibri"/>
                <w:b w:val="false"/>
                <w:bCs w:val="false"/>
                <w:i w:val="false"/>
                <w:iCs w:val="false"/>
                <w:caps w:val="false"/>
                <w:color w:val="1A1A1A"/>
                <w:sz w:val="15"/>
                <w:szCs w:val="15"/>
              </w:rPr>
              <w:t xml:space="preserve">Three trained members, each below 1.8 mm MD standalone.</w:t>
            </w:r>
          </w:p>
        </w:tc>
      </w:tr>
      <w:tr>
        <w:tc>
          <w:tcPr>
            <w:tcW w:type="dxa" w:w="560"/>
            <w:tcBorders>
              <w:top w:val="single" w:color="C9D2DD" w:sz="3"/>
              <w:left w:val="none" w:color="FFFFFF" w:sz="0"/>
              <w:bottom w:val="single" w:color="C9D2DD" w:sz="3"/>
              <w:right w:val="none" w:color="FFFFFF" w:sz="0"/>
            </w:tcBorders>
            <w:shd w:fill="F6F8FB" w:color="auto" w:val="clear"/>
            <w:tcMar>
              <w:top w:type="dxa" w:w="55"/>
              <w:left w:type="dxa" w:w="85"/>
              <w:bottom w:type="dxa" w:w="55"/>
              <w:right w:type="dxa" w:w="85"/>
            </w:tcMar>
            <w:vAlign w:val="top"/>
          </w:tcPr>
          <w:p>
            <w:pPr>
              <w:keepNext w:val="false"/>
              <w:spacing w:after="0" w:before="0" w:line="224"/>
              <w:jc w:val="left"/>
            </w:pPr>
            <w:r>
              <w:rPr>
                <w:rFonts w:ascii="Calibri" w:cs="Calibri" w:eastAsia="Calibri" w:hAnsi="Calibri"/>
                <w:b/>
                <w:bCs/>
                <w:i w:val="false"/>
                <w:iCs w:val="false"/>
                <w:caps w:val="false"/>
                <w:color w:val="1A1A1A"/>
                <w:sz w:val="15"/>
                <w:szCs w:val="15"/>
              </w:rPr>
              <w:t xml:space="preserve">3</w:t>
            </w:r>
          </w:p>
        </w:tc>
        <w:tc>
          <w:tcPr>
            <w:tcW w:type="dxa" w:w="2000"/>
            <w:tcBorders>
              <w:top w:val="single" w:color="C9D2DD" w:sz="3"/>
              <w:left w:val="none" w:color="FFFFFF" w:sz="0"/>
              <w:bottom w:val="single" w:color="C9D2DD" w:sz="3"/>
              <w:right w:val="none" w:color="FFFFFF" w:sz="0"/>
            </w:tcBorders>
            <w:shd w:fill="F6F8FB" w:color="auto" w:val="clear"/>
            <w:tcMar>
              <w:top w:type="dxa" w:w="55"/>
              <w:left w:type="dxa" w:w="85"/>
              <w:bottom w:type="dxa" w:w="55"/>
              <w:right w:type="dxa" w:w="85"/>
            </w:tcMar>
            <w:vAlign w:val="top"/>
          </w:tcPr>
          <w:p>
            <w:pPr>
              <w:keepNext w:val="false"/>
              <w:spacing w:after="0" w:before="0" w:line="224"/>
              <w:jc w:val="left"/>
            </w:pPr>
            <w:r>
              <w:rPr>
                <w:rFonts w:ascii="Calibri" w:cs="Calibri" w:eastAsia="Calibri" w:hAnsi="Calibri"/>
                <w:b/>
                <w:bCs/>
                <w:i w:val="false"/>
                <w:iCs w:val="false"/>
                <w:caps w:val="false"/>
                <w:color w:val="1A1A1A"/>
                <w:sz w:val="15"/>
                <w:szCs w:val="15"/>
              </w:rPr>
              <w:t xml:space="preserve">Voting head  (Wk 3–4)</w:t>
            </w:r>
          </w:p>
        </w:tc>
        <w:tc>
          <w:tcPr>
            <w:tcW w:type="dxa" w:w="5146"/>
            <w:tcBorders>
              <w:top w:val="single" w:color="C9D2DD" w:sz="3"/>
              <w:left w:val="none" w:color="FFFFFF" w:sz="0"/>
              <w:bottom w:val="single" w:color="C9D2DD" w:sz="3"/>
              <w:right w:val="none" w:color="FFFFFF" w:sz="0"/>
            </w:tcBorders>
            <w:shd w:fill="F6F8FB" w:color="auto" w:val="clear"/>
            <w:tcMar>
              <w:top w:type="dxa" w:w="55"/>
              <w:left w:type="dxa" w:w="85"/>
              <w:bottom w:type="dxa" w:w="55"/>
              <w:right w:type="dxa" w:w="85"/>
            </w:tcMar>
            <w:vAlign w:val="top"/>
          </w:tcPr>
          <w:p>
            <w:pPr>
              <w:keepNext w:val="false"/>
              <w:spacing w:after="0" w:before="0" w:line="224"/>
              <w:jc w:val="left"/>
            </w:pPr>
            <w:r>
              <w:rPr>
                <w:rFonts w:ascii="Calibri" w:cs="Calibri" w:eastAsia="Calibri" w:hAnsi="Calibri"/>
                <w:b w:val="false"/>
                <w:bCs w:val="false"/>
                <w:i w:val="false"/>
                <w:iCs w:val="false"/>
                <w:caps w:val="false"/>
                <w:color w:val="1A1A1A"/>
                <w:sz w:val="15"/>
                <w:szCs w:val="15"/>
              </w:rPr>
              <w:t xml:space="preserve">Per-point 85-channel heatmap on a geodesic Gaussian, σ annealed 3.0 → 1.5 mm, plus an 85 × 3 offset field supervised within 6 mm. Decode by top-K (K = 64) softmax voting [9]. Aleatoric head trained with Gaussian NLL [10].</w:t>
            </w:r>
          </w:p>
        </w:tc>
        <w:tc>
          <w:tcPr>
            <w:tcW w:type="dxa" w:w="2600"/>
            <w:tcBorders>
              <w:top w:val="single" w:color="C9D2DD" w:sz="3"/>
              <w:left w:val="none" w:color="FFFFFF" w:sz="0"/>
              <w:bottom w:val="single" w:color="C9D2DD" w:sz="3"/>
              <w:right w:val="none" w:color="FFFFFF" w:sz="0"/>
            </w:tcBorders>
            <w:shd w:fill="F6F8FB" w:color="auto" w:val="clear"/>
            <w:tcMar>
              <w:top w:type="dxa" w:w="55"/>
              <w:left w:type="dxa" w:w="85"/>
              <w:bottom w:type="dxa" w:w="55"/>
              <w:right w:type="dxa" w:w="85"/>
            </w:tcMar>
            <w:vAlign w:val="top"/>
          </w:tcPr>
          <w:p>
            <w:pPr>
              <w:keepNext w:val="false"/>
              <w:spacing w:after="0" w:before="0" w:line="224"/>
              <w:jc w:val="left"/>
            </w:pPr>
            <w:r>
              <w:rPr>
                <w:rFonts w:ascii="Calibri" w:cs="Calibri" w:eastAsia="Calibri" w:hAnsi="Calibri"/>
                <w:b w:val="false"/>
                <w:bCs w:val="false"/>
                <w:i w:val="false"/>
                <w:iCs w:val="false"/>
                <w:caps w:val="false"/>
                <w:color w:val="1A1A1A"/>
                <w:sz w:val="15"/>
                <w:szCs w:val="15"/>
              </w:rPr>
              <w:t xml:space="preserve">Calibrated σ̂ₖ (reliability diagram within 10 %).</w:t>
            </w:r>
          </w:p>
        </w:tc>
      </w:tr>
      <w:tr>
        <w:tc>
          <w:tcPr>
            <w:tcW w:type="dxa" w:w="560"/>
            <w:tcBorders>
              <w:top w:val="single" w:color="C9D2DD" w:sz="3"/>
              <w:left w:val="none" w:color="FFFFFF" w:sz="0"/>
              <w:bottom w:val="single" w:color="C9D2DD" w:sz="3"/>
              <w:right w:val="none" w:color="FFFFFF" w:sz="0"/>
            </w:tcBorders>
            <w:tcMar>
              <w:top w:type="dxa" w:w="55"/>
              <w:left w:type="dxa" w:w="85"/>
              <w:bottom w:type="dxa" w:w="55"/>
              <w:right w:type="dxa" w:w="85"/>
            </w:tcMar>
            <w:vAlign w:val="top"/>
          </w:tcPr>
          <w:p>
            <w:pPr>
              <w:keepNext w:val="false"/>
              <w:spacing w:after="0" w:before="0" w:line="224"/>
              <w:jc w:val="left"/>
            </w:pPr>
            <w:r>
              <w:rPr>
                <w:rFonts w:ascii="Calibri" w:cs="Calibri" w:eastAsia="Calibri" w:hAnsi="Calibri"/>
                <w:b/>
                <w:bCs/>
                <w:i w:val="false"/>
                <w:iCs w:val="false"/>
                <w:caps w:val="false"/>
                <w:color w:val="1A1A1A"/>
                <w:sz w:val="15"/>
                <w:szCs w:val="15"/>
              </w:rPr>
              <w:t xml:space="preserve">4</w:t>
            </w:r>
          </w:p>
        </w:tc>
        <w:tc>
          <w:tcPr>
            <w:tcW w:type="dxa" w:w="2000"/>
            <w:tcBorders>
              <w:top w:val="single" w:color="C9D2DD" w:sz="3"/>
              <w:left w:val="none" w:color="FFFFFF" w:sz="0"/>
              <w:bottom w:val="single" w:color="C9D2DD" w:sz="3"/>
              <w:right w:val="none" w:color="FFFFFF" w:sz="0"/>
            </w:tcBorders>
            <w:tcMar>
              <w:top w:type="dxa" w:w="55"/>
              <w:left w:type="dxa" w:w="85"/>
              <w:bottom w:type="dxa" w:w="55"/>
              <w:right w:type="dxa" w:w="85"/>
            </w:tcMar>
            <w:vAlign w:val="top"/>
          </w:tcPr>
          <w:p>
            <w:pPr>
              <w:keepNext w:val="false"/>
              <w:spacing w:after="0" w:before="0" w:line="224"/>
              <w:jc w:val="left"/>
            </w:pPr>
            <w:r>
              <w:rPr>
                <w:rFonts w:ascii="Calibri" w:cs="Calibri" w:eastAsia="Calibri" w:hAnsi="Calibri"/>
                <w:b/>
                <w:bCs/>
                <w:i w:val="false"/>
                <w:iCs w:val="false"/>
                <w:caps w:val="false"/>
                <w:color w:val="1A1A1A"/>
                <w:sz w:val="15"/>
                <w:szCs w:val="15"/>
              </w:rPr>
              <w:t xml:space="preserve">Shape prior &amp; contour regularisation  (Wk 5)</w:t>
            </w:r>
          </w:p>
        </w:tc>
        <w:tc>
          <w:tcPr>
            <w:tcW w:type="dxa" w:w="5146"/>
            <w:tcBorders>
              <w:top w:val="single" w:color="C9D2DD" w:sz="3"/>
              <w:left w:val="none" w:color="FFFFFF" w:sz="0"/>
              <w:bottom w:val="single" w:color="C9D2DD" w:sz="3"/>
              <w:right w:val="none" w:color="FFFFFF" w:sz="0"/>
            </w:tcBorders>
            <w:tcMar>
              <w:top w:type="dxa" w:w="55"/>
              <w:left w:type="dxa" w:w="85"/>
              <w:bottom w:type="dxa" w:w="55"/>
              <w:right w:type="dxa" w:w="85"/>
            </w:tcMar>
            <w:vAlign w:val="top"/>
          </w:tcPr>
          <w:p>
            <w:pPr>
              <w:keepNext w:val="false"/>
              <w:spacing w:after="0" w:before="0" w:line="224"/>
              <w:jc w:val="left"/>
            </w:pPr>
            <w:r>
              <w:rPr>
                <w:rFonts w:ascii="Calibri" w:cs="Calibri" w:eastAsia="Calibri" w:hAnsi="Calibri"/>
                <w:b w:val="false"/>
                <w:bCs w:val="false"/>
                <w:i w:val="false"/>
                <w:iCs w:val="false"/>
                <w:caps w:val="false"/>
                <w:color w:val="1A1A1A"/>
                <w:sz w:val="15"/>
                <w:szCs w:val="15"/>
              </w:rPr>
              <w:t xml:space="preserve">Generalised Procrustes alignment, then PCA per ear and jointly over the L+R pair. Closed-form σ̂-weighted MAP fit with Tikhonov damping. Per-contour cubic smoothing spline resampled to the Step-0 spacing convention; monotone ordering repair.</w:t>
            </w:r>
          </w:p>
        </w:tc>
        <w:tc>
          <w:tcPr>
            <w:tcW w:type="dxa" w:w="2600"/>
            <w:tcBorders>
              <w:top w:val="single" w:color="C9D2DD" w:sz="3"/>
              <w:left w:val="none" w:color="FFFFFF" w:sz="0"/>
              <w:bottom w:val="single" w:color="C9D2DD" w:sz="3"/>
              <w:right w:val="none" w:color="FFFFFF" w:sz="0"/>
            </w:tcBorders>
            <w:tcMar>
              <w:top w:type="dxa" w:w="55"/>
              <w:left w:type="dxa" w:w="85"/>
              <w:bottom w:type="dxa" w:w="55"/>
              <w:right w:type="dxa" w:w="85"/>
            </w:tcMar>
            <w:vAlign w:val="top"/>
          </w:tcPr>
          <w:p>
            <w:pPr>
              <w:keepNext w:val="false"/>
              <w:spacing w:after="0" w:before="0" w:line="224"/>
              <w:jc w:val="left"/>
            </w:pPr>
            <w:r>
              <w:rPr>
                <w:rFonts w:ascii="Calibri" w:cs="Calibri" w:eastAsia="Calibri" w:hAnsi="Calibri"/>
                <w:b w:val="false"/>
                <w:bCs w:val="false"/>
                <w:i w:val="false"/>
                <w:iCs w:val="false"/>
                <w:caps w:val="false"/>
                <w:color w:val="1A1A1A"/>
                <w:sz w:val="15"/>
                <w:szCs w:val="15"/>
              </w:rPr>
              <w:t xml:space="preserve">≥ 10 % MD reduction, no regression on high-confidence points.</w:t>
            </w:r>
          </w:p>
        </w:tc>
      </w:tr>
      <w:tr>
        <w:tc>
          <w:tcPr>
            <w:tcW w:type="dxa" w:w="560"/>
            <w:tcBorders>
              <w:top w:val="single" w:color="C9D2DD" w:sz="3"/>
              <w:left w:val="none" w:color="FFFFFF" w:sz="0"/>
              <w:bottom w:val="single" w:color="C9D2DD" w:sz="3"/>
              <w:right w:val="none" w:color="FFFFFF" w:sz="0"/>
            </w:tcBorders>
            <w:shd w:fill="F6F8FB" w:color="auto" w:val="clear"/>
            <w:tcMar>
              <w:top w:type="dxa" w:w="55"/>
              <w:left w:type="dxa" w:w="85"/>
              <w:bottom w:type="dxa" w:w="55"/>
              <w:right w:type="dxa" w:w="85"/>
            </w:tcMar>
            <w:vAlign w:val="top"/>
          </w:tcPr>
          <w:p>
            <w:pPr>
              <w:keepNext w:val="false"/>
              <w:spacing w:after="0" w:before="0" w:line="224"/>
              <w:jc w:val="left"/>
            </w:pPr>
            <w:r>
              <w:rPr>
                <w:rFonts w:ascii="Calibri" w:cs="Calibri" w:eastAsia="Calibri" w:hAnsi="Calibri"/>
                <w:b/>
                <w:bCs/>
                <w:i w:val="false"/>
                <w:iCs w:val="false"/>
                <w:caps w:val="false"/>
                <w:color w:val="1A1A1A"/>
                <w:sz w:val="15"/>
                <w:szCs w:val="15"/>
              </w:rPr>
              <w:t xml:space="preserve">5</w:t>
            </w:r>
          </w:p>
        </w:tc>
        <w:tc>
          <w:tcPr>
            <w:tcW w:type="dxa" w:w="2000"/>
            <w:tcBorders>
              <w:top w:val="single" w:color="C9D2DD" w:sz="3"/>
              <w:left w:val="none" w:color="FFFFFF" w:sz="0"/>
              <w:bottom w:val="single" w:color="C9D2DD" w:sz="3"/>
              <w:right w:val="none" w:color="FFFFFF" w:sz="0"/>
            </w:tcBorders>
            <w:shd w:fill="F6F8FB" w:color="auto" w:val="clear"/>
            <w:tcMar>
              <w:top w:type="dxa" w:w="55"/>
              <w:left w:type="dxa" w:w="85"/>
              <w:bottom w:type="dxa" w:w="55"/>
              <w:right w:type="dxa" w:w="85"/>
            </w:tcMar>
            <w:vAlign w:val="top"/>
          </w:tcPr>
          <w:p>
            <w:pPr>
              <w:keepNext w:val="false"/>
              <w:spacing w:after="0" w:before="0" w:line="224"/>
              <w:jc w:val="left"/>
            </w:pPr>
            <w:r>
              <w:rPr>
                <w:rFonts w:ascii="Calibri" w:cs="Calibri" w:eastAsia="Calibri" w:hAnsi="Calibri"/>
                <w:b/>
                <w:bCs/>
                <w:i w:val="false"/>
                <w:iCs w:val="false"/>
                <w:caps w:val="false"/>
                <w:color w:val="1A1A1A"/>
                <w:sz w:val="15"/>
                <w:szCs w:val="15"/>
              </w:rPr>
              <w:t xml:space="preserve">Cascaded refinement  (Wk 5–6)</w:t>
            </w:r>
          </w:p>
        </w:tc>
        <w:tc>
          <w:tcPr>
            <w:tcW w:type="dxa" w:w="5146"/>
            <w:tcBorders>
              <w:top w:val="single" w:color="C9D2DD" w:sz="3"/>
              <w:left w:val="none" w:color="FFFFFF" w:sz="0"/>
              <w:bottom w:val="single" w:color="C9D2DD" w:sz="3"/>
              <w:right w:val="none" w:color="FFFFFF" w:sz="0"/>
            </w:tcBorders>
            <w:shd w:fill="F6F8FB" w:color="auto" w:val="clear"/>
            <w:tcMar>
              <w:top w:type="dxa" w:w="55"/>
              <w:left w:type="dxa" w:w="85"/>
              <w:bottom w:type="dxa" w:w="55"/>
              <w:right w:type="dxa" w:w="85"/>
            </w:tcMar>
            <w:vAlign w:val="top"/>
          </w:tcPr>
          <w:p>
            <w:pPr>
              <w:keepNext w:val="false"/>
              <w:spacing w:after="0" w:before="0" w:line="224"/>
              <w:jc w:val="left"/>
            </w:pPr>
            <w:r>
              <w:rPr>
                <w:rFonts w:ascii="Calibri" w:cs="Calibri" w:eastAsia="Calibri" w:hAnsi="Calibri"/>
                <w:b w:val="false"/>
                <w:bCs w:val="false"/>
                <w:i w:val="false"/>
                <w:iCs w:val="false"/>
                <w:caps w:val="false"/>
                <w:color w:val="1A1A1A"/>
                <w:sz w:val="15"/>
                <w:szCs w:val="15"/>
              </w:rPr>
              <w:t xml:space="preserve">Shared tiny-PTv3 over 1024-point local crops, conditioned on landmark-ID and contour-ID embeddings; two residual passes at r = 8 mm then 4 mm, after D-CPT’s RefineNet [4]. Barycentric surface projection only if Step 0 confirms GT lies on the surface.</w:t>
            </w:r>
          </w:p>
        </w:tc>
        <w:tc>
          <w:tcPr>
            <w:tcW w:type="dxa" w:w="2600"/>
            <w:tcBorders>
              <w:top w:val="single" w:color="C9D2DD" w:sz="3"/>
              <w:left w:val="none" w:color="FFFFFF" w:sz="0"/>
              <w:bottom w:val="single" w:color="C9D2DD" w:sz="3"/>
              <w:right w:val="none" w:color="FFFFFF" w:sz="0"/>
            </w:tcBorders>
            <w:shd w:fill="F6F8FB" w:color="auto" w:val="clear"/>
            <w:tcMar>
              <w:top w:type="dxa" w:w="55"/>
              <w:left w:type="dxa" w:w="85"/>
              <w:bottom w:type="dxa" w:w="55"/>
              <w:right w:type="dxa" w:w="85"/>
            </w:tcMar>
            <w:vAlign w:val="top"/>
          </w:tcPr>
          <w:p>
            <w:pPr>
              <w:keepNext w:val="false"/>
              <w:spacing w:after="0" w:before="0" w:line="224"/>
              <w:jc w:val="left"/>
            </w:pPr>
            <w:r>
              <w:rPr>
                <w:rFonts w:ascii="Calibri" w:cs="Calibri" w:eastAsia="Calibri" w:hAnsi="Calibri"/>
                <w:b w:val="false"/>
                <w:bCs w:val="false"/>
                <w:i w:val="false"/>
                <w:iCs w:val="false"/>
                <w:caps w:val="false"/>
                <w:color w:val="1A1A1A"/>
                <w:sz w:val="15"/>
                <w:szCs w:val="15"/>
              </w:rPr>
              <w:t xml:space="preserve">Further ≥ 10 % MD reduction; every point on the mesh.</w:t>
            </w:r>
          </w:p>
        </w:tc>
      </w:tr>
      <w:tr>
        <w:tc>
          <w:tcPr>
            <w:tcW w:type="dxa" w:w="560"/>
            <w:tcBorders>
              <w:top w:val="single" w:color="C9D2DD" w:sz="3"/>
              <w:left w:val="none" w:color="FFFFFF" w:sz="0"/>
              <w:bottom w:val="single" w:color="C9D2DD" w:sz="3"/>
              <w:right w:val="none" w:color="FFFFFF" w:sz="0"/>
            </w:tcBorders>
            <w:tcMar>
              <w:top w:type="dxa" w:w="55"/>
              <w:left w:type="dxa" w:w="85"/>
              <w:bottom w:type="dxa" w:w="55"/>
              <w:right w:type="dxa" w:w="85"/>
            </w:tcMar>
            <w:vAlign w:val="top"/>
          </w:tcPr>
          <w:p>
            <w:pPr>
              <w:keepNext w:val="false"/>
              <w:spacing w:after="0" w:before="0" w:line="224"/>
              <w:jc w:val="left"/>
            </w:pPr>
            <w:r>
              <w:rPr>
                <w:rFonts w:ascii="Calibri" w:cs="Calibri" w:eastAsia="Calibri" w:hAnsi="Calibri"/>
                <w:b/>
                <w:bCs/>
                <w:i w:val="false"/>
                <w:iCs w:val="false"/>
                <w:caps w:val="false"/>
                <w:color w:val="1A1A1A"/>
                <w:sz w:val="15"/>
                <w:szCs w:val="15"/>
              </w:rPr>
              <w:t xml:space="preserve">6</w:t>
            </w:r>
          </w:p>
        </w:tc>
        <w:tc>
          <w:tcPr>
            <w:tcW w:type="dxa" w:w="2000"/>
            <w:tcBorders>
              <w:top w:val="single" w:color="C9D2DD" w:sz="3"/>
              <w:left w:val="none" w:color="FFFFFF" w:sz="0"/>
              <w:bottom w:val="single" w:color="C9D2DD" w:sz="3"/>
              <w:right w:val="none" w:color="FFFFFF" w:sz="0"/>
            </w:tcBorders>
            <w:tcMar>
              <w:top w:type="dxa" w:w="55"/>
              <w:left w:type="dxa" w:w="85"/>
              <w:bottom w:type="dxa" w:w="55"/>
              <w:right w:type="dxa" w:w="85"/>
            </w:tcMar>
            <w:vAlign w:val="top"/>
          </w:tcPr>
          <w:p>
            <w:pPr>
              <w:keepNext w:val="false"/>
              <w:spacing w:after="0" w:before="0" w:line="224"/>
              <w:jc w:val="left"/>
            </w:pPr>
            <w:r>
              <w:rPr>
                <w:rFonts w:ascii="Calibri" w:cs="Calibri" w:eastAsia="Calibri" w:hAnsi="Calibri"/>
                <w:b/>
                <w:bCs/>
                <w:i w:val="false"/>
                <w:iCs w:val="false"/>
                <w:caps w:val="false"/>
                <w:color w:val="1A1A1A"/>
                <w:sz w:val="15"/>
                <w:szCs w:val="15"/>
              </w:rPr>
              <w:t xml:space="preserve">Ensemble, TTA &amp; packaging  (Wk 6–8)</w:t>
            </w:r>
          </w:p>
        </w:tc>
        <w:tc>
          <w:tcPr>
            <w:tcW w:type="dxa" w:w="5146"/>
            <w:tcBorders>
              <w:top w:val="single" w:color="C9D2DD" w:sz="3"/>
              <w:left w:val="none" w:color="FFFFFF" w:sz="0"/>
              <w:bottom w:val="single" w:color="C9D2DD" w:sz="3"/>
              <w:right w:val="none" w:color="FFFFFF" w:sz="0"/>
            </w:tcBorders>
            <w:tcMar>
              <w:top w:type="dxa" w:w="55"/>
              <w:left w:type="dxa" w:w="85"/>
              <w:bottom w:type="dxa" w:w="55"/>
              <w:right w:type="dxa" w:w="85"/>
            </w:tcMar>
            <w:vAlign w:val="top"/>
          </w:tcPr>
          <w:p>
            <w:pPr>
              <w:keepNext w:val="false"/>
              <w:spacing w:after="0" w:before="0" w:line="224"/>
              <w:jc w:val="left"/>
            </w:pPr>
            <w:r>
              <w:rPr>
                <w:rFonts w:ascii="Calibri" w:cs="Calibri" w:eastAsia="Calibri" w:hAnsi="Calibri"/>
                <w:b w:val="false"/>
                <w:bCs w:val="false"/>
                <w:i w:val="false"/>
                <w:iCs w:val="false"/>
                <w:caps w:val="false"/>
                <w:color w:val="1A1A1A"/>
                <w:sz w:val="15"/>
                <w:szCs w:val="15"/>
              </w:rPr>
              <w:t xml:space="preserve">5 folds × 3 backbones; TTA over mirroring, ±5° rotations and 3 sampling seeds; average in landmark space, then re-apply Steps 4–5. Export TorchScript + a one-command CLI: .ply in, two 85 × 3 CSVs out.</w:t>
            </w:r>
          </w:p>
        </w:tc>
        <w:tc>
          <w:tcPr>
            <w:tcW w:type="dxa" w:w="2600"/>
            <w:tcBorders>
              <w:top w:val="single" w:color="C9D2DD" w:sz="3"/>
              <w:left w:val="none" w:color="FFFFFF" w:sz="0"/>
              <w:bottom w:val="single" w:color="C9D2DD" w:sz="3"/>
              <w:right w:val="none" w:color="FFFFFF" w:sz="0"/>
            </w:tcBorders>
            <w:tcMar>
              <w:top w:type="dxa" w:w="55"/>
              <w:left w:type="dxa" w:w="85"/>
              <w:bottom w:type="dxa" w:w="55"/>
              <w:right w:type="dxa" w:w="85"/>
            </w:tcMar>
            <w:vAlign w:val="top"/>
          </w:tcPr>
          <w:p>
            <w:pPr>
              <w:keepNext w:val="false"/>
              <w:spacing w:after="0" w:before="0" w:line="224"/>
              <w:jc w:val="left"/>
            </w:pPr>
            <w:r>
              <w:rPr>
                <w:rFonts w:ascii="Calibri" w:cs="Calibri" w:eastAsia="Calibri" w:hAnsi="Calibri"/>
                <w:b w:val="false"/>
                <w:bCs w:val="false"/>
                <w:i w:val="false"/>
                <w:iCs w:val="false"/>
                <w:caps w:val="false"/>
                <w:color w:val="1A1A1A"/>
                <w:sz w:val="15"/>
                <w:szCs w:val="15"/>
              </w:rPr>
              <w:t xml:space="preserve">Reproducible submission with documented runtime and VRAM.</w:t>
            </w:r>
          </w:p>
        </w:tc>
      </w:tr>
    </w:tbl>
    <w:p>
      <w:pPr>
        <w:keepNext w:val="false"/>
        <w:spacing w:after="0" w:before="0" w:line="232"/>
        <w:jc w:val="left"/>
      </w:pPr>
      <w:r>
        <w:rPr>
          <w:rFonts w:ascii="Calibri" w:cs="Calibri" w:eastAsia="Calibri" w:hAnsi="Calibri"/>
          <w:b w:val="false"/>
          <w:bCs w:val="false"/>
          <w:i w:val="false"/>
          <w:iCs w:val="false"/>
          <w:caps w:val="false"/>
          <w:color w:val="1A1A1A"/>
          <w:sz w:val="8"/>
          <w:szCs w:val="8"/>
        </w:rPr>
        <w:t xml:space="preserve"/>
      </w:r>
    </w:p>
    <w:p>
      <w:pPr>
        <w:spacing w:after="0" w:before="60"/>
        <w:jc w:val="center"/>
      </w:pPr>
      <w:r>
        <w:drawing>
          <wp:inline distT="0" distB="0" distL="0" distR="0">
            <wp:extent cx="6543675"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543675" cy="1695450"/>
                    </a:xfrm>
                    <a:prstGeom prst="rect">
                      <a:avLst/>
                    </a:prstGeom>
                  </pic:spPr>
                </pic:pic>
              </a:graphicData>
            </a:graphic>
          </wp:inline>
        </w:drawing>
      </w:r>
    </w:p>
    <w:p>
      <w:pPr>
        <w:spacing w:after="110" w:before="40"/>
        <w:jc w:val="center"/>
      </w:pPr>
      <w:r>
        <w:rPr>
          <w:rFonts w:ascii="Calibri" w:cs="Calibri" w:eastAsia="Calibri" w:hAnsi="Calibri"/>
          <w:b w:val="false"/>
          <w:bCs w:val="false"/>
          <w:i/>
          <w:iCs/>
          <w:caps w:val="false"/>
          <w:color w:val="4A5A70"/>
          <w:sz w:val="15"/>
          <w:szCs w:val="15"/>
        </w:rPr>
        <w:t xml:space="preserve">Figure 2 — The three components that carry most of the accuracy gain over a plain regression baseline.</w:t>
      </w:r>
    </w:p>
    <w:p>
      <w:pPr>
        <w:keepNext w:val="false"/>
        <w:spacing w:after="60" w:before="0" w:line="232"/>
        <w:jc w:val="both"/>
      </w:pPr>
      <w:r>
        <w:rPr>
          <w:rFonts w:ascii="Calibri" w:cs="Calibri" w:eastAsia="Calibri" w:hAnsi="Calibri"/>
          <w:b/>
          <w:bCs/>
          <w:i w:val="false"/>
          <w:iCs w:val="false"/>
          <w:caps w:val="false"/>
          <w:color w:val="1A1A1A"/>
          <w:sz w:val="18"/>
          <w:szCs w:val="18"/>
        </w:rPr>
        <w:t xml:space="preserve">Training. </w:t>
      </w:r>
      <w:r>
        <w:rPr>
          <w:rFonts w:ascii="Calibri" w:cs="Calibri" w:eastAsia="Calibri" w:hAnsi="Calibri"/>
          <w:b w:val="false"/>
          <w:bCs w:val="false"/>
          <w:i w:val="false"/>
          <w:iCs w:val="false"/>
          <w:caps w:val="false"/>
          <w:color w:val="1A1A1A"/>
          <w:sz w:val="18"/>
          <w:szCs w:val="18"/>
        </w:rPr>
        <w:t xml:space="preserve">AdamW (backbone 3×10⁻⁴, heads 1×10⁻³), cosine schedule with 5-epoch warm-up, 300 epochs, batch 8, bf16 mixed precision, gradient clipping at 1.0 and an EMA of the weights. Augmentation: mirroring; ±10° / ±3 mm rigid jitter of the ROI frame — this is what makes Step 2 tolerant of Step 1 errors; ±5 % scale with matching label rescaling; TPS shape synthesis; vertex noise (σ = 0.15 mm); random hole punching and point dropout to imitate concha shadowing. </w:t>
      </w:r>
      <w:r>
        <w:rPr>
          <w:rFonts w:ascii="Calibri" w:cs="Calibri" w:eastAsia="Calibri" w:hAnsi="Calibri"/>
          <w:b/>
          <w:bCs/>
          <w:i w:val="false"/>
          <w:iCs w:val="false"/>
          <w:caps w:val="false"/>
          <w:color w:val="1A1A1A"/>
          <w:sz w:val="18"/>
          <w:szCs w:val="18"/>
        </w:rPr>
        <w:t xml:space="preserve">Validation is 5-fold and subject-wise</w:t>
      </w:r>
      <w:r>
        <w:rPr>
          <w:rFonts w:ascii="Calibri" w:cs="Calibri" w:eastAsia="Calibri" w:hAnsi="Calibri"/>
          <w:b w:val="false"/>
          <w:bCs w:val="false"/>
          <w:i w:val="false"/>
          <w:iCs w:val="false"/>
          <w:caps w:val="false"/>
          <w:color w:val="1A1A1A"/>
          <w:sz w:val="18"/>
          <w:szCs w:val="18"/>
        </w:rPr>
        <w:t xml:space="preserve"> — both ears of a subject stay in the same fold, because left and right are strongly correlated and ear-wise splitting leaks and inflates the score. We report overall MD, per-contour MD, a per-landmark MD map, the 50/90/95th percentiles, the worst-subject MD, and a full ablation (S3 → +S4 → +S5 → +S6). A single RTX 4090 or A100 (24–40 GB) suffices at roughly 10–16 h per model. </w:t>
      </w:r>
      <w:r>
        <w:rPr>
          <w:rFonts w:ascii="Calibri" w:cs="Calibri" w:eastAsia="Calibri" w:hAnsi="Calibri"/>
          <w:b/>
          <w:bCs/>
          <w:i w:val="false"/>
          <w:iCs w:val="false"/>
          <w:caps w:val="false"/>
          <w:color w:val="8A3A12"/>
          <w:sz w:val="18"/>
          <w:szCs w:val="18"/>
        </w:rPr>
        <w:t xml:space="preserve">Expected: ≈1.3–1.8 mm for a single model and ≈0.9–1.3 mm ensembled, against an inter-annotator floor we estimate at 0.5–1.0 mm.</w:t>
      </w:r>
    </w:p>
    <w:p>
      <w:pPr>
        <w:keepNext/>
        <w:pBdr>
          <w:bottom w:val="single" w:color="9AA7B8" w:sz="6" w:space="3"/>
        </w:pBdr>
        <w:spacing w:after="90" w:before="190"/>
      </w:pPr>
      <w:r>
        <w:rPr>
          <w:rFonts w:ascii="Calibri" w:cs="Calibri" w:eastAsia="Calibri" w:hAnsi="Calibri"/>
          <w:b/>
          <w:bCs/>
          <w:i w:val="false"/>
          <w:iCs w:val="false"/>
          <w:caps w:val="false"/>
          <w:color w:val="12213A"/>
          <w:sz w:val="22"/>
          <w:szCs w:val="22"/>
        </w:rPr>
        <w:t xml:space="preserve">4  </w:t>
      </w:r>
      <w:r>
        <w:rPr>
          <w:rFonts w:ascii="Calibri" w:cs="Calibri" w:eastAsia="Calibri" w:hAnsi="Calibri"/>
          <w:b/>
          <w:bCs/>
          <w:i w:val="false"/>
          <w:iCs w:val="false"/>
          <w:caps w:val="false"/>
          <w:color w:val="12213A"/>
          <w:sz w:val="22"/>
          <w:szCs w:val="22"/>
        </w:rPr>
        <w:t xml:space="preserve">Risks and Challenges</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2850"/>
        <w:gridCol w:w="800"/>
        <w:gridCol w:w="6656"/>
      </w:tblGrid>
      <w:tr>
        <w:trPr>
          <w:tblHeader/>
        </w:trPr>
        <w:tc>
          <w:tcPr>
            <w:tcW w:type="dxa" w:w="2850"/>
            <w:tcBorders>
              <w:top w:val="single" w:color="C9D2DD" w:sz="3"/>
              <w:left w:val="none" w:color="FFFFFF" w:sz="0"/>
              <w:bottom w:val="single" w:color="C9D2DD" w:sz="3"/>
              <w:right w:val="none" w:color="FFFFFF" w:sz="0"/>
            </w:tcBorders>
            <w:shd w:fill="12213A" w:color="auto" w:val="clear"/>
            <w:tcMar>
              <w:top w:type="dxa" w:w="55"/>
              <w:left w:type="dxa" w:w="85"/>
              <w:bottom w:type="dxa" w:w="55"/>
              <w:right w:type="dxa" w:w="85"/>
            </w:tcMar>
            <w:vAlign w:val="top"/>
          </w:tcPr>
          <w:p>
            <w:pPr>
              <w:keepNext w:val="false"/>
              <w:spacing w:after="0" w:before="0" w:line="224"/>
              <w:jc w:val="left"/>
            </w:pPr>
            <w:r>
              <w:rPr>
                <w:rFonts w:ascii="Calibri" w:cs="Calibri" w:eastAsia="Calibri" w:hAnsi="Calibri"/>
                <w:b/>
                <w:bCs/>
                <w:i w:val="false"/>
                <w:iCs w:val="false"/>
                <w:caps w:val="false"/>
                <w:color w:val="FFFFFF"/>
                <w:sz w:val="15"/>
                <w:szCs w:val="15"/>
              </w:rPr>
              <w:t xml:space="preserve">Risk</w:t>
            </w:r>
          </w:p>
        </w:tc>
        <w:tc>
          <w:tcPr>
            <w:tcW w:type="dxa" w:w="800"/>
            <w:tcBorders>
              <w:top w:val="single" w:color="C9D2DD" w:sz="3"/>
              <w:left w:val="none" w:color="FFFFFF" w:sz="0"/>
              <w:bottom w:val="single" w:color="C9D2DD" w:sz="3"/>
              <w:right w:val="none" w:color="FFFFFF" w:sz="0"/>
            </w:tcBorders>
            <w:shd w:fill="12213A" w:color="auto" w:val="clear"/>
            <w:tcMar>
              <w:top w:type="dxa" w:w="55"/>
              <w:left w:type="dxa" w:w="85"/>
              <w:bottom w:type="dxa" w:w="55"/>
              <w:right w:type="dxa" w:w="85"/>
            </w:tcMar>
            <w:vAlign w:val="top"/>
          </w:tcPr>
          <w:p>
            <w:pPr>
              <w:keepNext w:val="false"/>
              <w:spacing w:after="0" w:before="0" w:line="224"/>
              <w:jc w:val="left"/>
            </w:pPr>
            <w:r>
              <w:rPr>
                <w:rFonts w:ascii="Calibri" w:cs="Calibri" w:eastAsia="Calibri" w:hAnsi="Calibri"/>
                <w:b/>
                <w:bCs/>
                <w:i w:val="false"/>
                <w:iCs w:val="false"/>
                <w:caps w:val="false"/>
                <w:color w:val="FFFFFF"/>
                <w:sz w:val="15"/>
                <w:szCs w:val="15"/>
              </w:rPr>
              <w:t xml:space="preserve">Sev.</w:t>
            </w:r>
          </w:p>
        </w:tc>
        <w:tc>
          <w:tcPr>
            <w:tcW w:type="dxa" w:w="6656"/>
            <w:tcBorders>
              <w:top w:val="single" w:color="C9D2DD" w:sz="3"/>
              <w:left w:val="none" w:color="FFFFFF" w:sz="0"/>
              <w:bottom w:val="single" w:color="C9D2DD" w:sz="3"/>
              <w:right w:val="none" w:color="FFFFFF" w:sz="0"/>
            </w:tcBorders>
            <w:shd w:fill="12213A" w:color="auto" w:val="clear"/>
            <w:tcMar>
              <w:top w:type="dxa" w:w="55"/>
              <w:left w:type="dxa" w:w="85"/>
              <w:bottom w:type="dxa" w:w="55"/>
              <w:right w:type="dxa" w:w="85"/>
            </w:tcMar>
            <w:vAlign w:val="top"/>
          </w:tcPr>
          <w:p>
            <w:pPr>
              <w:keepNext w:val="false"/>
              <w:spacing w:after="0" w:before="0" w:line="224"/>
              <w:jc w:val="left"/>
            </w:pPr>
            <w:r>
              <w:rPr>
                <w:rFonts w:ascii="Calibri" w:cs="Calibri" w:eastAsia="Calibri" w:hAnsi="Calibri"/>
                <w:b/>
                <w:bCs/>
                <w:i w:val="false"/>
                <w:iCs w:val="false"/>
                <w:caps w:val="false"/>
                <w:color w:val="FFFFFF"/>
                <w:sz w:val="15"/>
                <w:szCs w:val="15"/>
              </w:rPr>
              <w:t xml:space="preserve">Mitigation and fallback</w:t>
            </w:r>
          </w:p>
        </w:tc>
      </w:tr>
      <w:tr>
        <w:tc>
          <w:tcPr>
            <w:tcW w:type="dxa" w:w="2850"/>
            <w:tcBorders>
              <w:top w:val="single" w:color="C9D2DD" w:sz="3"/>
              <w:left w:val="none" w:color="FFFFFF" w:sz="0"/>
              <w:bottom w:val="single" w:color="C9D2DD" w:sz="3"/>
              <w:right w:val="none" w:color="FFFFFF" w:sz="0"/>
            </w:tcBorders>
            <w:tcMar>
              <w:top w:type="dxa" w:w="55"/>
              <w:left w:type="dxa" w:w="85"/>
              <w:bottom w:type="dxa" w:w="55"/>
              <w:right w:type="dxa" w:w="85"/>
            </w:tcMar>
            <w:vAlign w:val="top"/>
          </w:tcPr>
          <w:p>
            <w:pPr>
              <w:keepNext w:val="false"/>
              <w:spacing w:after="0" w:before="0" w:line="224"/>
              <w:jc w:val="left"/>
            </w:pPr>
            <w:r>
              <w:rPr>
                <w:rFonts w:ascii="Calibri" w:cs="Calibri" w:eastAsia="Calibri" w:hAnsi="Calibri"/>
                <w:b/>
                <w:bCs/>
                <w:i w:val="false"/>
                <w:iCs w:val="false"/>
                <w:caps w:val="false"/>
                <w:color w:val="1A1A1A"/>
                <w:sz w:val="15"/>
                <w:szCs w:val="15"/>
              </w:rPr>
              <w:t xml:space="preserve">Only 200 subjects / 400 ears — heavy overfitting risk</w:t>
            </w:r>
          </w:p>
        </w:tc>
        <w:tc>
          <w:tcPr>
            <w:tcW w:type="dxa" w:w="800"/>
            <w:tcBorders>
              <w:top w:val="single" w:color="C9D2DD" w:sz="3"/>
              <w:left w:val="none" w:color="FFFFFF" w:sz="0"/>
              <w:bottom w:val="single" w:color="C9D2DD" w:sz="3"/>
              <w:right w:val="none" w:color="FFFFFF" w:sz="0"/>
            </w:tcBorders>
            <w:tcMar>
              <w:top w:type="dxa" w:w="55"/>
              <w:left w:type="dxa" w:w="85"/>
              <w:bottom w:type="dxa" w:w="55"/>
              <w:right w:type="dxa" w:w="85"/>
            </w:tcMar>
            <w:vAlign w:val="top"/>
          </w:tcPr>
          <w:p>
            <w:pPr>
              <w:keepNext w:val="false"/>
              <w:spacing w:after="0" w:before="0" w:line="224"/>
              <w:jc w:val="left"/>
            </w:pPr>
            <w:r>
              <w:rPr>
                <w:rFonts w:ascii="Calibri" w:cs="Calibri" w:eastAsia="Calibri" w:hAnsi="Calibri"/>
                <w:b/>
                <w:bCs/>
                <w:i w:val="false"/>
                <w:iCs w:val="false"/>
                <w:caps w:val="false"/>
                <w:color w:val="8A3A12"/>
                <w:sz w:val="15"/>
                <w:szCs w:val="15"/>
              </w:rPr>
              <w:t xml:space="preserve">High</w:t>
            </w:r>
          </w:p>
        </w:tc>
        <w:tc>
          <w:tcPr>
            <w:tcW w:type="dxa" w:w="6656"/>
            <w:tcBorders>
              <w:top w:val="single" w:color="C9D2DD" w:sz="3"/>
              <w:left w:val="none" w:color="FFFFFF" w:sz="0"/>
              <w:bottom w:val="single" w:color="C9D2DD" w:sz="3"/>
              <w:right w:val="none" w:color="FFFFFF" w:sz="0"/>
            </w:tcBorders>
            <w:tcMar>
              <w:top w:type="dxa" w:w="55"/>
              <w:left w:type="dxa" w:w="85"/>
              <w:bottom w:type="dxa" w:w="55"/>
              <w:right w:type="dxa" w:w="85"/>
            </w:tcMar>
            <w:vAlign w:val="top"/>
          </w:tcPr>
          <w:p>
            <w:pPr>
              <w:keepNext w:val="false"/>
              <w:spacing w:after="0" w:before="0" w:line="224"/>
              <w:jc w:val="left"/>
            </w:pPr>
            <w:r>
              <w:rPr>
                <w:rFonts w:ascii="Calibri" w:cs="Calibri" w:eastAsia="Calibri" w:hAnsi="Calibri"/>
                <w:b w:val="false"/>
                <w:bCs w:val="false"/>
                <w:i w:val="false"/>
                <w:iCs w:val="false"/>
                <w:caps w:val="false"/>
                <w:color w:val="1A1A1A"/>
                <w:sz w:val="15"/>
                <w:szCs w:val="15"/>
              </w:rPr>
              <w:t xml:space="preserve">TPS + PCA synthetic augmentation, mirroring, subject-wise CV, weight EMA, strong regularisation and a three-member ensemble. This is the risk every competing team shares; augmentation quality is where the challenge is actually won.</w:t>
            </w:r>
          </w:p>
        </w:tc>
      </w:tr>
      <w:tr>
        <w:tc>
          <w:tcPr>
            <w:tcW w:type="dxa" w:w="2850"/>
            <w:tcBorders>
              <w:top w:val="single" w:color="C9D2DD" w:sz="3"/>
              <w:left w:val="none" w:color="FFFFFF" w:sz="0"/>
              <w:bottom w:val="single" w:color="C9D2DD" w:sz="3"/>
              <w:right w:val="none" w:color="FFFFFF" w:sz="0"/>
            </w:tcBorders>
            <w:shd w:fill="F6F8FB" w:color="auto" w:val="clear"/>
            <w:tcMar>
              <w:top w:type="dxa" w:w="55"/>
              <w:left w:type="dxa" w:w="85"/>
              <w:bottom w:type="dxa" w:w="55"/>
              <w:right w:type="dxa" w:w="85"/>
            </w:tcMar>
            <w:vAlign w:val="top"/>
          </w:tcPr>
          <w:p>
            <w:pPr>
              <w:keepNext w:val="false"/>
              <w:spacing w:after="0" w:before="0" w:line="224"/>
              <w:jc w:val="left"/>
            </w:pPr>
            <w:r>
              <w:rPr>
                <w:rFonts w:ascii="Calibri" w:cs="Calibri" w:eastAsia="Calibri" w:hAnsi="Calibri"/>
                <w:b/>
                <w:bCs/>
                <w:i w:val="false"/>
                <w:iCs w:val="false"/>
                <w:caps w:val="false"/>
                <w:color w:val="1A1A1A"/>
                <w:sz w:val="15"/>
                <w:szCs w:val="15"/>
              </w:rPr>
              <w:t xml:space="preserve">Silent convention mismatch (mirror sign, contour start index, traversal direction, surface adherence)</w:t>
            </w:r>
          </w:p>
        </w:tc>
        <w:tc>
          <w:tcPr>
            <w:tcW w:type="dxa" w:w="800"/>
            <w:tcBorders>
              <w:top w:val="single" w:color="C9D2DD" w:sz="3"/>
              <w:left w:val="none" w:color="FFFFFF" w:sz="0"/>
              <w:bottom w:val="single" w:color="C9D2DD" w:sz="3"/>
              <w:right w:val="none" w:color="FFFFFF" w:sz="0"/>
            </w:tcBorders>
            <w:shd w:fill="F6F8FB" w:color="auto" w:val="clear"/>
            <w:tcMar>
              <w:top w:type="dxa" w:w="55"/>
              <w:left w:type="dxa" w:w="85"/>
              <w:bottom w:type="dxa" w:w="55"/>
              <w:right w:type="dxa" w:w="85"/>
            </w:tcMar>
            <w:vAlign w:val="top"/>
          </w:tcPr>
          <w:p>
            <w:pPr>
              <w:keepNext w:val="false"/>
              <w:spacing w:after="0" w:before="0" w:line="224"/>
              <w:jc w:val="left"/>
            </w:pPr>
            <w:r>
              <w:rPr>
                <w:rFonts w:ascii="Calibri" w:cs="Calibri" w:eastAsia="Calibri" w:hAnsi="Calibri"/>
                <w:b/>
                <w:bCs/>
                <w:i w:val="false"/>
                <w:iCs w:val="false"/>
                <w:caps w:val="false"/>
                <w:color w:val="8A3A12"/>
                <w:sz w:val="15"/>
                <w:szCs w:val="15"/>
              </w:rPr>
              <w:t xml:space="preserve">High</w:t>
            </w:r>
          </w:p>
        </w:tc>
        <w:tc>
          <w:tcPr>
            <w:tcW w:type="dxa" w:w="6656"/>
            <w:tcBorders>
              <w:top w:val="single" w:color="C9D2DD" w:sz="3"/>
              <w:left w:val="none" w:color="FFFFFF" w:sz="0"/>
              <w:bottom w:val="single" w:color="C9D2DD" w:sz="3"/>
              <w:right w:val="none" w:color="FFFFFF" w:sz="0"/>
            </w:tcBorders>
            <w:shd w:fill="F6F8FB" w:color="auto" w:val="clear"/>
            <w:tcMar>
              <w:top w:type="dxa" w:w="55"/>
              <w:left w:type="dxa" w:w="85"/>
              <w:bottom w:type="dxa" w:w="55"/>
              <w:right w:type="dxa" w:w="85"/>
            </w:tcMar>
            <w:vAlign w:val="top"/>
          </w:tcPr>
          <w:p>
            <w:pPr>
              <w:keepNext w:val="false"/>
              <w:spacing w:after="0" w:before="0" w:line="224"/>
              <w:jc w:val="left"/>
            </w:pPr>
            <w:r>
              <w:rPr>
                <w:rFonts w:ascii="Calibri" w:cs="Calibri" w:eastAsia="Calibri" w:hAnsi="Calibri"/>
                <w:b w:val="false"/>
                <w:bCs w:val="false"/>
                <w:i w:val="false"/>
                <w:iCs w:val="false"/>
                <w:caps w:val="false"/>
                <w:color w:val="1A1A1A"/>
                <w:sz w:val="15"/>
                <w:szCs w:val="15"/>
              </w:rPr>
              <w:t xml:space="preserve">Step 0 is a dedicated, budgeted phase with explicit assertions and visual overlays. Every convention is measured from the data, never assumed. Cheap to check, catastrophic and invisible if wrong.</w:t>
            </w:r>
          </w:p>
        </w:tc>
      </w:tr>
      <w:tr>
        <w:tc>
          <w:tcPr>
            <w:tcW w:type="dxa" w:w="2850"/>
            <w:tcBorders>
              <w:top w:val="single" w:color="C9D2DD" w:sz="3"/>
              <w:left w:val="none" w:color="FFFFFF" w:sz="0"/>
              <w:bottom w:val="single" w:color="C9D2DD" w:sz="3"/>
              <w:right w:val="none" w:color="FFFFFF" w:sz="0"/>
            </w:tcBorders>
            <w:tcMar>
              <w:top w:type="dxa" w:w="55"/>
              <w:left w:type="dxa" w:w="85"/>
              <w:bottom w:type="dxa" w:w="55"/>
              <w:right w:type="dxa" w:w="85"/>
            </w:tcMar>
            <w:vAlign w:val="top"/>
          </w:tcPr>
          <w:p>
            <w:pPr>
              <w:keepNext w:val="false"/>
              <w:spacing w:after="0" w:before="0" w:line="224"/>
              <w:jc w:val="left"/>
            </w:pPr>
            <w:r>
              <w:rPr>
                <w:rFonts w:ascii="Calibri" w:cs="Calibri" w:eastAsia="Calibri" w:hAnsi="Calibri"/>
                <w:b/>
                <w:bCs/>
                <w:i w:val="false"/>
                <w:iCs w:val="false"/>
                <w:caps w:val="false"/>
                <w:color w:val="1A1A1A"/>
                <w:sz w:val="15"/>
                <w:szCs w:val="15"/>
              </w:rPr>
              <w:t xml:space="preserve">ROI / ear-detection failure on hair, occlusion or atypical anatomy</w:t>
            </w:r>
          </w:p>
        </w:tc>
        <w:tc>
          <w:tcPr>
            <w:tcW w:type="dxa" w:w="800"/>
            <w:tcBorders>
              <w:top w:val="single" w:color="C9D2DD" w:sz="3"/>
              <w:left w:val="none" w:color="FFFFFF" w:sz="0"/>
              <w:bottom w:val="single" w:color="C9D2DD" w:sz="3"/>
              <w:right w:val="none" w:color="FFFFFF" w:sz="0"/>
            </w:tcBorders>
            <w:tcMar>
              <w:top w:type="dxa" w:w="55"/>
              <w:left w:type="dxa" w:w="85"/>
              <w:bottom w:type="dxa" w:w="55"/>
              <w:right w:type="dxa" w:w="85"/>
            </w:tcMar>
            <w:vAlign w:val="top"/>
          </w:tcPr>
          <w:p>
            <w:pPr>
              <w:keepNext w:val="false"/>
              <w:spacing w:after="0" w:before="0" w:line="224"/>
              <w:jc w:val="left"/>
            </w:pPr>
            <w:r>
              <w:rPr>
                <w:rFonts w:ascii="Calibri" w:cs="Calibri" w:eastAsia="Calibri" w:hAnsi="Calibri"/>
                <w:b/>
                <w:bCs/>
                <w:i w:val="false"/>
                <w:iCs w:val="false"/>
                <w:caps w:val="false"/>
                <w:color w:val="8A3A12"/>
                <w:sz w:val="15"/>
                <w:szCs w:val="15"/>
              </w:rPr>
              <w:t xml:space="preserve">High</w:t>
            </w:r>
          </w:p>
        </w:tc>
        <w:tc>
          <w:tcPr>
            <w:tcW w:type="dxa" w:w="6656"/>
            <w:tcBorders>
              <w:top w:val="single" w:color="C9D2DD" w:sz="3"/>
              <w:left w:val="none" w:color="FFFFFF" w:sz="0"/>
              <w:bottom w:val="single" w:color="C9D2DD" w:sz="3"/>
              <w:right w:val="none" w:color="FFFFFF" w:sz="0"/>
            </w:tcBorders>
            <w:tcMar>
              <w:top w:type="dxa" w:w="55"/>
              <w:left w:type="dxa" w:w="85"/>
              <w:bottom w:type="dxa" w:w="55"/>
              <w:right w:type="dxa" w:w="85"/>
            </w:tcMar>
            <w:vAlign w:val="top"/>
          </w:tcPr>
          <w:p>
            <w:pPr>
              <w:keepNext w:val="false"/>
              <w:spacing w:after="0" w:before="0" w:line="224"/>
              <w:jc w:val="left"/>
            </w:pPr>
            <w:r>
              <w:rPr>
                <w:rFonts w:ascii="Calibri" w:cs="Calibri" w:eastAsia="Calibri" w:hAnsi="Calibri"/>
                <w:b w:val="false"/>
                <w:bCs w:val="false"/>
                <w:i w:val="false"/>
                <w:iCs w:val="false"/>
                <w:caps w:val="false"/>
                <w:color w:val="1A1A1A"/>
                <w:sz w:val="15"/>
                <w:szCs w:val="15"/>
              </w:rPr>
              <w:t xml:space="preserve">Box prior + template ICP with a fitness gate; the backbone is trained under ±10° / ±3 mm crop jitter so it tolerates a poor crop; whole-head fallback pass when the gate trips.</w:t>
            </w:r>
          </w:p>
        </w:tc>
      </w:tr>
      <w:tr>
        <w:tc>
          <w:tcPr>
            <w:tcW w:type="dxa" w:w="2850"/>
            <w:tcBorders>
              <w:top w:val="single" w:color="C9D2DD" w:sz="3"/>
              <w:left w:val="none" w:color="FFFFFF" w:sz="0"/>
              <w:bottom w:val="single" w:color="C9D2DD" w:sz="3"/>
              <w:right w:val="none" w:color="FFFFFF" w:sz="0"/>
            </w:tcBorders>
            <w:shd w:fill="F6F8FB" w:color="auto" w:val="clear"/>
            <w:tcMar>
              <w:top w:type="dxa" w:w="55"/>
              <w:left w:type="dxa" w:w="85"/>
              <w:bottom w:type="dxa" w:w="55"/>
              <w:right w:type="dxa" w:w="85"/>
            </w:tcMar>
            <w:vAlign w:val="top"/>
          </w:tcPr>
          <w:p>
            <w:pPr>
              <w:keepNext w:val="false"/>
              <w:spacing w:after="0" w:before="0" w:line="224"/>
              <w:jc w:val="left"/>
            </w:pPr>
            <w:r>
              <w:rPr>
                <w:rFonts w:ascii="Calibri" w:cs="Calibri" w:eastAsia="Calibri" w:hAnsi="Calibri"/>
                <w:b/>
                <w:bCs/>
                <w:i w:val="false"/>
                <w:iCs w:val="false"/>
                <w:caps w:val="false"/>
                <w:color w:val="1A1A1A"/>
                <w:sz w:val="15"/>
                <w:szCs w:val="15"/>
              </w:rPr>
              <w:t xml:space="preserve">Scanner holes and noise in the deep concha — 30 of the 85 points sit there</w:t>
            </w:r>
          </w:p>
        </w:tc>
        <w:tc>
          <w:tcPr>
            <w:tcW w:type="dxa" w:w="800"/>
            <w:tcBorders>
              <w:top w:val="single" w:color="C9D2DD" w:sz="3"/>
              <w:left w:val="none" w:color="FFFFFF" w:sz="0"/>
              <w:bottom w:val="single" w:color="C9D2DD" w:sz="3"/>
              <w:right w:val="none" w:color="FFFFFF" w:sz="0"/>
            </w:tcBorders>
            <w:shd w:fill="F6F8FB" w:color="auto" w:val="clear"/>
            <w:tcMar>
              <w:top w:type="dxa" w:w="55"/>
              <w:left w:type="dxa" w:w="85"/>
              <w:bottom w:type="dxa" w:w="55"/>
              <w:right w:type="dxa" w:w="85"/>
            </w:tcMar>
            <w:vAlign w:val="top"/>
          </w:tcPr>
          <w:p>
            <w:pPr>
              <w:keepNext w:val="false"/>
              <w:spacing w:after="0" w:before="0" w:line="224"/>
              <w:jc w:val="left"/>
            </w:pPr>
            <w:r>
              <w:rPr>
                <w:rFonts w:ascii="Calibri" w:cs="Calibri" w:eastAsia="Calibri" w:hAnsi="Calibri"/>
                <w:b/>
                <w:bCs/>
                <w:i w:val="false"/>
                <w:iCs w:val="false"/>
                <w:caps w:val="false"/>
                <w:color w:val="8A3A12"/>
                <w:sz w:val="15"/>
                <w:szCs w:val="15"/>
              </w:rPr>
              <w:t xml:space="preserve">Med–High</w:t>
            </w:r>
          </w:p>
        </w:tc>
        <w:tc>
          <w:tcPr>
            <w:tcW w:type="dxa" w:w="6656"/>
            <w:tcBorders>
              <w:top w:val="single" w:color="C9D2DD" w:sz="3"/>
              <w:left w:val="none" w:color="FFFFFF" w:sz="0"/>
              <w:bottom w:val="single" w:color="C9D2DD" w:sz="3"/>
              <w:right w:val="none" w:color="FFFFFF" w:sz="0"/>
            </w:tcBorders>
            <w:shd w:fill="F6F8FB" w:color="auto" w:val="clear"/>
            <w:tcMar>
              <w:top w:type="dxa" w:w="55"/>
              <w:left w:type="dxa" w:w="85"/>
              <w:bottom w:type="dxa" w:w="55"/>
              <w:right w:type="dxa" w:w="85"/>
            </w:tcMar>
            <w:vAlign w:val="top"/>
          </w:tcPr>
          <w:p>
            <w:pPr>
              <w:keepNext w:val="false"/>
              <w:spacing w:after="0" w:before="0" w:line="224"/>
              <w:jc w:val="left"/>
            </w:pPr>
            <w:r>
              <w:rPr>
                <w:rFonts w:ascii="Calibri" w:cs="Calibri" w:eastAsia="Calibri" w:hAnsi="Calibri"/>
                <w:b w:val="false"/>
                <w:bCs w:val="false"/>
                <w:i w:val="false"/>
                <w:iCs w:val="false"/>
                <w:caps w:val="false"/>
                <w:color w:val="1A1A1A"/>
                <w:sz w:val="15"/>
                <w:szCs w:val="15"/>
              </w:rPr>
              <w:t xml:space="preserve">Screened-Poisson hole filling; hole and dropout augmentation; the uncertainty-weighted prior fills shadowed regions from anatomy rather than guessing; per-contour loss weighting.</w:t>
            </w:r>
          </w:p>
        </w:tc>
      </w:tr>
      <w:tr>
        <w:tc>
          <w:tcPr>
            <w:tcW w:type="dxa" w:w="2850"/>
            <w:tcBorders>
              <w:top w:val="single" w:color="C9D2DD" w:sz="3"/>
              <w:left w:val="none" w:color="FFFFFF" w:sz="0"/>
              <w:bottom w:val="single" w:color="C9D2DD" w:sz="3"/>
              <w:right w:val="none" w:color="FFFFFF" w:sz="0"/>
            </w:tcBorders>
            <w:tcMar>
              <w:top w:type="dxa" w:w="55"/>
              <w:left w:type="dxa" w:w="85"/>
              <w:bottom w:type="dxa" w:w="55"/>
              <w:right w:type="dxa" w:w="85"/>
            </w:tcMar>
            <w:vAlign w:val="top"/>
          </w:tcPr>
          <w:p>
            <w:pPr>
              <w:keepNext w:val="false"/>
              <w:spacing w:after="0" w:before="0" w:line="224"/>
              <w:jc w:val="left"/>
            </w:pPr>
            <w:r>
              <w:rPr>
                <w:rFonts w:ascii="Calibri" w:cs="Calibri" w:eastAsia="Calibri" w:hAnsi="Calibri"/>
                <w:b/>
                <w:bCs/>
                <w:i w:val="false"/>
                <w:iCs w:val="false"/>
                <w:caps w:val="false"/>
                <w:color w:val="1A1A1A"/>
                <w:sz w:val="15"/>
                <w:szCs w:val="15"/>
              </w:rPr>
              <w:t xml:space="preserve">Tangential ambiguity along smooth contours; annotation noise and inconsistent sequences</w:t>
            </w:r>
          </w:p>
        </w:tc>
        <w:tc>
          <w:tcPr>
            <w:tcW w:type="dxa" w:w="800"/>
            <w:tcBorders>
              <w:top w:val="single" w:color="C9D2DD" w:sz="3"/>
              <w:left w:val="none" w:color="FFFFFF" w:sz="0"/>
              <w:bottom w:val="single" w:color="C9D2DD" w:sz="3"/>
              <w:right w:val="none" w:color="FFFFFF" w:sz="0"/>
            </w:tcBorders>
            <w:tcMar>
              <w:top w:type="dxa" w:w="55"/>
              <w:left w:type="dxa" w:w="85"/>
              <w:bottom w:type="dxa" w:w="55"/>
              <w:right w:type="dxa" w:w="85"/>
            </w:tcMar>
            <w:vAlign w:val="top"/>
          </w:tcPr>
          <w:p>
            <w:pPr>
              <w:keepNext w:val="false"/>
              <w:spacing w:after="0" w:before="0" w:line="224"/>
              <w:jc w:val="left"/>
            </w:pPr>
            <w:r>
              <w:rPr>
                <w:rFonts w:ascii="Calibri" w:cs="Calibri" w:eastAsia="Calibri" w:hAnsi="Calibri"/>
                <w:b/>
                <w:bCs/>
                <w:i w:val="false"/>
                <w:iCs w:val="false"/>
                <w:caps w:val="false"/>
                <w:color w:val="8A3A12"/>
                <w:sz w:val="15"/>
                <w:szCs w:val="15"/>
              </w:rPr>
              <w:t xml:space="preserve">Medium</w:t>
            </w:r>
          </w:p>
        </w:tc>
        <w:tc>
          <w:tcPr>
            <w:tcW w:type="dxa" w:w="6656"/>
            <w:tcBorders>
              <w:top w:val="single" w:color="C9D2DD" w:sz="3"/>
              <w:left w:val="none" w:color="FFFFFF" w:sz="0"/>
              <w:bottom w:val="single" w:color="C9D2DD" w:sz="3"/>
              <w:right w:val="none" w:color="FFFFFF" w:sz="0"/>
            </w:tcBorders>
            <w:tcMar>
              <w:top w:type="dxa" w:w="55"/>
              <w:left w:type="dxa" w:w="85"/>
              <w:bottom w:type="dxa" w:w="55"/>
              <w:right w:type="dxa" w:w="85"/>
            </w:tcMar>
            <w:vAlign w:val="top"/>
          </w:tcPr>
          <w:p>
            <w:pPr>
              <w:keepNext w:val="false"/>
              <w:spacing w:after="0" w:before="0" w:line="224"/>
              <w:jc w:val="left"/>
            </w:pPr>
            <w:r>
              <w:rPr>
                <w:rFonts w:ascii="Calibri" w:cs="Calibri" w:eastAsia="Calibri" w:hAnsi="Calibri"/>
                <w:b w:val="false"/>
                <w:bCs w:val="false"/>
                <w:i w:val="false"/>
                <w:iCs w:val="false"/>
                <w:caps w:val="false"/>
                <w:color w:val="1A1A1A"/>
                <w:sz w:val="15"/>
                <w:szCs w:val="15"/>
              </w:rPr>
              <w:t xml:space="preserve">Arc-length resampling to the measured protocol plus an auxiliary head predicting the along-contour parameter; Procrustes-based outlier screening; heatmap label smoothing; Huberised ℓ₂ coordinate loss.</w:t>
            </w:r>
          </w:p>
        </w:tc>
      </w:tr>
      <w:tr>
        <w:tc>
          <w:tcPr>
            <w:tcW w:type="dxa" w:w="2850"/>
            <w:tcBorders>
              <w:top w:val="single" w:color="C9D2DD" w:sz="3"/>
              <w:left w:val="none" w:color="FFFFFF" w:sz="0"/>
              <w:bottom w:val="single" w:color="C9D2DD" w:sz="3"/>
              <w:right w:val="none" w:color="FFFFFF" w:sz="0"/>
            </w:tcBorders>
            <w:shd w:fill="F6F8FB" w:color="auto" w:val="clear"/>
            <w:tcMar>
              <w:top w:type="dxa" w:w="55"/>
              <w:left w:type="dxa" w:w="85"/>
              <w:bottom w:type="dxa" w:w="55"/>
              <w:right w:type="dxa" w:w="85"/>
            </w:tcMar>
            <w:vAlign w:val="top"/>
          </w:tcPr>
          <w:p>
            <w:pPr>
              <w:keepNext w:val="false"/>
              <w:spacing w:after="0" w:before="0" w:line="224"/>
              <w:jc w:val="left"/>
            </w:pPr>
            <w:r>
              <w:rPr>
                <w:rFonts w:ascii="Calibri" w:cs="Calibri" w:eastAsia="Calibri" w:hAnsi="Calibri"/>
                <w:b/>
                <w:bCs/>
                <w:i w:val="false"/>
                <w:iCs w:val="false"/>
                <w:caps w:val="false"/>
                <w:color w:val="1A1A1A"/>
                <w:sz w:val="15"/>
                <w:szCs w:val="15"/>
              </w:rPr>
              <w:t xml:space="preserve">NDA and full-dataset access delay</w:t>
            </w:r>
          </w:p>
        </w:tc>
        <w:tc>
          <w:tcPr>
            <w:tcW w:type="dxa" w:w="800"/>
            <w:tcBorders>
              <w:top w:val="single" w:color="C9D2DD" w:sz="3"/>
              <w:left w:val="none" w:color="FFFFFF" w:sz="0"/>
              <w:bottom w:val="single" w:color="C9D2DD" w:sz="3"/>
              <w:right w:val="none" w:color="FFFFFF" w:sz="0"/>
            </w:tcBorders>
            <w:shd w:fill="F6F8FB" w:color="auto" w:val="clear"/>
            <w:tcMar>
              <w:top w:type="dxa" w:w="55"/>
              <w:left w:type="dxa" w:w="85"/>
              <w:bottom w:type="dxa" w:w="55"/>
              <w:right w:type="dxa" w:w="85"/>
            </w:tcMar>
            <w:vAlign w:val="top"/>
          </w:tcPr>
          <w:p>
            <w:pPr>
              <w:keepNext w:val="false"/>
              <w:spacing w:after="0" w:before="0" w:line="224"/>
              <w:jc w:val="left"/>
            </w:pPr>
            <w:r>
              <w:rPr>
                <w:rFonts w:ascii="Calibri" w:cs="Calibri" w:eastAsia="Calibri" w:hAnsi="Calibri"/>
                <w:b/>
                <w:bCs/>
                <w:i w:val="false"/>
                <w:iCs w:val="false"/>
                <w:caps w:val="false"/>
                <w:color w:val="8A3A12"/>
                <w:sz w:val="15"/>
                <w:szCs w:val="15"/>
              </w:rPr>
              <w:t xml:space="preserve">Medium</w:t>
            </w:r>
          </w:p>
        </w:tc>
        <w:tc>
          <w:tcPr>
            <w:tcW w:type="dxa" w:w="6656"/>
            <w:tcBorders>
              <w:top w:val="single" w:color="C9D2DD" w:sz="3"/>
              <w:left w:val="none" w:color="FFFFFF" w:sz="0"/>
              <w:bottom w:val="single" w:color="C9D2DD" w:sz="3"/>
              <w:right w:val="none" w:color="FFFFFF" w:sz="0"/>
            </w:tcBorders>
            <w:shd w:fill="F6F8FB" w:color="auto" w:val="clear"/>
            <w:tcMar>
              <w:top w:type="dxa" w:w="55"/>
              <w:left w:type="dxa" w:w="85"/>
              <w:bottom w:type="dxa" w:w="55"/>
              <w:right w:type="dxa" w:w="85"/>
            </w:tcMar>
            <w:vAlign w:val="top"/>
          </w:tcPr>
          <w:p>
            <w:pPr>
              <w:keepNext w:val="false"/>
              <w:spacing w:after="0" w:before="0" w:line="224"/>
              <w:jc w:val="left"/>
            </w:pPr>
            <w:r>
              <w:rPr>
                <w:rFonts w:ascii="Calibri" w:cs="Calibri" w:eastAsia="Calibri" w:hAnsi="Calibri"/>
                <w:b w:val="false"/>
                <w:bCs w:val="false"/>
                <w:i w:val="false"/>
                <w:iCs w:val="false"/>
                <w:caps w:val="false"/>
                <w:color w:val="1A1A1A"/>
                <w:sz w:val="15"/>
                <w:szCs w:val="15"/>
              </w:rPr>
              <w:t xml:space="preserve">Build and unit-test the entire pipeline on the provided sample plus public ear data (York Ear Model [5], SYMARE, HUTUBS, AudioEar [7]) with synthetic labels, so real data can be swapped in on day one of access.</w:t>
            </w:r>
          </w:p>
        </w:tc>
      </w:tr>
      <w:tr>
        <w:tc>
          <w:tcPr>
            <w:tcW w:type="dxa" w:w="2850"/>
            <w:tcBorders>
              <w:top w:val="single" w:color="C9D2DD" w:sz="3"/>
              <w:left w:val="none" w:color="FFFFFF" w:sz="0"/>
              <w:bottom w:val="single" w:color="C9D2DD" w:sz="3"/>
              <w:right w:val="none" w:color="FFFFFF" w:sz="0"/>
            </w:tcBorders>
            <w:tcMar>
              <w:top w:type="dxa" w:w="55"/>
              <w:left w:type="dxa" w:w="85"/>
              <w:bottom w:type="dxa" w:w="55"/>
              <w:right w:type="dxa" w:w="85"/>
            </w:tcMar>
            <w:vAlign w:val="top"/>
          </w:tcPr>
          <w:p>
            <w:pPr>
              <w:keepNext w:val="false"/>
              <w:spacing w:after="0" w:before="0" w:line="224"/>
              <w:jc w:val="left"/>
            </w:pPr>
            <w:r>
              <w:rPr>
                <w:rFonts w:ascii="Calibri" w:cs="Calibri" w:eastAsia="Calibri" w:hAnsi="Calibri"/>
                <w:b/>
                <w:bCs/>
                <w:i w:val="false"/>
                <w:iCs w:val="false"/>
                <w:caps w:val="false"/>
                <w:color w:val="1A1A1A"/>
                <w:sz w:val="15"/>
                <w:szCs w:val="15"/>
              </w:rPr>
              <w:t xml:space="preserve">Compute: 200 meshes at ≈366 k vertices each</w:t>
            </w:r>
          </w:p>
        </w:tc>
        <w:tc>
          <w:tcPr>
            <w:tcW w:type="dxa" w:w="800"/>
            <w:tcBorders>
              <w:top w:val="single" w:color="C9D2DD" w:sz="3"/>
              <w:left w:val="none" w:color="FFFFFF" w:sz="0"/>
              <w:bottom w:val="single" w:color="C9D2DD" w:sz="3"/>
              <w:right w:val="none" w:color="FFFFFF" w:sz="0"/>
            </w:tcBorders>
            <w:tcMar>
              <w:top w:type="dxa" w:w="55"/>
              <w:left w:type="dxa" w:w="85"/>
              <w:bottom w:type="dxa" w:w="55"/>
              <w:right w:type="dxa" w:w="85"/>
            </w:tcMar>
            <w:vAlign w:val="top"/>
          </w:tcPr>
          <w:p>
            <w:pPr>
              <w:keepNext w:val="false"/>
              <w:spacing w:after="0" w:before="0" w:line="224"/>
              <w:jc w:val="left"/>
            </w:pPr>
            <w:r>
              <w:rPr>
                <w:rFonts w:ascii="Calibri" w:cs="Calibri" w:eastAsia="Calibri" w:hAnsi="Calibri"/>
                <w:b/>
                <w:bCs/>
                <w:i w:val="false"/>
                <w:iCs w:val="false"/>
                <w:caps w:val="false"/>
                <w:color w:val="8A3A12"/>
                <w:sz w:val="15"/>
                <w:szCs w:val="15"/>
              </w:rPr>
              <w:t xml:space="preserve">Low–Med</w:t>
            </w:r>
          </w:p>
        </w:tc>
        <w:tc>
          <w:tcPr>
            <w:tcW w:type="dxa" w:w="6656"/>
            <w:tcBorders>
              <w:top w:val="single" w:color="C9D2DD" w:sz="3"/>
              <w:left w:val="none" w:color="FFFFFF" w:sz="0"/>
              <w:bottom w:val="single" w:color="C9D2DD" w:sz="3"/>
              <w:right w:val="none" w:color="FFFFFF" w:sz="0"/>
            </w:tcBorders>
            <w:tcMar>
              <w:top w:type="dxa" w:w="55"/>
              <w:left w:type="dxa" w:w="85"/>
              <w:bottom w:type="dxa" w:w="55"/>
              <w:right w:type="dxa" w:w="85"/>
            </w:tcMar>
            <w:vAlign w:val="top"/>
          </w:tcPr>
          <w:p>
            <w:pPr>
              <w:keepNext w:val="false"/>
              <w:spacing w:after="0" w:before="0" w:line="224"/>
              <w:jc w:val="left"/>
            </w:pPr>
            <w:r>
              <w:rPr>
                <w:rFonts w:ascii="Calibri" w:cs="Calibri" w:eastAsia="Calibri" w:hAnsi="Calibri"/>
                <w:b w:val="false"/>
                <w:bCs w:val="false"/>
                <w:i w:val="false"/>
                <w:iCs w:val="false"/>
                <w:caps w:val="false"/>
                <w:color w:val="1A1A1A"/>
                <w:sz w:val="15"/>
                <w:szCs w:val="15"/>
              </w:rPr>
              <w:t xml:space="preserve">Preprocess once and cache ROI clouds as .npz; O(N) voxel downsampling before any FPS; 24 k points is ample once the ROI is cropped.</w:t>
            </w:r>
          </w:p>
        </w:tc>
      </w:tr>
    </w:tbl>
    <w:p>
      <w:pPr>
        <w:keepNext/>
        <w:pBdr>
          <w:bottom w:val="single" w:color="9AA7B8" w:sz="6" w:space="3"/>
        </w:pBdr>
        <w:spacing w:after="90" w:before="190"/>
      </w:pPr>
      <w:r>
        <w:rPr>
          <w:rFonts w:ascii="Calibri" w:cs="Calibri" w:eastAsia="Calibri" w:hAnsi="Calibri"/>
          <w:b/>
          <w:bCs/>
          <w:i w:val="false"/>
          <w:iCs w:val="false"/>
          <w:caps w:val="false"/>
          <w:color w:val="12213A"/>
          <w:sz w:val="22"/>
          <w:szCs w:val="22"/>
        </w:rPr>
        <w:t xml:space="preserve">5  </w:t>
      </w:r>
      <w:r>
        <w:rPr>
          <w:rFonts w:ascii="Calibri" w:cs="Calibri" w:eastAsia="Calibri" w:hAnsi="Calibri"/>
          <w:b/>
          <w:bCs/>
          <w:i w:val="false"/>
          <w:iCs w:val="false"/>
          <w:caps w:val="false"/>
          <w:color w:val="12213A"/>
          <w:sz w:val="22"/>
          <w:szCs w:val="22"/>
        </w:rPr>
        <w:t xml:space="preserve">Other Notes and Questions for the Organisers</w:t>
      </w:r>
    </w:p>
    <w:p>
      <w:pPr>
        <w:keepNext w:val="false"/>
        <w:spacing w:after="55" w:before="0" w:line="232"/>
        <w:jc w:val="both"/>
      </w:pPr>
      <w:r>
        <w:rPr>
          <w:rFonts w:ascii="Calibri" w:cs="Calibri" w:eastAsia="Calibri" w:hAnsi="Calibri"/>
          <w:b/>
          <w:bCs/>
          <w:i w:val="false"/>
          <w:iCs w:val="false"/>
          <w:caps w:val="false"/>
          <w:color w:val="1A1A1A"/>
          <w:sz w:val="18"/>
          <w:szCs w:val="18"/>
        </w:rPr>
        <w:t xml:space="preserve">Assumptions. </w:t>
      </w:r>
      <w:r>
        <w:rPr>
          <w:rFonts w:ascii="Calibri" w:cs="Calibri" w:eastAsia="Calibri" w:hAnsi="Calibri"/>
          <w:b w:val="false"/>
          <w:bCs w:val="false"/>
          <w:i w:val="false"/>
          <w:iCs w:val="false"/>
          <w:caps w:val="false"/>
          <w:color w:val="1A1A1A"/>
          <w:sz w:val="18"/>
          <w:szCs w:val="18"/>
        </w:rPr>
        <w:t xml:space="preserve">Test meshes are delivered pre-aligned in the same interaural frame, in millimetres, with the same cleaning and hole-filling as the training set; MD is computed on raw submitted coordinates with no per-landmark weighting.</w:t>
      </w:r>
    </w:p>
    <w:p>
      <w:pPr>
        <w:keepNext w:val="false"/>
        <w:spacing w:after="44" w:before="0" w:line="232"/>
        <w:ind w:left="200" w:hanging="200"/>
        <w:jc w:val="both"/>
      </w:pPr>
      <w:r>
        <w:rPr>
          <w:rFonts w:ascii="Calibri" w:cs="Calibri" w:eastAsia="Calibri" w:hAnsi="Calibri"/>
          <w:b/>
          <w:bCs/>
          <w:i w:val="false"/>
          <w:iCs w:val="false"/>
          <w:caps w:val="false"/>
          <w:color w:val="1A1A1A"/>
          <w:sz w:val="18"/>
          <w:szCs w:val="18"/>
        </w:rPr>
        <w:t xml:space="preserve">1.  </w:t>
      </w:r>
      <w:r>
        <w:rPr>
          <w:rFonts w:ascii="Calibri" w:cs="Calibri" w:eastAsia="Calibri" w:hAnsi="Calibri"/>
          <w:b w:val="false"/>
          <w:bCs w:val="false"/>
          <w:i w:val="false"/>
          <w:iCs w:val="false"/>
          <w:caps w:val="false"/>
          <w:color w:val="1A1A1A"/>
          <w:sz w:val="18"/>
          <w:szCs w:val="18"/>
        </w:rPr>
        <w:t xml:space="preserve">Do the ground-truth landmarks lie exactly on the mesh surface? This determines whether barycentric surface projection is a free accuracy gain or a source of systematic bias.</w:t>
      </w:r>
    </w:p>
    <w:p>
      <w:pPr>
        <w:keepNext w:val="false"/>
        <w:spacing w:after="44" w:before="0" w:line="232"/>
        <w:ind w:left="200" w:hanging="200"/>
        <w:jc w:val="both"/>
      </w:pPr>
      <w:r>
        <w:rPr>
          <w:rFonts w:ascii="Calibri" w:cs="Calibri" w:eastAsia="Calibri" w:hAnsi="Calibri"/>
          <w:b/>
          <w:bCs/>
          <w:i w:val="false"/>
          <w:iCs w:val="false"/>
          <w:caps w:val="false"/>
          <w:color w:val="1A1A1A"/>
          <w:sz w:val="18"/>
          <w:szCs w:val="18"/>
        </w:rPr>
        <w:t xml:space="preserve">2.  </w:t>
      </w:r>
      <w:r>
        <w:rPr>
          <w:rFonts w:ascii="Calibri" w:cs="Calibri" w:eastAsia="Calibri" w:hAnsi="Calibri"/>
          <w:b w:val="false"/>
          <w:bCs w:val="false"/>
          <w:i w:val="false"/>
          <w:iCs w:val="false"/>
          <w:caps w:val="false"/>
          <w:color w:val="1A1A1A"/>
          <w:sz w:val="18"/>
          <w:szCs w:val="18"/>
        </w:rPr>
        <w:t xml:space="preserve">What is the inter- and intra-annotator variability in millimetres? It sets the achievable floor and tells us how much residual error is worth chasing.</w:t>
      </w:r>
    </w:p>
    <w:p>
      <w:pPr>
        <w:keepNext w:val="false"/>
        <w:spacing w:after="44" w:before="0" w:line="232"/>
        <w:ind w:left="200" w:hanging="200"/>
        <w:jc w:val="both"/>
      </w:pPr>
      <w:r>
        <w:rPr>
          <w:rFonts w:ascii="Calibri" w:cs="Calibri" w:eastAsia="Calibri" w:hAnsi="Calibri"/>
          <w:b/>
          <w:bCs/>
          <w:i w:val="false"/>
          <w:iCs w:val="false"/>
          <w:caps w:val="false"/>
          <w:color w:val="1A1A1A"/>
          <w:sz w:val="18"/>
          <w:szCs w:val="18"/>
        </w:rPr>
        <w:t xml:space="preserve">3.  </w:t>
      </w:r>
      <w:r>
        <w:rPr>
          <w:rFonts w:ascii="Calibri" w:cs="Calibri" w:eastAsia="Calibri" w:hAnsi="Calibri"/>
          <w:b w:val="false"/>
          <w:bCs w:val="false"/>
          <w:i w:val="false"/>
          <w:iCs w:val="false"/>
          <w:caps w:val="false"/>
          <w:color w:val="1A1A1A"/>
          <w:sz w:val="18"/>
          <w:szCs w:val="18"/>
        </w:rPr>
        <w:t xml:space="preserve">Along each contour, are points spaced uniformly in arc length or anchored to semantic features? Which anatomical end is index 0, and is the traversal direction identical for left and right ears?</w:t>
      </w:r>
    </w:p>
    <w:p>
      <w:pPr>
        <w:keepNext w:val="false"/>
        <w:spacing w:after="44" w:before="0" w:line="232"/>
        <w:ind w:left="200" w:hanging="200"/>
        <w:jc w:val="both"/>
      </w:pPr>
      <w:r>
        <w:rPr>
          <w:rFonts w:ascii="Calibri" w:cs="Calibri" w:eastAsia="Calibri" w:hAnsi="Calibri"/>
          <w:b/>
          <w:bCs/>
          <w:i w:val="false"/>
          <w:iCs w:val="false"/>
          <w:caps w:val="false"/>
          <w:color w:val="1A1A1A"/>
          <w:sz w:val="18"/>
          <w:szCs w:val="18"/>
        </w:rPr>
        <w:t xml:space="preserve">4.  </w:t>
      </w:r>
      <w:r>
        <w:rPr>
          <w:rFonts w:ascii="Calibri" w:cs="Calibri" w:eastAsia="Calibri" w:hAnsi="Calibri"/>
          <w:b w:val="false"/>
          <w:bCs w:val="false"/>
          <w:i w:val="false"/>
          <w:iCs w:val="false"/>
          <w:caps w:val="false"/>
          <w:color w:val="1A1A1A"/>
          <w:sz w:val="18"/>
          <w:szCs w:val="18"/>
        </w:rPr>
        <w:t xml:space="preserve">Is the held-out test set drawn from the same 200 subjects and the same EinScan Pro 2X protocol, or does it include a different scanner, preprocessing or demographic?</w:t>
      </w:r>
    </w:p>
    <w:p>
      <w:pPr>
        <w:keepNext w:val="false"/>
        <w:spacing w:after="44" w:before="0" w:line="232"/>
        <w:ind w:left="200" w:hanging="200"/>
        <w:jc w:val="both"/>
      </w:pPr>
      <w:r>
        <w:rPr>
          <w:rFonts w:ascii="Calibri" w:cs="Calibri" w:eastAsia="Calibri" w:hAnsi="Calibri"/>
          <w:b/>
          <w:bCs/>
          <w:i w:val="false"/>
          <w:iCs w:val="false"/>
          <w:caps w:val="false"/>
          <w:color w:val="1A1A1A"/>
          <w:sz w:val="18"/>
          <w:szCs w:val="18"/>
        </w:rPr>
        <w:t xml:space="preserve">5.  </w:t>
      </w:r>
      <w:r>
        <w:rPr>
          <w:rFonts w:ascii="Calibri" w:cs="Calibri" w:eastAsia="Calibri" w:hAnsi="Calibri"/>
          <w:b w:val="false"/>
          <w:bCs w:val="false"/>
          <w:i w:val="false"/>
          <w:iCs w:val="false"/>
          <w:caps w:val="false"/>
          <w:color w:val="1A1A1A"/>
          <w:sz w:val="18"/>
          <w:szCs w:val="18"/>
        </w:rPr>
        <w:t xml:space="preserve">Is external data permitted, including publicly released pre-trained ear models such as the York Ear Model?</w:t>
      </w:r>
    </w:p>
    <w:p>
      <w:pPr>
        <w:keepNext w:val="false"/>
        <w:spacing w:after="44" w:before="0" w:line="232"/>
        <w:ind w:left="200" w:hanging="200"/>
        <w:jc w:val="both"/>
      </w:pPr>
      <w:r>
        <w:rPr>
          <w:rFonts w:ascii="Calibri" w:cs="Calibri" w:eastAsia="Calibri" w:hAnsi="Calibri"/>
          <w:b/>
          <w:bCs/>
          <w:i w:val="false"/>
          <w:iCs w:val="false"/>
          <w:caps w:val="false"/>
          <w:color w:val="1A1A1A"/>
          <w:sz w:val="18"/>
          <w:szCs w:val="18"/>
        </w:rPr>
        <w:t xml:space="preserve">6.  </w:t>
      </w:r>
      <w:r>
        <w:rPr>
          <w:rFonts w:ascii="Calibri" w:cs="Calibri" w:eastAsia="Calibri" w:hAnsi="Calibri"/>
          <w:b w:val="false"/>
          <w:bCs w:val="false"/>
          <w:i w:val="false"/>
          <w:iCs w:val="false"/>
          <w:caps w:val="false"/>
          <w:color w:val="1A1A1A"/>
          <w:sz w:val="18"/>
          <w:szCs w:val="18"/>
        </w:rPr>
        <w:t xml:space="preserve">Are there inference runtime, memory or model-size limits, and is test-time ensembling allowed?</w:t>
      </w:r>
    </w:p>
    <w:p>
      <w:pPr>
        <w:keepNext w:val="false"/>
        <w:spacing w:after="44" w:before="0" w:line="232"/>
        <w:ind w:left="200" w:hanging="200"/>
        <w:jc w:val="both"/>
      </w:pPr>
      <w:r>
        <w:rPr>
          <w:rFonts w:ascii="Calibri" w:cs="Calibri" w:eastAsia="Calibri" w:hAnsi="Calibri"/>
          <w:b/>
          <w:bCs/>
          <w:i w:val="false"/>
          <w:iCs w:val="false"/>
          <w:caps w:val="false"/>
          <w:color w:val="1A1A1A"/>
          <w:sz w:val="18"/>
          <w:szCs w:val="18"/>
        </w:rPr>
        <w:t xml:space="preserve">7.  </w:t>
      </w:r>
      <w:r>
        <w:rPr>
          <w:rFonts w:ascii="Calibri" w:cs="Calibri" w:eastAsia="Calibri" w:hAnsi="Calibri"/>
          <w:b w:val="false"/>
          <w:bCs w:val="false"/>
          <w:i w:val="false"/>
          <w:iCs w:val="false"/>
          <w:caps w:val="false"/>
          <w:color w:val="1A1A1A"/>
          <w:sz w:val="18"/>
          <w:szCs w:val="18"/>
        </w:rPr>
        <w:t xml:space="preserve">Are subject demographics (age, sex, ancestry) available, so we can stratify cross-validation and report bias across groups?</w:t>
      </w:r>
    </w:p>
    <w:p>
      <w:pPr>
        <w:keepNext/>
        <w:pBdr>
          <w:bottom w:val="single" w:color="9AA7B8" w:sz="6" w:space="3"/>
        </w:pBdr>
        <w:spacing w:after="90" w:before="190"/>
      </w:pPr>
      <w:r>
        <w:rPr>
          <w:rFonts w:ascii="Calibri" w:cs="Calibri" w:eastAsia="Calibri" w:hAnsi="Calibri"/>
          <w:b/>
          <w:bCs/>
          <w:i w:val="false"/>
          <w:iCs w:val="false"/>
          <w:caps w:val="false"/>
          <w:color w:val="12213A"/>
          <w:sz w:val="22"/>
          <w:szCs w:val="22"/>
        </w:rPr>
        <w:t xml:space="preserve">6  </w:t>
      </w:r>
      <w:r>
        <w:rPr>
          <w:rFonts w:ascii="Calibri" w:cs="Calibri" w:eastAsia="Calibri" w:hAnsi="Calibri"/>
          <w:b/>
          <w:bCs/>
          <w:i w:val="false"/>
          <w:iCs w:val="false"/>
          <w:caps w:val="false"/>
          <w:color w:val="12213A"/>
          <w:sz w:val="22"/>
          <w:szCs w:val="22"/>
        </w:rPr>
        <w:t xml:space="preserve">References</w:t>
      </w:r>
    </w:p>
    <w:p>
      <w:pPr>
        <w:keepNext w:val="false"/>
        <w:spacing w:after="22" w:before="0" w:line="210"/>
        <w:ind w:left="250" w:hanging="250"/>
        <w:jc w:val="left"/>
      </w:pPr>
      <w:r>
        <w:rPr>
          <w:rFonts w:ascii="Calibri" w:cs="Calibri" w:eastAsia="Calibri" w:hAnsi="Calibri"/>
          <w:b/>
          <w:bCs/>
          <w:i w:val="false"/>
          <w:iCs w:val="false"/>
          <w:caps w:val="false"/>
          <w:color w:val="1A1A1A"/>
          <w:sz w:val="14"/>
          <w:szCs w:val="14"/>
        </w:rPr>
        <w:t xml:space="preserve">[1]  </w:t>
      </w:r>
      <w:r>
        <w:rPr>
          <w:rFonts w:ascii="Calibri" w:cs="Calibri" w:eastAsia="Calibri" w:hAnsi="Calibri"/>
          <w:b w:val="false"/>
          <w:bCs w:val="false"/>
          <w:i w:val="false"/>
          <w:iCs w:val="false"/>
          <w:caps w:val="false"/>
          <w:color w:val="1A1A1A"/>
          <w:sz w:val="14"/>
          <w:szCs w:val="14"/>
        </w:rPr>
        <w:t xml:space="preserve">O’Sullivan, E. &amp; Zafeiriou, S. 3D Landmark Localization in Point Clouds for the Human Ear. IEEE FG 2020, 402–406. ieeexplore.ieee.org/document/9320194</w:t>
      </w:r>
    </w:p>
    <w:p>
      <w:pPr>
        <w:keepNext w:val="false"/>
        <w:spacing w:after="22" w:before="0" w:line="210"/>
        <w:ind w:left="250" w:hanging="250"/>
        <w:jc w:val="left"/>
      </w:pPr>
      <w:r>
        <w:rPr>
          <w:rFonts w:ascii="Calibri" w:cs="Calibri" w:eastAsia="Calibri" w:hAnsi="Calibri"/>
          <w:b/>
          <w:bCs/>
          <w:i w:val="false"/>
          <w:iCs w:val="false"/>
          <w:caps w:val="false"/>
          <w:color w:val="1A1A1A"/>
          <w:sz w:val="14"/>
          <w:szCs w:val="14"/>
        </w:rPr>
        <w:t xml:space="preserve">[2]  </w:t>
      </w:r>
      <w:r>
        <w:rPr>
          <w:rFonts w:ascii="Calibri" w:cs="Calibri" w:eastAsia="Calibri" w:hAnsi="Calibri"/>
          <w:b w:val="false"/>
          <w:bCs w:val="false"/>
          <w:i w:val="false"/>
          <w:iCs w:val="false"/>
          <w:caps w:val="false"/>
          <w:color w:val="1A1A1A"/>
          <w:sz w:val="14"/>
          <w:szCs w:val="14"/>
        </w:rPr>
        <w:t xml:space="preserve">Wu, X. et al. Point Transformer V3: Simpler, Faster, Stronger. CVPR 2024. arXiv:2312.10035</w:t>
      </w:r>
    </w:p>
    <w:p>
      <w:pPr>
        <w:keepNext w:val="false"/>
        <w:spacing w:after="22" w:before="0" w:line="210"/>
        <w:ind w:left="250" w:hanging="250"/>
        <w:jc w:val="left"/>
      </w:pPr>
      <w:r>
        <w:rPr>
          <w:rFonts w:ascii="Calibri" w:cs="Calibri" w:eastAsia="Calibri" w:hAnsi="Calibri"/>
          <w:b/>
          <w:bCs/>
          <w:i w:val="false"/>
          <w:iCs w:val="false"/>
          <w:caps w:val="false"/>
          <w:color w:val="1A1A1A"/>
          <w:sz w:val="14"/>
          <w:szCs w:val="14"/>
        </w:rPr>
        <w:t xml:space="preserve">[3]  </w:t>
      </w:r>
      <w:r>
        <w:rPr>
          <w:rFonts w:ascii="Calibri" w:cs="Calibri" w:eastAsia="Calibri" w:hAnsi="Calibri"/>
          <w:b w:val="false"/>
          <w:bCs w:val="false"/>
          <w:i w:val="false"/>
          <w:iCs w:val="false"/>
          <w:caps w:val="false"/>
          <w:color w:val="1A1A1A"/>
          <w:sz w:val="14"/>
          <w:szCs w:val="14"/>
        </w:rPr>
        <w:t xml:space="preserve">Kubík, T. et al. Leveraging Point Transformers for Detecting Anatomical Landmarks in Digital Dentistry. MICCAI 2024 Challenges, LNCS 15571, Springer 2025. arXiv:2504.11418</w:t>
      </w:r>
    </w:p>
    <w:p>
      <w:pPr>
        <w:keepNext w:val="false"/>
        <w:spacing w:after="22" w:before="0" w:line="210"/>
        <w:ind w:left="250" w:hanging="250"/>
        <w:jc w:val="left"/>
      </w:pPr>
      <w:r>
        <w:rPr>
          <w:rFonts w:ascii="Calibri" w:cs="Calibri" w:eastAsia="Calibri" w:hAnsi="Calibri"/>
          <w:b/>
          <w:bCs/>
          <w:i w:val="false"/>
          <w:iCs w:val="false"/>
          <w:caps w:val="false"/>
          <w:color w:val="1A1A1A"/>
          <w:sz w:val="14"/>
          <w:szCs w:val="14"/>
        </w:rPr>
        <w:t xml:space="preserve">[4]  </w:t>
      </w:r>
      <w:r>
        <w:rPr>
          <w:rFonts w:ascii="Calibri" w:cs="Calibri" w:eastAsia="Calibri" w:hAnsi="Calibri"/>
          <w:b w:val="false"/>
          <w:bCs w:val="false"/>
          <w:i w:val="false"/>
          <w:iCs w:val="false"/>
          <w:caps w:val="false"/>
          <w:color w:val="1A1A1A"/>
          <w:sz w:val="14"/>
          <w:szCs w:val="14"/>
        </w:rPr>
        <w:t xml:space="preserve">Zhang, F. et al. 3D Landmark Detection on Human Point Clouds: A Benchmark and a Dual Cascade Point Transformer Framework (D-CPT). Expert Systems with Applications, 2025. arXiv:2401.07251</w:t>
      </w:r>
    </w:p>
    <w:p>
      <w:pPr>
        <w:keepNext w:val="false"/>
        <w:spacing w:after="22" w:before="0" w:line="210"/>
        <w:ind w:left="250" w:hanging="250"/>
        <w:jc w:val="left"/>
      </w:pPr>
      <w:r>
        <w:rPr>
          <w:rFonts w:ascii="Calibri" w:cs="Calibri" w:eastAsia="Calibri" w:hAnsi="Calibri"/>
          <w:b/>
          <w:bCs/>
          <w:i w:val="false"/>
          <w:iCs w:val="false"/>
          <w:caps w:val="false"/>
          <w:color w:val="1A1A1A"/>
          <w:sz w:val="14"/>
          <w:szCs w:val="14"/>
        </w:rPr>
        <w:t xml:space="preserve">[5]  </w:t>
      </w:r>
      <w:r>
        <w:rPr>
          <w:rFonts w:ascii="Calibri" w:cs="Calibri" w:eastAsia="Calibri" w:hAnsi="Calibri"/>
          <w:b w:val="false"/>
          <w:bCs w:val="false"/>
          <w:i w:val="false"/>
          <w:iCs w:val="false"/>
          <w:caps w:val="false"/>
          <w:color w:val="1A1A1A"/>
          <w:sz w:val="14"/>
          <w:szCs w:val="14"/>
        </w:rPr>
        <w:t xml:space="preserve">Dai, H., Pears, N. &amp; Smith, W. A Data-Augmented 3D Morphable Model of the Ear. IEEE FG 2018, 404–408; extended as Augmenting a 3D Morphable Model of the Human Head with High Resolution Ears, Pattern Recognition Letters 128, 2019. doi:10.1016/j.patrec.2019.09.026</w:t>
      </w:r>
    </w:p>
    <w:p>
      <w:pPr>
        <w:keepNext w:val="false"/>
        <w:spacing w:after="22" w:before="0" w:line="210"/>
        <w:ind w:left="250" w:hanging="250"/>
        <w:jc w:val="left"/>
      </w:pPr>
      <w:r>
        <w:rPr>
          <w:rFonts w:ascii="Calibri" w:cs="Calibri" w:eastAsia="Calibri" w:hAnsi="Calibri"/>
          <w:b/>
          <w:bCs/>
          <w:i w:val="false"/>
          <w:iCs w:val="false"/>
          <w:caps w:val="false"/>
          <w:color w:val="1A1A1A"/>
          <w:sz w:val="14"/>
          <w:szCs w:val="14"/>
        </w:rPr>
        <w:t xml:space="preserve">[6]  </w:t>
      </w:r>
      <w:r>
        <w:rPr>
          <w:rFonts w:ascii="Calibri" w:cs="Calibri" w:eastAsia="Calibri" w:hAnsi="Calibri"/>
          <w:b w:val="false"/>
          <w:bCs w:val="false"/>
          <w:i w:val="false"/>
          <w:iCs w:val="false"/>
          <w:caps w:val="false"/>
          <w:color w:val="1A1A1A"/>
          <w:sz w:val="14"/>
          <w:szCs w:val="14"/>
        </w:rPr>
        <w:t xml:space="preserve">Pausch, F., Perfler, F., Holighaus, N. &amp; Majdak, P. Prediction of Parameters of a Pinna Model from Synthetic Geometries Using a Vision Transformer (Mesh2PPM). J. Acoust. Soc. Am. 159(6), 5578–5598, 2026. doi:10.1121/10.0043919</w:t>
      </w:r>
    </w:p>
    <w:p>
      <w:pPr>
        <w:keepNext w:val="false"/>
        <w:spacing w:after="22" w:before="0" w:line="210"/>
        <w:ind w:left="250" w:hanging="250"/>
        <w:jc w:val="left"/>
      </w:pPr>
      <w:r>
        <w:rPr>
          <w:rFonts w:ascii="Calibri" w:cs="Calibri" w:eastAsia="Calibri" w:hAnsi="Calibri"/>
          <w:b/>
          <w:bCs/>
          <w:i w:val="false"/>
          <w:iCs w:val="false"/>
          <w:caps w:val="false"/>
          <w:color w:val="1A1A1A"/>
          <w:sz w:val="14"/>
          <w:szCs w:val="14"/>
        </w:rPr>
        <w:t xml:space="preserve">[7]  </w:t>
      </w:r>
      <w:r>
        <w:rPr>
          <w:rFonts w:ascii="Calibri" w:cs="Calibri" w:eastAsia="Calibri" w:hAnsi="Calibri"/>
          <w:b w:val="false"/>
          <w:bCs w:val="false"/>
          <w:i w:val="false"/>
          <w:iCs w:val="false"/>
          <w:caps w:val="false"/>
          <w:color w:val="1A1A1A"/>
          <w:sz w:val="14"/>
          <w:szCs w:val="14"/>
        </w:rPr>
        <w:t xml:space="preserve">Perfler, F. et al. Parametric Model of the Human Pinna Based on Bézier Curves and Concave Deformations (BezierPPM). Computers in Biology and Medicine 188, 2025. doi:10.1016/j.compbiomed.2025.109817</w:t>
      </w:r>
    </w:p>
    <w:p>
      <w:pPr>
        <w:keepNext w:val="false"/>
        <w:spacing w:after="22" w:before="0" w:line="210"/>
        <w:ind w:left="250" w:hanging="250"/>
        <w:jc w:val="left"/>
      </w:pPr>
      <w:r>
        <w:rPr>
          <w:rFonts w:ascii="Calibri" w:cs="Calibri" w:eastAsia="Calibri" w:hAnsi="Calibri"/>
          <w:b/>
          <w:bCs/>
          <w:i w:val="false"/>
          <w:iCs w:val="false"/>
          <w:caps w:val="false"/>
          <w:color w:val="1A1A1A"/>
          <w:sz w:val="14"/>
          <w:szCs w:val="14"/>
        </w:rPr>
        <w:t xml:space="preserve">[8]  </w:t>
      </w:r>
      <w:r>
        <w:rPr>
          <w:rFonts w:ascii="Calibri" w:cs="Calibri" w:eastAsia="Calibri" w:hAnsi="Calibri"/>
          <w:b w:val="false"/>
          <w:bCs w:val="false"/>
          <w:i w:val="false"/>
          <w:iCs w:val="false"/>
          <w:caps w:val="false"/>
          <w:color w:val="1A1A1A"/>
          <w:sz w:val="14"/>
          <w:szCs w:val="14"/>
        </w:rPr>
        <w:t xml:space="preserve">Sun, K. et al. Deep High-Resolution Representation Learning for Human Pose Estimation (HRNet). CVPR 2019. arXiv:1902.09212</w:t>
      </w:r>
    </w:p>
    <w:p>
      <w:pPr>
        <w:keepNext w:val="false"/>
        <w:spacing w:after="22" w:before="0" w:line="210"/>
        <w:ind w:left="250" w:hanging="250"/>
        <w:jc w:val="left"/>
      </w:pPr>
      <w:r>
        <w:rPr>
          <w:rFonts w:ascii="Calibri" w:cs="Calibri" w:eastAsia="Calibri" w:hAnsi="Calibri"/>
          <w:b/>
          <w:bCs/>
          <w:i w:val="false"/>
          <w:iCs w:val="false"/>
          <w:caps w:val="false"/>
          <w:color w:val="1A1A1A"/>
          <w:sz w:val="14"/>
          <w:szCs w:val="14"/>
        </w:rPr>
        <w:t xml:space="preserve">[9]  </w:t>
      </w:r>
      <w:r>
        <w:rPr>
          <w:rFonts w:ascii="Calibri" w:cs="Calibri" w:eastAsia="Calibri" w:hAnsi="Calibri"/>
          <w:b w:val="false"/>
          <w:bCs w:val="false"/>
          <w:i w:val="false"/>
          <w:iCs w:val="false"/>
          <w:caps w:val="false"/>
          <w:color w:val="1A1A1A"/>
          <w:sz w:val="14"/>
          <w:szCs w:val="14"/>
        </w:rPr>
        <w:t xml:space="preserve">Sun, X. et al. Integral Human Pose Regression (soft-argmax). ECCV 2018. arXiv:1711.08229</w:t>
      </w:r>
    </w:p>
    <w:p>
      <w:pPr>
        <w:keepNext w:val="false"/>
        <w:spacing w:after="22" w:before="0" w:line="210"/>
        <w:ind w:left="250" w:hanging="250"/>
        <w:jc w:val="left"/>
      </w:pPr>
      <w:r>
        <w:rPr>
          <w:rFonts w:ascii="Calibri" w:cs="Calibri" w:eastAsia="Calibri" w:hAnsi="Calibri"/>
          <w:b/>
          <w:bCs/>
          <w:i w:val="false"/>
          <w:iCs w:val="false"/>
          <w:caps w:val="false"/>
          <w:color w:val="1A1A1A"/>
          <w:sz w:val="14"/>
          <w:szCs w:val="14"/>
        </w:rPr>
        <w:t xml:space="preserve">[10]  </w:t>
      </w:r>
      <w:r>
        <w:rPr>
          <w:rFonts w:ascii="Calibri" w:cs="Calibri" w:eastAsia="Calibri" w:hAnsi="Calibri"/>
          <w:b w:val="false"/>
          <w:bCs w:val="false"/>
          <w:i w:val="false"/>
          <w:iCs w:val="false"/>
          <w:caps w:val="false"/>
          <w:color w:val="1A1A1A"/>
          <w:sz w:val="14"/>
          <w:szCs w:val="14"/>
        </w:rPr>
        <w:t xml:space="preserve">Kendall, A. &amp; Gal, Y. What Uncertainties Do We Need in Bayesian Deep Learning for Computer Vision? NeurIPS 2017. arXiv:1703.04977</w:t>
      </w:r>
    </w:p>
    <w:p>
      <w:pPr>
        <w:keepNext w:val="false"/>
        <w:spacing w:after="22" w:before="0" w:line="210"/>
        <w:ind w:left="250" w:hanging="250"/>
        <w:jc w:val="left"/>
      </w:pPr>
      <w:r>
        <w:rPr>
          <w:rFonts w:ascii="Calibri" w:cs="Calibri" w:eastAsia="Calibri" w:hAnsi="Calibri"/>
          <w:b/>
          <w:bCs/>
          <w:i w:val="false"/>
          <w:iCs w:val="false"/>
          <w:caps w:val="false"/>
          <w:color w:val="1A1A1A"/>
          <w:sz w:val="14"/>
          <w:szCs w:val="14"/>
        </w:rPr>
        <w:t xml:space="preserve">[11]  </w:t>
      </w:r>
      <w:r>
        <w:rPr>
          <w:rFonts w:ascii="Calibri" w:cs="Calibri" w:eastAsia="Calibri" w:hAnsi="Calibri"/>
          <w:b w:val="false"/>
          <w:bCs w:val="false"/>
          <w:i w:val="false"/>
          <w:iCs w:val="false"/>
          <w:caps w:val="false"/>
          <w:color w:val="1A1A1A"/>
          <w:sz w:val="14"/>
          <w:szCs w:val="14"/>
        </w:rPr>
        <w:t xml:space="preserve">Bookstein, F. L. Principal Warps: Thin-Plate Splines and the Decomposition of Deformations. IEEE TPAMI 11(6), 567–585, 1989.</w:t>
      </w:r>
    </w:p>
    <w:p>
      <w:pPr>
        <w:keepNext w:val="false"/>
        <w:spacing w:after="22" w:before="0" w:line="210"/>
        <w:ind w:left="250" w:hanging="250"/>
        <w:jc w:val="left"/>
      </w:pPr>
      <w:r>
        <w:rPr>
          <w:rFonts w:ascii="Calibri" w:cs="Calibri" w:eastAsia="Calibri" w:hAnsi="Calibri"/>
          <w:b/>
          <w:bCs/>
          <w:i w:val="false"/>
          <w:iCs w:val="false"/>
          <w:caps w:val="false"/>
          <w:color w:val="1A1A1A"/>
          <w:sz w:val="14"/>
          <w:szCs w:val="14"/>
        </w:rPr>
        <w:t xml:space="preserve">[12]  </w:t>
      </w:r>
      <w:r>
        <w:rPr>
          <w:rFonts w:ascii="Calibri" w:cs="Calibri" w:eastAsia="Calibri" w:hAnsi="Calibri"/>
          <w:b w:val="false"/>
          <w:bCs w:val="false"/>
          <w:i w:val="false"/>
          <w:iCs w:val="false"/>
          <w:caps w:val="false"/>
          <w:color w:val="1A1A1A"/>
          <w:sz w:val="14"/>
          <w:szCs w:val="14"/>
        </w:rPr>
        <w:t xml:space="preserve">Cootes, T. F. et al. Active Shape Models — Their Training and Application. CVIU 61(1), 38–59, 1995.</w:t>
      </w:r>
    </w:p>
    <w:p>
      <w:pPr>
        <w:keepNext w:val="false"/>
        <w:spacing w:after="22" w:before="0" w:line="210"/>
        <w:ind w:left="250" w:hanging="250"/>
        <w:jc w:val="left"/>
      </w:pPr>
      <w:r>
        <w:rPr>
          <w:rFonts w:ascii="Calibri" w:cs="Calibri" w:eastAsia="Calibri" w:hAnsi="Calibri"/>
          <w:b/>
          <w:bCs/>
          <w:i w:val="false"/>
          <w:iCs w:val="false"/>
          <w:caps w:val="false"/>
          <w:color w:val="1A1A1A"/>
          <w:sz w:val="14"/>
          <w:szCs w:val="14"/>
        </w:rPr>
        <w:t xml:space="preserve">[13]  </w:t>
      </w:r>
      <w:r>
        <w:rPr>
          <w:rFonts w:ascii="Calibri" w:cs="Calibri" w:eastAsia="Calibri" w:hAnsi="Calibri"/>
          <w:b w:val="false"/>
          <w:bCs w:val="false"/>
          <w:i w:val="false"/>
          <w:iCs w:val="false"/>
          <w:caps w:val="false"/>
          <w:color w:val="1A1A1A"/>
          <w:sz w:val="14"/>
          <w:szCs w:val="14"/>
        </w:rPr>
        <w:t xml:space="preserve">Choy, C., Gwak, J. &amp; Savarese, S. 4D Spatio-Temporal ConvNets: Minkowski Convolutional Neural Networks. CVPR 2019. arXiv:1904.08755</w:t>
      </w:r>
    </w:p>
    <w:p>
      <w:pPr>
        <w:keepNext w:val="false"/>
        <w:spacing w:after="22" w:before="0" w:line="210"/>
        <w:ind w:left="250" w:hanging="250"/>
        <w:jc w:val="left"/>
      </w:pPr>
      <w:r>
        <w:rPr>
          <w:rFonts w:ascii="Calibri" w:cs="Calibri" w:eastAsia="Calibri" w:hAnsi="Calibri"/>
          <w:b/>
          <w:bCs/>
          <w:i w:val="false"/>
          <w:iCs w:val="false"/>
          <w:caps w:val="false"/>
          <w:color w:val="1A1A1A"/>
          <w:sz w:val="14"/>
          <w:szCs w:val="14"/>
        </w:rPr>
        <w:t xml:space="preserve">[14]  </w:t>
      </w:r>
      <w:r>
        <w:rPr>
          <w:rFonts w:ascii="Calibri" w:cs="Calibri" w:eastAsia="Calibri" w:hAnsi="Calibri"/>
          <w:b w:val="false"/>
          <w:bCs w:val="false"/>
          <w:i w:val="false"/>
          <w:iCs w:val="false"/>
          <w:caps w:val="false"/>
          <w:color w:val="1A1A1A"/>
          <w:sz w:val="14"/>
          <w:szCs w:val="14"/>
        </w:rPr>
        <w:t xml:space="preserve">Engel, I. et al. The SONICOM HRTF Dataset. J. Audio Eng. Soc. 71(5), 2023.</w:t>
      </w:r>
    </w:p>
    <w:sectPr>
      <w:pgSz w:w="11906" w:h="16838" w:orient="portrait"/>
      <w:pgMar w:top="720" w:right="792" w:bottom="648" w:left="79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629635ab7f50304bd4b305e0414810bf3526004.png"/><Relationship Id="rId8" Type="http://schemas.openxmlformats.org/officeDocument/2006/relationships/image" Target="media/46f2b84c9929d66954e822f15ddf576be8ae34d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2026-07-29T14:58:38.411Z</dcterms:created>
  <dcterms:modified xsi:type="dcterms:W3CDTF">2026-07-29T14:58:38.411Z</dcterms:modified>
</cp:coreProperties>
</file>

<file path=docProps/custom.xml><?xml version="1.0" encoding="utf-8"?>
<Properties xmlns="http://schemas.openxmlformats.org/officeDocument/2006/custom-properties" xmlns:vt="http://schemas.openxmlformats.org/officeDocument/2006/docPropsVTypes"/>
</file>