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 alignment with the Careers Guidance and Counselling curriculum component (Form 3–4)</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Syllabus Mapping Document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Careers Guidance and Counselling (Form 3–4)</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Curriculum Development Centre (CDC), Ministry of Education, Zambia — supporting documentation for reader approval submission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DRAFT — pending verification against the current official CDC syllabus/framework text (see Section 2)</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0.1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content of the Pathway Orientation self-scoring workbook to the Careers Guidance and Counselling component of the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It is intended to be read alongside the workbook itself (available as both a print-ready PDF and a companion self-marking web application) and the accompanying facilitator's guide.</w:t>
      </w:r>
    </w:p>
    <w:p>
      <w:pPr>
        <w:pStyle w:val="Heading1"/>
        <w:pBdr>
          <w:bottom w:val="single" w:color="A8632C" w:sz="6" w:space="4"/>
        </w:pBdr>
        <w:spacing w:after="140" w:before="320"/>
      </w:pPr>
      <w:r>
        <w:rPr>
          <w:rFonts w:ascii="Calibri" w:cs="Calibri" w:eastAsia="Calibri" w:hAnsi="Calibri"/>
          <w:b/>
          <w:bCs/>
          <w:color w:val="7C481E"/>
          <w:sz w:val="30"/>
          <w:szCs w:val="30"/>
        </w:rPr>
        <w:t xml:space="preserve">2. Basis for This Mapping — Please Read Before Use</w:t>
      </w:r>
    </w:p>
    <w:p>
      <w:pPr>
        <w:spacing w:after="120" w:before="0"/>
      </w:pPr>
      <w:r>
        <w:rPr>
          <w:rFonts w:ascii="Calibri" w:cs="Calibri" w:eastAsia="Calibri" w:hAnsi="Calibri"/>
          <w:b w:val="false"/>
          <w:bCs w:val="false"/>
          <w:i w:val="false"/>
          <w:iCs w:val="false"/>
          <w:color w:val="221F1A"/>
          <w:sz w:val="21"/>
          <w:szCs w:val="21"/>
        </w:rPr>
        <w:t xml:space="preserve">The Zambia Education Curriculum Framework (2013), published by the Curriculum Development Centre, names Careers Guidance and Counselling as a cross-cutting theme (a “national concern”) rather than a stand-alone examinable subject with its own numbered syllabus, unlike subjects such as English or Biology. Published research also references a dedicated School Guidance and Counselling teaching syllabus produced in 1991, whose availability at school level appears to be inconsistent.</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Verification gap — action required before submission</w:t>
            </w:r>
          </w:p>
          <w:p>
            <w:pPr>
              <w:spacing w:after="80"/>
            </w:pPr>
            <w:r>
              <w:rPr>
                <w:rFonts w:ascii="Calibri" w:cs="Calibri" w:eastAsia="Calibri" w:hAnsi="Calibri"/>
                <w:color w:val="221F1A"/>
                <w:sz w:val="20"/>
                <w:szCs w:val="20"/>
              </w:rPr>
              <w:t xml:space="preserve">This draft was prepared without direct access to the current, official CDC Guidance and Counselling syllabus or framework text (the source documents could not be retrieved in the environment this draft was produced in).</w:t>
            </w:r>
          </w:p>
          <w:p>
            <w:pPr>
              <w:spacing w:after="80"/>
            </w:pPr>
            <w:r>
              <w:rPr>
                <w:rFonts w:ascii="Calibri" w:cs="Calibri" w:eastAsia="Calibri" w:hAnsi="Calibri"/>
                <w:color w:val="221F1A"/>
                <w:sz w:val="20"/>
                <w:szCs w:val="20"/>
              </w:rPr>
              <w:t xml:space="preserve">To keep this document honest, the mapping below uses four internationally standard career-guidance competency domains (Section 3) as an interim structure, rather than inventing specific official syllabus objective numbers or wording that cannot be verified.</w:t>
            </w:r>
          </w:p>
          <w:p>
            <w:pPr>
              <w:spacing w:after="80"/>
            </w:pPr>
            <w:r>
              <w:rPr>
                <w:rFonts w:ascii="Calibri" w:cs="Calibri" w:eastAsia="Calibri" w:hAnsi="Calibri"/>
                <w:color w:val="221F1A"/>
                <w:sz w:val="20"/>
                <w:szCs w:val="20"/>
              </w:rPr>
              <w:t xml:space="preserve">Before this document is submitted to CDC, someone with access to the current official syllabus/framework text — a serving Guidance and Counselling teacher, a Zambia Guidance and Counselling Association (ZAGCA) member, or a CDC curriculum specialist — must complete the right-hand column of the mapping table in Section 4 with the actual objective wording or code it corresponds to, and confirm or correct the domain structure itself.</w:t>
            </w:r>
          </w:p>
          <w:p>
            <w:pPr>
              <w:spacing w:after="80"/>
            </w:pPr>
            <w:r>
              <w:rPr>
                <w:rFonts w:ascii="Calibri" w:cs="Calibri" w:eastAsia="Calibri" w:hAnsi="Calibri"/>
                <w:color w:val="221F1A"/>
                <w:sz w:val="20"/>
                <w:szCs w:val="20"/>
              </w:rPr>
              <w:t xml:space="preserve">Until that verification step is done, treat every claim of alignment in this document as provisional.</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3. Competency Domains Used for This Draft Mapping</w:t>
      </w:r>
    </w:p>
    <w:p>
      <w:pPr>
        <w:spacing w:after="120" w:before="0"/>
      </w:pPr>
      <w:r>
        <w:rPr>
          <w:rFonts w:ascii="Calibri" w:cs="Calibri" w:eastAsia="Calibri" w:hAnsi="Calibri"/>
          <w:b w:val="false"/>
          <w:bCs w:val="false"/>
          <w:i w:val="false"/>
          <w:iCs w:val="false"/>
          <w:color w:val="221F1A"/>
          <w:sz w:val="21"/>
          <w:szCs w:val="21"/>
        </w:rPr>
        <w:t xml:space="preserve">In the absence of the confirmed current official syllabus text, this mapping organises workbook content against four competency domains widely used in career-guidance curricula internationally (comparable in spirit to frameworks such as the US National Career Development Guidelines and Canada's Blueprint for Life/Work Designs), as a reasonable and transparent placeholder pending Section 2's verification step.</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6006"/>
      </w:tblGrid>
      <w:tr>
        <w:trPr>
          <w:tblHeader/>
        </w:trPr>
        <w:tc>
          <w:tcPr>
            <w:tcW w:type="dxa" w:w="7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ID</w:t>
            </w:r>
          </w:p>
        </w:tc>
        <w:tc>
          <w:tcPr>
            <w:tcW w:type="dxa" w:w="3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w:t>
            </w:r>
          </w:p>
        </w:tc>
        <w:tc>
          <w:tcPr>
            <w:tcW w:type="dxa" w:w="60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Definition used in this mapping</w:t>
            </w:r>
          </w:p>
        </w:tc>
      </w:tr>
      <w:tr>
        <w:tc>
          <w:tcPr>
            <w:tcW w:type="dxa" w:w="7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A</w:t>
            </w:r>
          </w:p>
        </w:tc>
        <w:tc>
          <w:tcPr>
            <w:tcW w:type="dxa" w:w="34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Self-Awareness &amp; Self-Appraisal</w:t>
            </w:r>
          </w:p>
        </w:tc>
        <w:tc>
          <w:tcPr>
            <w:tcW w:type="dxa" w:w="60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Helping a learner understand their own interests, values, personality tendencies and working style.</w:t>
            </w:r>
          </w:p>
        </w:tc>
      </w:tr>
      <w:tr>
        <w:tc>
          <w:tcPr>
            <w:tcW w:type="dxa" w:w="7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B</w:t>
            </w:r>
          </w:p>
        </w:tc>
        <w:tc>
          <w:tcPr>
            <w:tcW w:type="dxa" w:w="3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Career / Occupational Awareness &amp; Exploration</w:t>
            </w:r>
          </w:p>
        </w:tc>
        <w:tc>
          <w:tcPr>
            <w:tcW w:type="dxa" w:w="60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Building knowledge of the world of work: what different orientations, fields and occupations actually involve.</w:t>
            </w:r>
          </w:p>
        </w:tc>
      </w:tr>
      <w:tr>
        <w:tc>
          <w:tcPr>
            <w:tcW w:type="dxa" w:w="7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w:t>
            </w:r>
          </w:p>
        </w:tc>
        <w:tc>
          <w:tcPr>
            <w:tcW w:type="dxa" w:w="34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Educational &amp; Career Decision-Making</w:t>
            </w:r>
          </w:p>
        </w:tc>
        <w:tc>
          <w:tcPr>
            <w:tcW w:type="dxa" w:w="60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Connecting self-knowledge and occupational knowledge into an actual decision process — weighing options, setting goals.</w:t>
            </w:r>
          </w:p>
        </w:tc>
      </w:tr>
      <w:tr>
        <w:tc>
          <w:tcPr>
            <w:tcW w:type="dxa" w:w="7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w:t>
            </w:r>
          </w:p>
        </w:tc>
        <w:tc>
          <w:tcPr>
            <w:tcW w:type="dxa" w:w="3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Career Planning &amp; Pathway Identification</w:t>
            </w:r>
          </w:p>
        </w:tc>
        <w:tc>
          <w:tcPr>
            <w:tcW w:type="dxa" w:w="60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Turning a decision into a concrete plan: which subjects, qualifications, institutions and next steps it requires.</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Workbook-to-Domain Mapping</w:t>
      </w:r>
    </w:p>
    <w:p>
      <w:pPr>
        <w:spacing w:after="120" w:before="0"/>
      </w:pPr>
      <w:r>
        <w:rPr>
          <w:rFonts w:ascii="Calibri" w:cs="Calibri" w:eastAsia="Calibri" w:hAnsi="Calibri"/>
          <w:b w:val="false"/>
          <w:bCs w:val="false"/>
          <w:i w:val="false"/>
          <w:iCs w:val="false"/>
          <w:color w:val="221F1A"/>
          <w:sz w:val="21"/>
          <w:szCs w:val="21"/>
        </w:rPr>
        <w:t xml:space="preserve">Each workbook section is mapped to the domain(s) it primarily addresses. The final column is intentionally left for a qualified reviewer to complete against the official syllabus text (see Section 2).</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391"/>
        <w:gridCol w:w="2192"/>
        <w:gridCol w:w="1096"/>
        <w:gridCol w:w="2445"/>
        <w:gridCol w:w="843"/>
        <w:gridCol w:w="2138"/>
      </w:tblGrid>
      <w:tr>
        <w:trPr>
          <w:tblHeader/>
        </w:trPr>
        <w:tc>
          <w:tcPr>
            <w:tcW w:type="dxa" w:w="1391"/>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Workbook section</w:t>
            </w:r>
          </w:p>
        </w:tc>
        <w:tc>
          <w:tcPr>
            <w:tcW w:type="dxa" w:w="2192"/>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Content summary</w:t>
            </w:r>
          </w:p>
        </w:tc>
        <w:tc>
          <w:tcPr>
            <w:tcW w:type="dxa" w:w="109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Domain(s)</w:t>
            </w:r>
          </w:p>
        </w:tc>
        <w:tc>
          <w:tcPr>
            <w:tcW w:type="dxa" w:w="244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How it is addressed</w:t>
            </w:r>
          </w:p>
        </w:tc>
        <w:tc>
          <w:tcPr>
            <w:tcW w:type="dxa" w:w="843"/>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Page</w:t>
            </w:r>
          </w:p>
        </w:tc>
        <w:tc>
          <w:tcPr>
            <w:tcW w:type="dxa" w:w="2138"/>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Official CDC syllabus objective / code (TO BE COMPLETED)</w:t>
            </w:r>
          </w:p>
        </w:tc>
      </w:tr>
      <w:tr>
        <w:tc>
          <w:tcPr>
            <w:tcW w:type="dxa" w:w="1391"/>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Introduction — “How Your Result Works”</w:t>
            </w:r>
          </w:p>
        </w:tc>
        <w:tc>
          <w:tcPr>
            <w:tcW w:type="dxa" w:w="2192"/>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Explains the dominant / secondary / shadow framing before the learner starts.</w:t>
            </w:r>
          </w:p>
        </w:tc>
        <w:tc>
          <w:tcPr>
            <w:tcW w:type="dxa" w:w="109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w:t>
            </w:r>
          </w:p>
        </w:tc>
        <w:tc>
          <w:tcPr>
            <w:tcW w:type="dxa" w:w="244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Orients the learner to reflect on their own patterns before being asked to self-report.</w:t>
            </w:r>
          </w:p>
        </w:tc>
        <w:tc>
          <w:tcPr>
            <w:tcW w:type="dxa" w:w="843"/>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p.3</w:t>
            </w:r>
          </w:p>
        </w:tc>
        <w:tc>
          <w:tcPr>
            <w:tcW w:type="dxa" w:w="2138"/>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The Seven Orientations at a Glance</w:t>
            </w:r>
          </w:p>
        </w:tc>
        <w:tc>
          <w:tcPr>
            <w:tcW w:type="dxa" w:w="2192"/>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One-page overview of all seven work orientations, each with a one-line description.</w:t>
            </w:r>
          </w:p>
        </w:tc>
        <w:tc>
          <w:tcPr>
            <w:tcW w:type="dxa" w:w="109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w:t>
            </w:r>
          </w:p>
        </w:tc>
        <w:tc>
          <w:tcPr>
            <w:tcW w:type="dxa" w:w="244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Introduces the range of occupational orientations that exist, at a survey level.</w:t>
            </w:r>
          </w:p>
        </w:tc>
        <w:tc>
          <w:tcPr>
            <w:tcW w:type="dxa" w:w="843"/>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p.4</w:t>
            </w:r>
          </w:p>
        </w:tc>
        <w:tc>
          <w:tcPr>
            <w:tcW w:type="dxa" w:w="2138"/>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How to Use This Workbook</w:t>
            </w:r>
          </w:p>
        </w:tc>
        <w:tc>
          <w:tcPr>
            <w:tcW w:type="dxa" w:w="2192"/>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Instructions for the 1–5 Likert scale and the self-scoring steps.</w:t>
            </w:r>
          </w:p>
        </w:tc>
        <w:tc>
          <w:tcPr>
            <w:tcW w:type="dxa" w:w="109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Method</w:t>
            </w:r>
          </w:p>
        </w:tc>
        <w:tc>
          <w:tcPr>
            <w:tcW w:type="dxa" w:w="244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Enables independent, unsupervised completion — no computer or facilitator required to answer or score it.</w:t>
            </w:r>
          </w:p>
        </w:tc>
        <w:tc>
          <w:tcPr>
            <w:tcW w:type="dxa" w:w="843"/>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p.5</w:t>
            </w:r>
          </w:p>
        </w:tc>
        <w:tc>
          <w:tcPr>
            <w:tcW w:type="dxa" w:w="2138"/>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Questions (42-item self-report instrument)</w:t>
            </w:r>
          </w:p>
        </w:tc>
        <w:tc>
          <w:tcPr>
            <w:tcW w:type="dxa" w:w="2192"/>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Six statements per orientation; learner rates how much each sounds like them.</w:t>
            </w:r>
          </w:p>
        </w:tc>
        <w:tc>
          <w:tcPr>
            <w:tcW w:type="dxa" w:w="109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w:t>
            </w:r>
          </w:p>
        </w:tc>
        <w:tc>
          <w:tcPr>
            <w:tcW w:type="dxa" w:w="244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Structured self-reflection on working style, motivations and preferences.</w:t>
            </w:r>
          </w:p>
        </w:tc>
        <w:tc>
          <w:tcPr>
            <w:tcW w:type="dxa" w:w="843"/>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pp.6–10</w:t>
            </w:r>
          </w:p>
        </w:tc>
        <w:tc>
          <w:tcPr>
            <w:tcW w:type="dxa" w:w="2138"/>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Scoring Key &amp; Score Lookup Table</w:t>
            </w:r>
          </w:p>
        </w:tc>
        <w:tc>
          <w:tcPr>
            <w:tcW w:type="dxa" w:w="2192"/>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Question-to-orientation key and a raw-score-to-percentage conversion table.</w:t>
            </w:r>
          </w:p>
        </w:tc>
        <w:tc>
          <w:tcPr>
            <w:tcW w:type="dxa" w:w="109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Method</w:t>
            </w:r>
          </w:p>
        </w:tc>
        <w:tc>
          <w:tcPr>
            <w:tcW w:type="dxa" w:w="244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Makes the self-assessment independently scoreable on paper, without a computer.</w:t>
            </w:r>
          </w:p>
        </w:tc>
        <w:tc>
          <w:tcPr>
            <w:tcW w:type="dxa" w:w="843"/>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pp.11–12</w:t>
            </w:r>
          </w:p>
        </w:tc>
        <w:tc>
          <w:tcPr>
            <w:tcW w:type="dxa" w:w="2138"/>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“What Your Result Means” (section intro)</w:t>
            </w:r>
          </w:p>
        </w:tc>
        <w:tc>
          <w:tcPr>
            <w:tcW w:type="dxa" w:w="2192"/>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Explains how to read a Dominant / Secondary / Shadow result once scored.</w:t>
            </w:r>
          </w:p>
        </w:tc>
        <w:tc>
          <w:tcPr>
            <w:tcW w:type="dxa" w:w="109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 C</w:t>
            </w:r>
          </w:p>
        </w:tc>
        <w:tc>
          <w:tcPr>
            <w:tcW w:type="dxa" w:w="244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Bridges self-knowledge into the start of a decision-making process.</w:t>
            </w:r>
          </w:p>
        </w:tc>
        <w:tc>
          <w:tcPr>
            <w:tcW w:type="dxa" w:w="843"/>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p.13</w:t>
            </w:r>
          </w:p>
        </w:tc>
        <w:tc>
          <w:tcPr>
            <w:tcW w:type="dxa" w:w="2138"/>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Seven Orientation Profile pages</w:t>
            </w:r>
          </w:p>
        </w:tc>
        <w:tc>
          <w:tcPr>
            <w:tcW w:type="dxa" w:w="2192"/>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Per-orientation: calling statement, description, strengths, watch-out-for points.</w:t>
            </w:r>
          </w:p>
        </w:tc>
        <w:tc>
          <w:tcPr>
            <w:tcW w:type="dxa" w:w="109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C</w:t>
            </w:r>
          </w:p>
        </w:tc>
        <w:tc>
          <w:tcPr>
            <w:tcW w:type="dxa" w:w="244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Deepens self-appraisal and names concrete trade-offs a learner should weigh.</w:t>
            </w:r>
          </w:p>
        </w:tc>
        <w:tc>
          <w:tcPr>
            <w:tcW w:type="dxa" w:w="843"/>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pp.14–20</w:t>
            </w:r>
          </w:p>
        </w:tc>
        <w:tc>
          <w:tcPr>
            <w:tcW w:type="dxa" w:w="2138"/>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r>
        <w:tc>
          <w:tcPr>
            <w:tcW w:type="dxa" w:w="1391"/>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“Pathways to Explore” (within each profile)</w:t>
            </w:r>
          </w:p>
        </w:tc>
        <w:tc>
          <w:tcPr>
            <w:tcW w:type="dxa" w:w="2192"/>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Subjects to focus on, fields of study, named Zambian institutions, career examples.</w:t>
            </w:r>
          </w:p>
        </w:tc>
        <w:tc>
          <w:tcPr>
            <w:tcW w:type="dxa" w:w="109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w:t>
            </w:r>
          </w:p>
        </w:tc>
        <w:tc>
          <w:tcPr>
            <w:tcW w:type="dxa" w:w="244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Converts a result into a concrete, locally-grounded plan of subjects and institutions.</w:t>
            </w:r>
          </w:p>
        </w:tc>
        <w:tc>
          <w:tcPr>
            <w:tcW w:type="dxa" w:w="843"/>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pp.14–20</w:t>
            </w:r>
          </w:p>
        </w:tc>
        <w:tc>
          <w:tcPr>
            <w:tcW w:type="dxa" w:w="2138"/>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iCs/>
                <w:color w:val="6E6858"/>
                <w:sz w:val="19"/>
                <w:szCs w:val="19"/>
              </w:rPr>
              <w:t xml:space="preserve">☐ pending official text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Coverage Summary</w:t>
      </w:r>
    </w:p>
    <w:p>
      <w:pPr>
        <w:spacing w:after="120" w:before="0"/>
      </w:pPr>
      <w:r>
        <w:rPr>
          <w:rFonts w:ascii="Calibri" w:cs="Calibri" w:eastAsia="Calibri" w:hAnsi="Calibri"/>
          <w:b w:val="false"/>
          <w:bCs w:val="false"/>
          <w:i w:val="false"/>
          <w:iCs w:val="false"/>
          <w:color w:val="221F1A"/>
          <w:sz w:val="21"/>
          <w:szCs w:val="21"/>
        </w:rPr>
        <w:t xml:space="preserve">Read across all eight workbook sections, coverage of the four domains is uneven — strong on self-awareness and pathway planning, weaker on occupational-world knowledge and explicit decision-making skills.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2900"/>
        <w:gridCol w:w="2406"/>
      </w:tblGrid>
      <w:tr>
        <w:trPr>
          <w:tblHeader/>
        </w:trPr>
        <w:tc>
          <w:tcPr>
            <w:tcW w:type="dxa" w:w="3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w:t>
            </w:r>
          </w:p>
        </w:tc>
        <w:tc>
          <w:tcPr>
            <w:tcW w:type="dxa" w:w="1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Coverage</w:t>
            </w:r>
          </w:p>
        </w:tc>
        <w:tc>
          <w:tcPr>
            <w:tcW w:type="dxa" w:w="29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Workbook sections</w:t>
            </w:r>
          </w:p>
        </w:tc>
        <w:tc>
          <w:tcPr>
            <w:tcW w:type="dxa" w:w="24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Notes / gaps</w:t>
            </w:r>
          </w:p>
        </w:tc>
      </w:tr>
      <w:tr>
        <w:tc>
          <w:tcPr>
            <w:tcW w:type="dxa" w:w="34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A — Self-Awareness &amp; Self-Appraisal</w:t>
            </w:r>
          </w:p>
        </w:tc>
        <w:tc>
          <w:tcPr>
            <w:tcW w:type="dxa" w:w="1400"/>
            <w:tcMar>
              <w:top w:type="dxa" w:w="90"/>
              <w:left w:type="dxa" w:w="110"/>
              <w:bottom w:type="dxa" w:w="90"/>
              <w:right w:type="dxa" w:w="110"/>
            </w:tcMar>
            <w:vAlign w:val="top"/>
          </w:tcPr>
          <w:p>
            <w:pPr>
              <w:spacing w:after="40"/>
            </w:pPr>
            <w:r>
              <w:rPr>
                <w:rFonts w:ascii="Calibri" w:cs="Calibri" w:eastAsia="Calibri" w:hAnsi="Calibri"/>
                <w:b/>
                <w:bCs/>
                <w:i w:val="false"/>
                <w:iCs w:val="false"/>
                <w:color w:val="2F7D6E"/>
                <w:sz w:val="19"/>
                <w:szCs w:val="19"/>
              </w:rPr>
              <w:t xml:space="preserve">Strong</w:t>
            </w:r>
          </w:p>
        </w:tc>
        <w:tc>
          <w:tcPr>
            <w:tcW w:type="dxa" w:w="29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Introduction, Questions, Profile pages</w:t>
            </w:r>
          </w:p>
        </w:tc>
        <w:tc>
          <w:tcPr>
            <w:tcW w:type="dxa" w:w="24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core of the instrument. Well covered.</w:t>
            </w:r>
          </w:p>
        </w:tc>
      </w:tr>
      <w:tr>
        <w:tc>
          <w:tcPr>
            <w:tcW w:type="dxa" w:w="3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B — Career / Occupational Awareness &amp; Exploration</w:t>
            </w:r>
          </w:p>
        </w:tc>
        <w:tc>
          <w:tcPr>
            <w:tcW w:type="dxa" w:w="1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C1631F"/>
                <w:sz w:val="19"/>
                <w:szCs w:val="19"/>
              </w:rPr>
              <w:t xml:space="preserve">Partial</w:t>
            </w:r>
          </w:p>
        </w:tc>
        <w:tc>
          <w:tcPr>
            <w:tcW w:type="dxa" w:w="29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At a Glance overview; career examples lists</w:t>
            </w:r>
          </w:p>
        </w:tc>
        <w:tc>
          <w:tcPr>
            <w:tcW w:type="dxa" w:w="24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Survey-level only. No “world of work” content — e.g. what a working day looks like, labour-market context, informal-sector realities.</w:t>
            </w:r>
          </w:p>
        </w:tc>
      </w:tr>
      <w:tr>
        <w:tc>
          <w:tcPr>
            <w:tcW w:type="dxa" w:w="34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 — Educational &amp; Career Decision-Making</w:t>
            </w:r>
          </w:p>
        </w:tc>
        <w:tc>
          <w:tcPr>
            <w:tcW w:type="dxa" w:w="1400"/>
            <w:tcMar>
              <w:top w:type="dxa" w:w="90"/>
              <w:left w:type="dxa" w:w="110"/>
              <w:bottom w:type="dxa" w:w="90"/>
              <w:right w:type="dxa" w:w="110"/>
            </w:tcMar>
            <w:vAlign w:val="top"/>
          </w:tcPr>
          <w:p>
            <w:pPr>
              <w:spacing w:after="40"/>
            </w:pPr>
            <w:r>
              <w:rPr>
                <w:rFonts w:ascii="Calibri" w:cs="Calibri" w:eastAsia="Calibri" w:hAnsi="Calibri"/>
                <w:b/>
                <w:bCs/>
                <w:i w:val="false"/>
                <w:iCs w:val="false"/>
                <w:color w:val="C1631F"/>
                <w:sz w:val="19"/>
                <w:szCs w:val="19"/>
              </w:rPr>
              <w:t xml:space="preserve">Partial</w:t>
            </w:r>
          </w:p>
        </w:tc>
        <w:tc>
          <w:tcPr>
            <w:tcW w:type="dxa" w:w="29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Profile pages (strengths / watch-out-for), result-reading intro</w:t>
            </w:r>
          </w:p>
        </w:tc>
        <w:tc>
          <w:tcPr>
            <w:tcW w:type="dxa" w:w="24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Decision-making is implied, not taught. No explicit goal-setting or options-weighing activity.</w:t>
            </w:r>
          </w:p>
        </w:tc>
      </w:tr>
      <w:tr>
        <w:tc>
          <w:tcPr>
            <w:tcW w:type="dxa" w:w="3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 — Career Planning &amp; Pathway Identification</w:t>
            </w:r>
          </w:p>
        </w:tc>
        <w:tc>
          <w:tcPr>
            <w:tcW w:type="dxa" w:w="14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F7D6E"/>
                <w:sz w:val="19"/>
                <w:szCs w:val="19"/>
              </w:rPr>
              <w:t xml:space="preserve">Strong</w:t>
            </w:r>
          </w:p>
        </w:tc>
        <w:tc>
          <w:tcPr>
            <w:tcW w:type="dxa" w:w="29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Pathways to Explore (all seven profiles)</w:t>
            </w:r>
          </w:p>
        </w:tc>
        <w:tc>
          <w:tcPr>
            <w:tcW w:type="dxa" w:w="24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most concrete, locally-grounded section of the workbook.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Gaps and Recommendations Before Submission</w:t>
      </w:r>
    </w:p>
    <w:p>
      <w:pPr>
        <w:pStyle w:val="ListParagraph"/>
        <w:numPr>
          <w:ilvl w:val="0"/>
          <w:numId w:val="2"/>
        </w:numPr>
        <w:spacing w:after="80"/>
      </w:pPr>
      <w:r>
        <w:rPr>
          <w:rFonts w:ascii="Calibri" w:cs="Calibri" w:eastAsia="Calibri" w:hAnsi="Calibri"/>
          <w:color w:val="221F1A"/>
          <w:sz w:val="21"/>
          <w:szCs w:val="21"/>
        </w:rPr>
        <w:t xml:space="preserve">Obtain the current official CDC Guidance and Counselling syllabus / curriculum framework text and complete Section 4's reference column against it.</w:t>
      </w:r>
    </w:p>
    <w:p>
      <w:pPr>
        <w:pStyle w:val="ListParagraph"/>
        <w:numPr>
          <w:ilvl w:val="0"/>
          <w:numId w:val="2"/>
        </w:numPr>
        <w:spacing w:after="80"/>
      </w:pPr>
      <w:r>
        <w:rPr>
          <w:rFonts w:ascii="Calibri" w:cs="Calibri" w:eastAsia="Calibri" w:hAnsi="Calibri"/>
          <w:color w:val="221F1A"/>
          <w:sz w:val="21"/>
          <w:szCs w:val="21"/>
        </w:rPr>
        <w:t xml:space="preserve">Have a serving Guidance and Counselling teacher, ZAGCA member, or CDC curriculum specialist formally review and sign off this mapping (Section 7).</w:t>
      </w:r>
    </w:p>
    <w:p>
      <w:pPr>
        <w:pStyle w:val="ListParagraph"/>
        <w:numPr>
          <w:ilvl w:val="0"/>
          <w:numId w:val="2"/>
        </w:numPr>
        <w:spacing w:after="80"/>
      </w:pPr>
      <w:r>
        <w:rPr>
          <w:rFonts w:ascii="Calibri" w:cs="Calibri" w:eastAsia="Calibri" w:hAnsi="Calibri"/>
          <w:color w:val="221F1A"/>
          <w:sz w:val="21"/>
          <w:szCs w:val="21"/>
        </w:rPr>
        <w:t xml:space="preserve">Strengthen Domain B (occupational awareness): consider adding short “world of work” context per orientation — what a working week actually involves, informal-sector realities, and labour-market information relevant to Zambia.</w:t>
      </w:r>
    </w:p>
    <w:p>
      <w:pPr>
        <w:pStyle w:val="ListParagraph"/>
        <w:numPr>
          <w:ilvl w:val="0"/>
          <w:numId w:val="2"/>
        </w:numPr>
        <w:spacing w:after="80"/>
      </w:pPr>
      <w:r>
        <w:rPr>
          <w:rFonts w:ascii="Calibri" w:cs="Calibri" w:eastAsia="Calibri" w:hAnsi="Calibri"/>
          <w:color w:val="221F1A"/>
          <w:sz w:val="21"/>
          <w:szCs w:val="21"/>
        </w:rPr>
        <w:t xml:space="preserve">Strengthen Domain C (decision-making): consider adding an explicit goal-setting or options-weighing activity, rather than leaving decision-making implicit in the results pages.</w:t>
      </w:r>
    </w:p>
    <w:p>
      <w:pPr>
        <w:pStyle w:val="ListParagraph"/>
        <w:numPr>
          <w:ilvl w:val="0"/>
          <w:numId w:val="2"/>
        </w:numPr>
        <w:spacing w:after="80"/>
      </w:pPr>
      <w:r>
        <w:rPr>
          <w:rFonts w:ascii="Calibri" w:cs="Calibri" w:eastAsia="Calibri" w:hAnsi="Calibri"/>
          <w:color w:val="221F1A"/>
          <w:sz w:val="21"/>
          <w:szCs w:val="21"/>
        </w:rPr>
        <w:t xml:space="preserve">Prepare a facilitator's/teacher's guide cross-referenced to this mapping, with suggested lesson sequencing and debrief prompts — CDC-approved guidance materials are typically expected to include one.</w:t>
      </w:r>
    </w:p>
    <w:p>
      <w:pPr>
        <w:pStyle w:val="ListParagraph"/>
        <w:numPr>
          <w:ilvl w:val="0"/>
          <w:numId w:val="2"/>
        </w:numPr>
        <w:spacing w:after="80"/>
      </w:pPr>
      <w:r>
        <w:rPr>
          <w:rFonts w:ascii="Calibri" w:cs="Calibri" w:eastAsia="Calibri" w:hAnsi="Calibri"/>
          <w:color w:val="221F1A"/>
          <w:sz w:val="21"/>
          <w:szCs w:val="21"/>
        </w:rPr>
        <w:t xml:space="preserve">Pilot the workbook in a small number of schools and document learner and teacher feedback before formal submission.</w:t>
      </w:r>
    </w:p>
    <w:p>
      <w:pPr>
        <w:pStyle w:val="ListParagraph"/>
        <w:numPr>
          <w:ilvl w:val="0"/>
          <w:numId w:val="2"/>
        </w:numPr>
        <w:spacing w:after="80"/>
      </w:pPr>
      <w:r>
        <w:rPr>
          <w:rFonts w:ascii="Calibri" w:cs="Calibri" w:eastAsia="Calibri" w:hAnsi="Calibri"/>
          <w:color w:val="221F1A"/>
          <w:sz w:val="21"/>
          <w:szCs w:val="21"/>
        </w:rPr>
        <w:t xml:space="preserve">Ensure the workbook's framing consistently presents the instrument as a self-reflection and discussion tool, not as a validated psychometric or diagnostic test, since it has not been statistically validated or piloted at scale.</w:t>
      </w:r>
    </w:p>
    <w:p>
      <w:pPr>
        <w:pStyle w:val="Heading1"/>
        <w:pBdr>
          <w:bottom w:val="single" w:color="A8632C" w:sz="6" w:space="4"/>
        </w:pBdr>
        <w:spacing w:after="140" w:before="320"/>
      </w:pPr>
      <w:r>
        <w:rPr>
          <w:rFonts w:ascii="Calibri" w:cs="Calibri" w:eastAsia="Calibri" w:hAnsi="Calibri"/>
          <w:b/>
          <w:bCs/>
          <w:color w:val="7C481E"/>
          <w:sz w:val="30"/>
          <w:szCs w:val="30"/>
        </w:rPr>
        <w:t xml:space="preserve">7.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2's verification step has taken place.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Syllabus Mapping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2026-09-14T14:51:20.389Z</dcterms:created>
  <dcterms:modified xsi:type="dcterms:W3CDTF">2026-09-14T14:51:20.389Z</dcterms:modified>
</cp:coreProperties>
</file>

<file path=docProps/custom.xml><?xml version="1.0" encoding="utf-8"?>
<Properties xmlns="http://schemas.openxmlformats.org/officeDocument/2006/custom-properties" xmlns:vt="http://schemas.openxmlformats.org/officeDocument/2006/docPropsVTypes"/>
</file>