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80"/>
        <w:jc w:val="center"/>
      </w:pPr>
      <w:r>
        <w:rPr>
          <w:rFonts w:ascii="Calibri" w:cs="Calibri" w:eastAsia="Calibri" w:hAnsi="Calibri"/>
          <w:b/>
          <w:bCs/>
          <w:color w:val="A8632C"/>
          <w:sz w:val="56"/>
          <w:szCs w:val="56"/>
        </w:rPr>
        <w:t xml:space="preserve">Pathway Orientation</w:t>
      </w:r>
    </w:p>
    <w:p>
      <w:pPr>
        <w:spacing w:after="360"/>
        <w:jc w:val="center"/>
      </w:pPr>
      <w:r>
        <w:rPr>
          <w:rFonts w:ascii="Calibri" w:cs="Calibri" w:eastAsia="Calibri" w:hAnsi="Calibri"/>
          <w:i/>
          <w:iCs/>
          <w:color w:val="6E6858"/>
          <w:sz w:val="22"/>
          <w:szCs w:val="22"/>
        </w:rPr>
        <w:t xml:space="preserve">Curriculum Alignment, Facilitation and Pilot Package — prepared for the Curriculum Development Centre, Zambia Ministry of Education</w:t>
      </w:r>
    </w:p>
    <w:p>
      <w:pPr>
        <w:pStyle w:val="Heading2"/>
        <w:spacing w:after="100" w:before="220"/>
      </w:pPr>
      <w:r>
        <w:rPr>
          <w:rFonts w:ascii="Calibri" w:cs="Calibri" w:eastAsia="Calibri" w:hAnsi="Calibri"/>
          <w:b/>
          <w:bCs/>
          <w:color w:val="7C481E"/>
          <w:sz w:val="24"/>
          <w:szCs w:val="24"/>
        </w:rPr>
        <w:t xml:space="preserve">About This Package</w:t>
      </w:r>
    </w:p>
    <w:p>
      <w:pPr>
        <w:spacing w:after="120" w:before="0"/>
      </w:pPr>
      <w:r>
        <w:rPr>
          <w:rFonts w:ascii="Calibri" w:cs="Calibri" w:eastAsia="Calibri" w:hAnsi="Calibri"/>
          <w:b w:val="false"/>
          <w:bCs w:val="false"/>
          <w:i w:val="false"/>
          <w:iCs w:val="false"/>
          <w:color w:val="221F1A"/>
          <w:sz w:val="21"/>
          <w:szCs w:val="21"/>
        </w:rPr>
        <w:t xml:space="preserve">Pathway Orientation is a self-scoring career-guidance workbook for Form 3 and Form 4 learners, built around seven work orientations (Order, Form, Coordination, Discovery, Integration, Preservation, Transformation). This package brings together the three components of its Guidance department submission: how the workbook aligns to the 2023 Zambia Education Curriculum Framework, how a facilitator runs it across three sessions, and how it is piloted in real classrooms before rollout. Cross-references between the three components below point to sections within this document.</w:t>
      </w:r>
    </w:p>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The Seven Orientations at a Glance</w:t>
      </w:r>
    </w:p>
    <w:p>
      <w:pPr>
        <w:spacing w:after="120" w:before="0"/>
      </w:pPr>
      <w:r>
        <w:rPr>
          <w:rFonts w:ascii="Calibri" w:cs="Calibri" w:eastAsia="Calibri" w:hAnsi="Calibri"/>
          <w:b w:val="false"/>
          <w:bCs w:val="false"/>
          <w:i w:val="false"/>
          <w:iCs w:val="false"/>
          <w:color w:val="221F1A"/>
          <w:sz w:val="21"/>
          <w:szCs w:val="21"/>
        </w:rPr>
        <w:t xml:space="preserve">Every part of this package — the curriculum mapping, the facilitator's guide, and the pilot toolkit — refers back to the same seven orientations and the same colour for each. This page is a visual key for the tables that follow.</w:t>
      </w:r>
    </w:p>
    <w:p>
      <w:pPr>
        <w:spacing w:before="160"/>
        <w:jc w:val="center"/>
      </w:pPr>
      <w:r>
        <w:drawing>
          <wp:inline distT="0" distB="0" distL="0" distR="0">
            <wp:extent cx="4572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90900"/>
                    </a:xfrm>
                    <a:prstGeom prst="rect">
                      <a:avLst/>
                    </a:prstGeom>
                  </pic:spPr>
                </pic:pic>
              </a:graphicData>
            </a:graphic>
          </wp:inline>
        </w:drawing>
      </w:r>
    </w:p>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Contents</w:t>
      </w:r>
    </w:p>
    <w:p>
      <w:pPr>
        <w:tabs>
          <w:tab w:val="right" w:pos="10106" w:leader="dot"/>
        </w:tabs>
        <w:spacing w:after="100"/>
      </w:pPr>
      <w:r>
        <w:rPr>
          <w:rFonts w:ascii="Calibri" w:cs="Calibri" w:eastAsia="Calibri" w:hAnsi="Calibri"/>
          <w:b/>
          <w:bCs/>
          <w:color w:val="221F1A"/>
          <w:sz w:val="21"/>
          <w:szCs w:val="21"/>
        </w:rPr>
        <w:t xml:space="preserve">About This Package</w:t>
      </w:r>
      <w:r>
        <w:rPr>
          <w:rFonts w:ascii="Calibri" w:cs="Calibri" w:eastAsia="Calibri" w:hAnsi="Calibri"/>
          <w:color w:val="9C9585"/>
          <w:sz w:val="21"/>
          <w:szCs w:val="21"/>
        </w:rPr>
        <w:t xml:space="preserve">	1</w:t>
      </w:r>
    </w:p>
    <w:p>
      <w:pPr>
        <w:tabs>
          <w:tab w:val="right" w:pos="10106" w:leader="dot"/>
        </w:tabs>
        <w:spacing w:after="100"/>
      </w:pPr>
      <w:r>
        <w:rPr>
          <w:rFonts w:ascii="Calibri" w:cs="Calibri" w:eastAsia="Calibri" w:hAnsi="Calibri"/>
          <w:b/>
          <w:bCs/>
          <w:color w:val="221F1A"/>
          <w:sz w:val="21"/>
          <w:szCs w:val="21"/>
        </w:rPr>
        <w:t xml:space="preserve">The Seven Orientations at a Glance</w:t>
      </w:r>
      <w:r>
        <w:rPr>
          <w:rFonts w:ascii="Calibri" w:cs="Calibri" w:eastAsia="Calibri" w:hAnsi="Calibri"/>
          <w:color w:val="9C9585"/>
          <w:sz w:val="21"/>
          <w:szCs w:val="21"/>
        </w:rPr>
        <w:t xml:space="preserve">	2</w:t>
      </w:r>
    </w:p>
    <w:p>
      <w:pPr>
        <w:tabs>
          <w:tab w:val="right" w:pos="10106" w:leader="dot"/>
        </w:tabs>
        <w:spacing w:after="100"/>
      </w:pPr>
      <w:r>
        <w:rPr>
          <w:rFonts w:ascii="Calibri" w:cs="Calibri" w:eastAsia="Calibri" w:hAnsi="Calibri"/>
          <w:b/>
          <w:bCs/>
          <w:color w:val="221F1A"/>
          <w:sz w:val="21"/>
          <w:szCs w:val="21"/>
        </w:rPr>
        <w:t xml:space="preserve">Part One — Curriculum Alignment</w:t>
      </w:r>
      <w:r>
        <w:rPr>
          <w:rFonts w:ascii="Calibri" w:cs="Calibri" w:eastAsia="Calibri" w:hAnsi="Calibri"/>
          <w:color w:val="9C9585"/>
          <w:sz w:val="21"/>
          <w:szCs w:val="21"/>
        </w:rPr>
        <w:t xml:space="preserve">	4</w:t>
      </w:r>
    </w:p>
    <w:p>
      <w:pPr>
        <w:tabs>
          <w:tab w:val="right" w:pos="10106" w:leader="dot"/>
        </w:tabs>
        <w:spacing w:after="70"/>
        <w:ind w:left="300"/>
      </w:pPr>
      <w:r>
        <w:rPr>
          <w:rFonts w:ascii="Calibri" w:cs="Calibri" w:eastAsia="Calibri" w:hAnsi="Calibri"/>
          <w:b w:val="false"/>
          <w:bCs w:val="false"/>
          <w:color w:val="6E6858"/>
          <w:sz w:val="19"/>
          <w:szCs w:val="19"/>
        </w:rPr>
        <w:t xml:space="preserve">Purpose</w:t>
      </w:r>
      <w:r>
        <w:rPr>
          <w:rFonts w:ascii="Calibri" w:cs="Calibri" w:eastAsia="Calibri" w:hAnsi="Calibri"/>
          <w:color w:val="9C9585"/>
          <w:sz w:val="19"/>
          <w:szCs w:val="19"/>
        </w:rPr>
        <w:t xml:space="preserve">	4</w:t>
      </w:r>
    </w:p>
    <w:p>
      <w:pPr>
        <w:tabs>
          <w:tab w:val="right" w:pos="10106" w:leader="dot"/>
        </w:tabs>
        <w:spacing w:after="70"/>
        <w:ind w:left="300"/>
      </w:pPr>
      <w:r>
        <w:rPr>
          <w:rFonts w:ascii="Calibri" w:cs="Calibri" w:eastAsia="Calibri" w:hAnsi="Calibri"/>
          <w:b w:val="false"/>
          <w:bCs w:val="false"/>
          <w:color w:val="6E6858"/>
          <w:sz w:val="19"/>
          <w:szCs w:val="19"/>
        </w:rPr>
        <w:t xml:space="preserve">Source Document and What It Confirms</w:t>
      </w:r>
      <w:r>
        <w:rPr>
          <w:rFonts w:ascii="Calibri" w:cs="Calibri" w:eastAsia="Calibri" w:hAnsi="Calibri"/>
          <w:color w:val="9C9585"/>
          <w:sz w:val="19"/>
          <w:szCs w:val="19"/>
        </w:rPr>
        <w:t xml:space="preserve">	4</w:t>
      </w:r>
    </w:p>
    <w:p>
      <w:pPr>
        <w:tabs>
          <w:tab w:val="right" w:pos="10106" w:leader="dot"/>
        </w:tabs>
        <w:spacing w:after="70"/>
        <w:ind w:left="300"/>
      </w:pPr>
      <w:r>
        <w:rPr>
          <w:rFonts w:ascii="Calibri" w:cs="Calibri" w:eastAsia="Calibri" w:hAnsi="Calibri"/>
          <w:b w:val="false"/>
          <w:bCs w:val="false"/>
          <w:color w:val="6E6858"/>
          <w:sz w:val="19"/>
          <w:szCs w:val="19"/>
        </w:rPr>
        <w:t xml:space="preserve">The Four PSVE Areas, Applied to This Workbook</w:t>
      </w:r>
      <w:r>
        <w:rPr>
          <w:rFonts w:ascii="Calibri" w:cs="Calibri" w:eastAsia="Calibri" w:hAnsi="Calibri"/>
          <w:color w:val="9C9585"/>
          <w:sz w:val="19"/>
          <w:szCs w:val="19"/>
        </w:rPr>
        <w:t xml:space="preserve">	5</w:t>
      </w:r>
    </w:p>
    <w:p>
      <w:pPr>
        <w:tabs>
          <w:tab w:val="right" w:pos="10106" w:leader="dot"/>
        </w:tabs>
        <w:spacing w:after="70"/>
        <w:ind w:left="300"/>
      </w:pPr>
      <w:r>
        <w:rPr>
          <w:rFonts w:ascii="Calibri" w:cs="Calibri" w:eastAsia="Calibri" w:hAnsi="Calibri"/>
          <w:b w:val="false"/>
          <w:bCs w:val="false"/>
          <w:color w:val="6E6858"/>
          <w:sz w:val="19"/>
          <w:szCs w:val="19"/>
        </w:rPr>
        <w:t xml:space="preserve">Workbook-to-PSVE Mapping</w:t>
      </w:r>
      <w:r>
        <w:rPr>
          <w:rFonts w:ascii="Calibri" w:cs="Calibri" w:eastAsia="Calibri" w:hAnsi="Calibri"/>
          <w:color w:val="9C9585"/>
          <w:sz w:val="19"/>
          <w:szCs w:val="19"/>
        </w:rPr>
        <w:t xml:space="preserve">	6</w:t>
      </w:r>
    </w:p>
    <w:p>
      <w:pPr>
        <w:tabs>
          <w:tab w:val="right" w:pos="10106" w:leader="dot"/>
        </w:tabs>
        <w:spacing w:after="70"/>
        <w:ind w:left="300"/>
      </w:pPr>
      <w:r>
        <w:rPr>
          <w:rFonts w:ascii="Calibri" w:cs="Calibri" w:eastAsia="Calibri" w:hAnsi="Calibri"/>
          <w:b w:val="false"/>
          <w:bCs w:val="false"/>
          <w:color w:val="6E6858"/>
          <w:sz w:val="19"/>
          <w:szCs w:val="19"/>
        </w:rPr>
        <w:t xml:space="preserve">Orientation-to-Pathway Cross-Reference</w:t>
      </w:r>
      <w:r>
        <w:rPr>
          <w:rFonts w:ascii="Calibri" w:cs="Calibri" w:eastAsia="Calibri" w:hAnsi="Calibri"/>
          <w:color w:val="9C9585"/>
          <w:sz w:val="19"/>
          <w:szCs w:val="19"/>
        </w:rPr>
        <w:t xml:space="preserve">	6</w:t>
      </w:r>
    </w:p>
    <w:p>
      <w:pPr>
        <w:tabs>
          <w:tab w:val="right" w:pos="10106" w:leader="dot"/>
        </w:tabs>
        <w:spacing w:after="70"/>
        <w:ind w:left="300"/>
      </w:pPr>
      <w:r>
        <w:rPr>
          <w:rFonts w:ascii="Calibri" w:cs="Calibri" w:eastAsia="Calibri" w:hAnsi="Calibri"/>
          <w:b w:val="false"/>
          <w:bCs w:val="false"/>
          <w:color w:val="6E6858"/>
          <w:sz w:val="19"/>
          <w:szCs w:val="19"/>
        </w:rPr>
        <w:t xml:space="preserve">Coverage Summary Against PSVE</w:t>
      </w:r>
      <w:r>
        <w:rPr>
          <w:rFonts w:ascii="Calibri" w:cs="Calibri" w:eastAsia="Calibri" w:hAnsi="Calibri"/>
          <w:color w:val="9C9585"/>
          <w:sz w:val="19"/>
          <w:szCs w:val="19"/>
        </w:rPr>
        <w:t xml:space="preserve">	7</w:t>
      </w:r>
    </w:p>
    <w:p>
      <w:pPr>
        <w:tabs>
          <w:tab w:val="right" w:pos="10106" w:leader="dot"/>
        </w:tabs>
        <w:spacing w:after="70"/>
        <w:ind w:left="300"/>
      </w:pPr>
      <w:r>
        <w:rPr>
          <w:rFonts w:ascii="Calibri" w:cs="Calibri" w:eastAsia="Calibri" w:hAnsi="Calibri"/>
          <w:b w:val="false"/>
          <w:bCs w:val="false"/>
          <w:color w:val="6E6858"/>
          <w:sz w:val="19"/>
          <w:szCs w:val="19"/>
        </w:rPr>
        <w:t xml:space="preserve">Terminology Applied to the Workbook</w:t>
      </w:r>
      <w:r>
        <w:rPr>
          <w:rFonts w:ascii="Calibri" w:cs="Calibri" w:eastAsia="Calibri" w:hAnsi="Calibri"/>
          <w:color w:val="9C9585"/>
          <w:sz w:val="19"/>
          <w:szCs w:val="19"/>
        </w:rPr>
        <w:t xml:space="preserve">	7</w:t>
      </w:r>
    </w:p>
    <w:p>
      <w:pPr>
        <w:tabs>
          <w:tab w:val="right" w:pos="10106" w:leader="dot"/>
        </w:tabs>
        <w:spacing w:after="100"/>
      </w:pPr>
      <w:r>
        <w:rPr>
          <w:rFonts w:ascii="Calibri" w:cs="Calibri" w:eastAsia="Calibri" w:hAnsi="Calibri"/>
          <w:b/>
          <w:bCs/>
          <w:color w:val="221F1A"/>
          <w:sz w:val="21"/>
          <w:szCs w:val="21"/>
        </w:rPr>
        <w:t xml:space="preserve">Part Two — Facilitator's Guide</w:t>
      </w:r>
      <w:r>
        <w:rPr>
          <w:rFonts w:ascii="Calibri" w:cs="Calibri" w:eastAsia="Calibri" w:hAnsi="Calibri"/>
          <w:color w:val="9C9585"/>
          <w:sz w:val="21"/>
          <w:szCs w:val="21"/>
        </w:rPr>
        <w:t xml:space="preserve">	9</w:t>
      </w:r>
    </w:p>
    <w:p>
      <w:pPr>
        <w:tabs>
          <w:tab w:val="right" w:pos="10106" w:leader="dot"/>
        </w:tabs>
        <w:spacing w:after="70"/>
        <w:ind w:left="300"/>
      </w:pPr>
      <w:r>
        <w:rPr>
          <w:rFonts w:ascii="Calibri" w:cs="Calibri" w:eastAsia="Calibri" w:hAnsi="Calibri"/>
          <w:b w:val="false"/>
          <w:bCs w:val="false"/>
          <w:color w:val="6E6858"/>
          <w:sz w:val="19"/>
          <w:szCs w:val="19"/>
        </w:rPr>
        <w:t xml:space="preserve">What This Tool Is — and Is Not</w:t>
      </w:r>
      <w:r>
        <w:rPr>
          <w:rFonts w:ascii="Calibri" w:cs="Calibri" w:eastAsia="Calibri" w:hAnsi="Calibri"/>
          <w:color w:val="9C9585"/>
          <w:sz w:val="19"/>
          <w:szCs w:val="19"/>
        </w:rPr>
        <w:t xml:space="preserve">	9</w:t>
      </w:r>
    </w:p>
    <w:p>
      <w:pPr>
        <w:tabs>
          <w:tab w:val="right" w:pos="10106" w:leader="dot"/>
        </w:tabs>
        <w:spacing w:after="70"/>
        <w:ind w:left="300"/>
      </w:pPr>
      <w:r>
        <w:rPr>
          <w:rFonts w:ascii="Calibri" w:cs="Calibri" w:eastAsia="Calibri" w:hAnsi="Calibri"/>
          <w:b w:val="false"/>
          <w:bCs w:val="false"/>
          <w:color w:val="6E6858"/>
          <w:sz w:val="19"/>
          <w:szCs w:val="19"/>
        </w:rPr>
        <w:t xml:space="preserve">Suggested Session Plan</w:t>
      </w:r>
      <w:r>
        <w:rPr>
          <w:rFonts w:ascii="Calibri" w:cs="Calibri" w:eastAsia="Calibri" w:hAnsi="Calibri"/>
          <w:color w:val="9C9585"/>
          <w:sz w:val="19"/>
          <w:szCs w:val="19"/>
        </w:rPr>
        <w:t xml:space="preserve">	10</w:t>
      </w:r>
    </w:p>
    <w:p>
      <w:pPr>
        <w:tabs>
          <w:tab w:val="right" w:pos="10106" w:leader="dot"/>
        </w:tabs>
        <w:spacing w:after="70"/>
        <w:ind w:left="300"/>
      </w:pPr>
      <w:r>
        <w:rPr>
          <w:rFonts w:ascii="Calibri" w:cs="Calibri" w:eastAsia="Calibri" w:hAnsi="Calibri"/>
          <w:b w:val="false"/>
          <w:bCs w:val="false"/>
          <w:color w:val="6E6858"/>
          <w:sz w:val="19"/>
          <w:szCs w:val="19"/>
        </w:rPr>
        <w:t xml:space="preserve">Session 1 — Introduction &amp; Self-Assessment</w:t>
      </w:r>
      <w:r>
        <w:rPr>
          <w:rFonts w:ascii="Calibri" w:cs="Calibri" w:eastAsia="Calibri" w:hAnsi="Calibri"/>
          <w:color w:val="9C9585"/>
          <w:sz w:val="19"/>
          <w:szCs w:val="19"/>
        </w:rPr>
        <w:t xml:space="preserve">	10</w:t>
      </w:r>
    </w:p>
    <w:p>
      <w:pPr>
        <w:tabs>
          <w:tab w:val="right" w:pos="10106" w:leader="dot"/>
        </w:tabs>
        <w:spacing w:after="70"/>
        <w:ind w:left="300"/>
      </w:pPr>
      <w:r>
        <w:rPr>
          <w:rFonts w:ascii="Calibri" w:cs="Calibri" w:eastAsia="Calibri" w:hAnsi="Calibri"/>
          <w:b w:val="false"/>
          <w:bCs w:val="false"/>
          <w:color w:val="6E6858"/>
          <w:sz w:val="19"/>
          <w:szCs w:val="19"/>
        </w:rPr>
        <w:t xml:space="preserve">Session 2 — Scoring &amp; Reading Your Result</w:t>
      </w:r>
      <w:r>
        <w:rPr>
          <w:rFonts w:ascii="Calibri" w:cs="Calibri" w:eastAsia="Calibri" w:hAnsi="Calibri"/>
          <w:color w:val="9C9585"/>
          <w:sz w:val="19"/>
          <w:szCs w:val="19"/>
        </w:rPr>
        <w:t xml:space="preserve">	10</w:t>
      </w:r>
    </w:p>
    <w:p>
      <w:pPr>
        <w:tabs>
          <w:tab w:val="right" w:pos="10106" w:leader="dot"/>
        </w:tabs>
        <w:spacing w:after="70"/>
        <w:ind w:left="300"/>
      </w:pPr>
      <w:r>
        <w:rPr>
          <w:rFonts w:ascii="Calibri" w:cs="Calibri" w:eastAsia="Calibri" w:hAnsi="Calibri"/>
          <w:b w:val="false"/>
          <w:bCs w:val="false"/>
          <w:color w:val="6E6858"/>
          <w:sz w:val="19"/>
          <w:szCs w:val="19"/>
        </w:rPr>
        <w:t xml:space="preserve">Session 3 — World of Work, Decisions, Pathways &amp; Working Together</w:t>
      </w:r>
      <w:r>
        <w:rPr>
          <w:rFonts w:ascii="Calibri" w:cs="Calibri" w:eastAsia="Calibri" w:hAnsi="Calibri"/>
          <w:color w:val="9C9585"/>
          <w:sz w:val="19"/>
          <w:szCs w:val="19"/>
        </w:rPr>
        <w:t xml:space="preserve">	10</w:t>
      </w:r>
    </w:p>
    <w:p>
      <w:pPr>
        <w:tabs>
          <w:tab w:val="right" w:pos="10106" w:leader="dot"/>
        </w:tabs>
        <w:spacing w:after="70"/>
        <w:ind w:left="300"/>
      </w:pPr>
      <w:r>
        <w:rPr>
          <w:rFonts w:ascii="Calibri" w:cs="Calibri" w:eastAsia="Calibri" w:hAnsi="Calibri"/>
          <w:b w:val="false"/>
          <w:bCs w:val="false"/>
          <w:color w:val="6E6858"/>
          <w:sz w:val="19"/>
          <w:szCs w:val="19"/>
        </w:rPr>
        <w:t xml:space="preserve">Handling Sensitive Moments and Common Questions</w:t>
      </w:r>
      <w:r>
        <w:rPr>
          <w:rFonts w:ascii="Calibri" w:cs="Calibri" w:eastAsia="Calibri" w:hAnsi="Calibri"/>
          <w:color w:val="9C9585"/>
          <w:sz w:val="19"/>
          <w:szCs w:val="19"/>
        </w:rPr>
        <w:t xml:space="preserve">	12</w:t>
      </w:r>
    </w:p>
    <w:p>
      <w:pPr>
        <w:tabs>
          <w:tab w:val="right" w:pos="10106" w:leader="dot"/>
        </w:tabs>
        <w:spacing w:after="70"/>
        <w:ind w:left="300"/>
      </w:pPr>
      <w:r>
        <w:rPr>
          <w:rFonts w:ascii="Calibri" w:cs="Calibri" w:eastAsia="Calibri" w:hAnsi="Calibri"/>
          <w:b w:val="false"/>
          <w:bCs w:val="false"/>
          <w:color w:val="6E6858"/>
          <w:sz w:val="19"/>
          <w:szCs w:val="19"/>
        </w:rPr>
        <w:t xml:space="preserve">Quick Reference — The Seven Orientations</w:t>
      </w:r>
      <w:r>
        <w:rPr>
          <w:rFonts w:ascii="Calibri" w:cs="Calibri" w:eastAsia="Calibri" w:hAnsi="Calibri"/>
          <w:color w:val="9C9585"/>
          <w:sz w:val="19"/>
          <w:szCs w:val="19"/>
        </w:rPr>
        <w:t xml:space="preserve">	13</w:t>
      </w:r>
    </w:p>
    <w:p>
      <w:pPr>
        <w:tabs>
          <w:tab w:val="right" w:pos="10106" w:leader="dot"/>
        </w:tabs>
        <w:spacing w:after="70"/>
        <w:ind w:left="300"/>
      </w:pPr>
      <w:r>
        <w:rPr>
          <w:rFonts w:ascii="Calibri" w:cs="Calibri" w:eastAsia="Calibri" w:hAnsi="Calibri"/>
          <w:b w:val="false"/>
          <w:bCs w:val="false"/>
          <w:color w:val="6E6858"/>
          <w:sz w:val="19"/>
          <w:szCs w:val="19"/>
        </w:rPr>
        <w:t xml:space="preserve">Completion Record</w:t>
      </w:r>
      <w:r>
        <w:rPr>
          <w:rFonts w:ascii="Calibri" w:cs="Calibri" w:eastAsia="Calibri" w:hAnsi="Calibri"/>
          <w:color w:val="9C9585"/>
          <w:sz w:val="19"/>
          <w:szCs w:val="19"/>
        </w:rPr>
        <w:t xml:space="preserve">	13</w:t>
      </w:r>
    </w:p>
    <w:p>
      <w:pPr>
        <w:tabs>
          <w:tab w:val="right" w:pos="10106" w:leader="dot"/>
        </w:tabs>
        <w:spacing w:after="100"/>
      </w:pPr>
      <w:r>
        <w:rPr>
          <w:rFonts w:ascii="Calibri" w:cs="Calibri" w:eastAsia="Calibri" w:hAnsi="Calibri"/>
          <w:b/>
          <w:bCs/>
          <w:color w:val="221F1A"/>
          <w:sz w:val="21"/>
          <w:szCs w:val="21"/>
        </w:rPr>
        <w:t xml:space="preserve">Part Three — Pilot Plan &amp; Feedback Toolkit</w:t>
      </w:r>
      <w:r>
        <w:rPr>
          <w:rFonts w:ascii="Calibri" w:cs="Calibri" w:eastAsia="Calibri" w:hAnsi="Calibri"/>
          <w:color w:val="9C9585"/>
          <w:sz w:val="21"/>
          <w:szCs w:val="21"/>
        </w:rPr>
        <w:t xml:space="preserve">	14</w:t>
      </w:r>
    </w:p>
    <w:p>
      <w:pPr>
        <w:tabs>
          <w:tab w:val="right" w:pos="10106" w:leader="dot"/>
        </w:tabs>
        <w:spacing w:after="70"/>
        <w:ind w:left="300"/>
      </w:pPr>
      <w:r>
        <w:rPr>
          <w:rFonts w:ascii="Calibri" w:cs="Calibri" w:eastAsia="Calibri" w:hAnsi="Calibri"/>
          <w:b w:val="false"/>
          <w:bCs w:val="false"/>
          <w:color w:val="6E6858"/>
          <w:sz w:val="19"/>
          <w:szCs w:val="19"/>
        </w:rPr>
        <w:t xml:space="preserve">Why Pilot This First</w:t>
      </w:r>
      <w:r>
        <w:rPr>
          <w:rFonts w:ascii="Calibri" w:cs="Calibri" w:eastAsia="Calibri" w:hAnsi="Calibri"/>
          <w:color w:val="9C9585"/>
          <w:sz w:val="19"/>
          <w:szCs w:val="19"/>
        </w:rPr>
        <w:t xml:space="preserve">	14</w:t>
      </w:r>
    </w:p>
    <w:p>
      <w:pPr>
        <w:tabs>
          <w:tab w:val="right" w:pos="10106" w:leader="dot"/>
        </w:tabs>
        <w:spacing w:after="70"/>
        <w:ind w:left="300"/>
      </w:pPr>
      <w:r>
        <w:rPr>
          <w:rFonts w:ascii="Calibri" w:cs="Calibri" w:eastAsia="Calibri" w:hAnsi="Calibri"/>
          <w:b w:val="false"/>
          <w:bCs w:val="false"/>
          <w:color w:val="6E6858"/>
          <w:sz w:val="19"/>
          <w:szCs w:val="19"/>
        </w:rPr>
        <w:t xml:space="preserve">Pilot Scope &amp; Timeline</w:t>
      </w:r>
      <w:r>
        <w:rPr>
          <w:rFonts w:ascii="Calibri" w:cs="Calibri" w:eastAsia="Calibri" w:hAnsi="Calibri"/>
          <w:color w:val="9C9585"/>
          <w:sz w:val="19"/>
          <w:szCs w:val="19"/>
        </w:rPr>
        <w:t xml:space="preserve">	14</w:t>
      </w:r>
    </w:p>
    <w:p>
      <w:pPr>
        <w:tabs>
          <w:tab w:val="right" w:pos="10106" w:leader="dot"/>
        </w:tabs>
        <w:spacing w:after="70"/>
        <w:ind w:left="300"/>
      </w:pPr>
      <w:r>
        <w:rPr>
          <w:rFonts w:ascii="Calibri" w:cs="Calibri" w:eastAsia="Calibri" w:hAnsi="Calibri"/>
          <w:b w:val="false"/>
          <w:bCs w:val="false"/>
          <w:color w:val="6E6858"/>
          <w:sz w:val="19"/>
          <w:szCs w:val="19"/>
        </w:rPr>
        <w:t xml:space="preserve">Facilitator Observation Log</w:t>
      </w:r>
      <w:r>
        <w:rPr>
          <w:rFonts w:ascii="Calibri" w:cs="Calibri" w:eastAsia="Calibri" w:hAnsi="Calibri"/>
          <w:color w:val="9C9585"/>
          <w:sz w:val="19"/>
          <w:szCs w:val="19"/>
        </w:rPr>
        <w:t xml:space="preserve">	15</w:t>
      </w:r>
    </w:p>
    <w:p>
      <w:pPr>
        <w:tabs>
          <w:tab w:val="right" w:pos="10106" w:leader="dot"/>
        </w:tabs>
        <w:spacing w:after="70"/>
        <w:ind w:left="300"/>
      </w:pPr>
      <w:r>
        <w:rPr>
          <w:rFonts w:ascii="Calibri" w:cs="Calibri" w:eastAsia="Calibri" w:hAnsi="Calibri"/>
          <w:b w:val="false"/>
          <w:bCs w:val="false"/>
          <w:color w:val="6E6858"/>
          <w:sz w:val="19"/>
          <w:szCs w:val="19"/>
        </w:rPr>
        <w:t xml:space="preserve">Student &amp; Facilitator Feedback Forms</w:t>
      </w:r>
      <w:r>
        <w:rPr>
          <w:rFonts w:ascii="Calibri" w:cs="Calibri" w:eastAsia="Calibri" w:hAnsi="Calibri"/>
          <w:color w:val="9C9585"/>
          <w:sz w:val="19"/>
          <w:szCs w:val="19"/>
        </w:rPr>
        <w:t xml:space="preserve">	15</w:t>
      </w:r>
    </w:p>
    <w:p>
      <w:pPr>
        <w:tabs>
          <w:tab w:val="right" w:pos="10106" w:leader="dot"/>
        </w:tabs>
        <w:spacing w:after="70"/>
        <w:ind w:left="300"/>
      </w:pPr>
      <w:r>
        <w:rPr>
          <w:rFonts w:ascii="Calibri" w:cs="Calibri" w:eastAsia="Calibri" w:hAnsi="Calibri"/>
          <w:b w:val="false"/>
          <w:bCs w:val="false"/>
          <w:color w:val="6E6858"/>
          <w:sz w:val="19"/>
          <w:szCs w:val="19"/>
        </w:rPr>
        <w:t xml:space="preserve">Pilot Summary Report &amp; Sign-Off</w:t>
      </w:r>
      <w:r>
        <w:rPr>
          <w:rFonts w:ascii="Calibri" w:cs="Calibri" w:eastAsia="Calibri" w:hAnsi="Calibri"/>
          <w:color w:val="9C9585"/>
          <w:sz w:val="19"/>
          <w:szCs w:val="19"/>
        </w:rPr>
        <w:t xml:space="preserve">	15</w:t>
      </w:r>
    </w:p>
    <w:p>
      <w:pPr>
        <w:tabs>
          <w:tab w:val="right" w:pos="10106" w:leader="dot"/>
        </w:tabs>
        <w:spacing w:after="100"/>
      </w:pPr>
      <w:r>
        <w:rPr>
          <w:rFonts w:ascii="Calibri" w:cs="Calibri" w:eastAsia="Calibri" w:hAnsi="Calibri"/>
          <w:b/>
          <w:bCs/>
          <w:color w:val="221F1A"/>
          <w:sz w:val="21"/>
          <w:szCs w:val="21"/>
        </w:rPr>
        <w:t xml:space="preserve">Implementation Status</w:t>
      </w:r>
      <w:r>
        <w:rPr>
          <w:rFonts w:ascii="Calibri" w:cs="Calibri" w:eastAsia="Calibri" w:hAnsi="Calibri"/>
          <w:color w:val="9C9585"/>
          <w:sz w:val="21"/>
          <w:szCs w:val="21"/>
        </w:rPr>
        <w:t xml:space="preserve">	17</w:t>
      </w:r>
    </w:p>
    <w:p>
      <w:r>
        <w:br w:type="page"/>
      </w:r>
    </w:p>
    <w:tbl>
      <w:tblPr>
        <w:tblW w:type="dxa" w:w="10106"/>
        <w:tblBorders>
          <w:top w:val="none"/>
          <w:left w:val="none"/>
          <w:bottom w:val="none"/>
          <w:right w:val="none"/>
          <w:insideH w:val="single" w:color="auto" w:sz="4"/>
          <w:insideV w:val="single" w:color="auto" w:sz="4"/>
        </w:tblBorders>
      </w:tblPr>
      <w:tblGrid>
        <w:gridCol w:w="10106"/>
      </w:tblGrid>
      <w:tr>
        <w:tc>
          <w:tcPr>
            <w:tcW w:type="dxa" w:w="10106"/>
            <w:shd w:fill="A8632C" w:color="auto" w:val="clear"/>
            <w:tcMar>
              <w:top w:type="dxa" w:w="360"/>
              <w:left w:type="dxa" w:w="280"/>
              <w:bottom w:type="dxa" w:w="360"/>
              <w:right w:type="dxa" w:w="280"/>
            </w:tcMar>
          </w:tcPr>
          <w:p>
            <w:pPr>
              <w:spacing w:after="60"/>
            </w:pPr>
            <w:r>
              <w:rPr>
                <w:rFonts w:ascii="Calibri" w:cs="Calibri" w:eastAsia="Calibri" w:hAnsi="Calibri"/>
                <w:b/>
                <w:bCs/>
                <w:color w:val="F3E3CE"/>
                <w:spacing w:val="30"/>
                <w:sz w:val="18"/>
                <w:szCs w:val="18"/>
              </w:rPr>
              <w:t xml:space="preserve">PART ONE</w:t>
            </w:r>
          </w:p>
          <w:p>
            <w:pPr>
              <w:spacing w:after="100"/>
            </w:pPr>
            <w:r>
              <w:rPr>
                <w:rFonts w:ascii="Calibri" w:cs="Calibri" w:eastAsia="Calibri" w:hAnsi="Calibri"/>
                <w:b/>
                <w:bCs/>
                <w:color w:val="FFFFFF"/>
                <w:sz w:val="36"/>
                <w:szCs w:val="36"/>
              </w:rPr>
              <w:t xml:space="preserve">Curriculum Alignment</w:t>
            </w:r>
          </w:p>
          <w:p>
            <w:r>
              <w:rPr>
                <w:rFonts w:ascii="Calibri" w:cs="Calibri" w:eastAsia="Calibri" w:hAnsi="Calibri"/>
                <w:i/>
                <w:iCs/>
                <w:color w:val="F6E9D8"/>
                <w:sz w:val="20"/>
                <w:szCs w:val="20"/>
              </w:rPr>
              <w:t xml:space="preserve">Mapping the workbook to the 2023 Zambia Education Curriculum Framework</w:t>
            </w:r>
          </w:p>
        </w:tc>
      </w:tr>
    </w:tbl>
    <w:p>
      <w:pPr>
        <w:spacing w:after="60" w:before="0"/>
      </w:pPr>
      <w:r>
        <w:rPr>
          <w:rFonts w:ascii="Calibri" w:cs="Calibri" w:eastAsia="Calibri" w:hAnsi="Calibri"/>
          <w:b w:val="false"/>
          <w:bCs w:val="false"/>
          <w:i w:val="false"/>
          <w:iCs w:val="false"/>
          <w:color w:val="221F1A"/>
          <w:sz w:val="21"/>
          <w:szCs w:val="21"/>
        </w:rPr>
        <w:t xml:space="preserve"> </w:t>
      </w:r>
    </w:p>
    <w:p>
      <w:pPr>
        <w:pStyle w:val="Heading1"/>
        <w:pBdr>
          <w:bottom w:val="single" w:color="A8632C" w:sz="6" w:space="4"/>
        </w:pBdr>
        <w:spacing w:after="140" w:before="320"/>
      </w:pPr>
      <w:r>
        <w:rPr>
          <w:rFonts w:ascii="Calibri" w:cs="Calibri" w:eastAsia="Calibri" w:hAnsi="Calibri"/>
          <w:b/>
          <w:bCs/>
          <w:color w:val="7C481E"/>
          <w:sz w:val="30"/>
          <w:szCs w:val="30"/>
        </w:rPr>
        <w:t xml:space="preserve">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pStyle w:val="Heading1"/>
        <w:pBdr>
          <w:bottom w:val="single" w:color="A8632C" w:sz="6" w:space="4"/>
        </w:pBdr>
        <w:spacing w:after="140" w:before="320"/>
      </w:pPr>
      <w:r>
        <w:rPr>
          <w:rFonts w:ascii="Calibri" w:cs="Calibri" w:eastAsia="Calibri" w:hAnsi="Calibri"/>
          <w:b/>
          <w:bCs/>
          <w:color w:val="7C481E"/>
          <w:sz w:val="30"/>
          <w:szCs w:val="30"/>
        </w:rPr>
        <w:t xml:space="preserve">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 Section 5.10, p.42, 2023 Zambia Education Curriculum Framework</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exists for Form 1–4 learners in this Framework, unlike core examinable subjects. This is consistent with its status as a cross-cutting theme rather than an examined subject. In practice this means the workbook is delivered during Civic Education periods, co-curricular time, or a dedicated Guidance department session arranged outside the formal timetable — see the facilitator's guide.</w:t>
      </w:r>
    </w:p>
    <w:p>
      <w:pPr>
        <w:pStyle w:val="Heading2"/>
        <w:spacing w:after="100" w:before="220"/>
      </w:pPr>
      <w:r>
        <w:rPr>
          <w:rFonts w:ascii="Calibri" w:cs="Calibri" w:eastAsia="Calibri" w:hAnsi="Calibri"/>
          <w:b/>
          <w:bCs/>
          <w:color w:val="7C481E"/>
          <w:sz w:val="24"/>
          <w:szCs w:val="24"/>
        </w:rPr>
        <w:t xml:space="preserve">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 this workbook's audience —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Compulsory / core subjects</w:t>
            </w:r>
          </w:p>
        </w:tc>
      </w:tr>
      <w:tr>
        <w:tc>
          <w:tcPr>
            <w:tcW w:type="dxa" w:w="2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 Section 4.3.1, p.21</w:t>
            </w:r>
          </w:p>
        </w:tc>
      </w:tr>
    </w:tbl>
    <w:p>
      <w:pPr>
        <w:pStyle w:val="Heading2"/>
        <w:spacing w:after="100" w:before="220"/>
      </w:pPr>
      <w:r>
        <w:rPr>
          <w:rFonts w:ascii="Calibri" w:cs="Calibri" w:eastAsia="Calibri" w:hAnsi="Calibri"/>
          <w:b/>
          <w:bCs/>
          <w:color w:val="7C481E"/>
          <w:sz w:val="24"/>
          <w:szCs w:val="24"/>
        </w:rPr>
        <w:t xml:space="preserve">The Advanced Level Pathways —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in the Framework: guidance ahead of a pathway decision is explicitly mandated, twice, in the Framework's own words.</w:t>
      </w:r>
    </w:p>
    <w:p>
      <w:pPr>
        <w:spacing w:after="120" w:before="0"/>
      </w:pPr>
      <w:r>
        <w:rPr>
          <w:rFonts w:ascii="Calibri" w:cs="Calibri" w:eastAsia="Calibri" w:hAnsi="Calibri"/>
          <w:b w:val="false"/>
          <w:bCs w:val="false"/>
          <w:i w:val="false"/>
          <w:iCs w:val="false"/>
          <w:color w:val="221F1A"/>
          <w:sz w:val="21"/>
          <w:szCs w:val="21"/>
        </w:rPr>
        <w:t xml:space="preserve">The Framework establishes the Personal–Social–Vocational–Educational (PSVE) structure and the pathway system with page-cited authority. It does not contain a separate, numbered, learning-objective-by-objective Guidance and Counselling syllabus of the kind subjects like English or Biology have as their own booklet — consistent with Guidance and Counselling's status here as cross-cutting rather than examined. This Framework is treated as the governing source for this mapping.</w:t>
      </w:r>
    </w:p>
    <w:p>
      <w:pPr>
        <w:pStyle w:val="Heading1"/>
        <w:pBdr>
          <w:bottom w:val="single" w:color="A8632C" w:sz="6" w:space="4"/>
        </w:pBdr>
        <w:spacing w:after="140" w:before="320"/>
      </w:pPr>
      <w:r>
        <w:rPr>
          <w:rFonts w:ascii="Calibri" w:cs="Calibri" w:eastAsia="Calibri" w:hAnsi="Calibri"/>
          <w:b/>
          <w:bCs/>
          <w:color w:val="7C481E"/>
          <w:sz w:val="30"/>
          <w:szCs w:val="30"/>
        </w:rPr>
        <w:t xml:space="preserve">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How it is addressed</w:t>
            </w:r>
          </w:p>
        </w:tc>
      </w:tr>
      <w:tr>
        <w:tc>
          <w:tcPr>
            <w:tcW w:type="dxa" w:w="2144"/>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Introduction — “How Your Result Works”</w:t>
            </w:r>
          </w:p>
        </w:tc>
        <w:tc>
          <w:tcPr>
            <w:tcW w:type="dxa" w:w="296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r>
      <w:tr>
        <w:tc>
          <w:tcPr>
            <w:tcW w:type="dxa" w:w="2144"/>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r>
      <w:tr>
        <w:tc>
          <w:tcPr>
            <w:tcW w:type="dxa" w:w="2144"/>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r>
      <w:tr>
        <w:tc>
          <w:tcPr>
            <w:tcW w:type="dxa" w:w="2144"/>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r>
      <w:tr>
        <w:tc>
          <w:tcPr>
            <w:tcW w:type="dxa" w:w="2144"/>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r>
      <w:tr>
        <w:tc>
          <w:tcPr>
            <w:tcW w:type="dxa" w:w="2144"/>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r>
      <w:tr>
        <w:tc>
          <w:tcPr>
            <w:tcW w:type="dxa" w:w="2144"/>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between each of the seven orientations and the official pathway it points a learner toward, and why.</w:t>
      </w:r>
    </w:p>
    <w:p>
      <w:pPr>
        <w:pStyle w:val="Heading2"/>
        <w:spacing w:after="100" w:before="220"/>
      </w:pPr>
      <w:r>
        <w:rPr>
          <w:rFonts w:ascii="Calibri" w:cs="Calibri" w:eastAsia="Calibri" w:hAnsi="Calibri"/>
          <w:b/>
          <w:bCs/>
          <w:color w:val="7C481E"/>
          <w:sz w:val="24"/>
          <w:szCs w:val="24"/>
        </w:rPr>
        <w:t xml:space="preserve">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506"/>
        <w:gridCol w:w="2600"/>
      </w:tblGrid>
      <w:tr>
        <w:trPr>
          <w:tblHeader/>
        </w:trPr>
        <w:tc>
          <w:tcPr>
            <w:tcW w:type="dxa" w:w="30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Orientation</w:t>
            </w:r>
          </w:p>
        </w:tc>
        <w:tc>
          <w:tcPr>
            <w:tcW w:type="dxa" w:w="20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Primary O-Level pathway</w:t>
            </w:r>
          </w:p>
        </w:tc>
        <w:tc>
          <w:tcPr>
            <w:tcW w:type="dxa" w:w="25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Related pathway(s)</w:t>
            </w:r>
          </w:p>
        </w:tc>
      </w:tr>
      <w:tr>
        <w:tc>
          <w:tcPr>
            <w:tcW w:type="dxa" w:w="3000"/>
            <w:shd w:fill="E8EEF3"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B5F86"/>
                <w:sz w:val="18"/>
                <w:szCs w:val="18"/>
              </w:rPr>
              <w:t xml:space="preserve">  Order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3B5F86"/>
                <w:sz w:val="18"/>
                <w:szCs w:val="18"/>
              </w:rPr>
              <w:t xml:space="preserve">Technology</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3000"/>
            <w:shd w:fill="F3E7EF"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8C3F72"/>
                <w:sz w:val="18"/>
                <w:szCs w:val="18"/>
              </w:rPr>
              <w:t xml:space="preserve">  Form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8C3F72"/>
                <w:sz w:val="18"/>
                <w:szCs w:val="18"/>
              </w:rPr>
              <w:t xml:space="preserve">Performing and Creative Arts</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3000"/>
            <w:shd w:fill="E5F0ED"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2F7D6E"/>
                <w:sz w:val="18"/>
                <w:szCs w:val="18"/>
              </w:rPr>
              <w:t xml:space="preserve">  Coordination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2F7D6E"/>
                <w:sz w:val="18"/>
                <w:szCs w:val="18"/>
              </w:rPr>
              <w:t xml:space="preserve">Business and Finance</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3000"/>
            <w:shd w:fill="FBEADB"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C1631F"/>
                <w:sz w:val="18"/>
                <w:szCs w:val="18"/>
              </w:rPr>
              <w:t xml:space="preserve">  Discovery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C1631F"/>
                <w:sz w:val="18"/>
                <w:szCs w:val="18"/>
              </w:rPr>
              <w:t xml:space="preserve">Natural Sciences</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3000"/>
            <w:shd w:fill="F3EED9"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9C7A26"/>
                <w:sz w:val="18"/>
                <w:szCs w:val="18"/>
              </w:rPr>
              <w:t xml:space="preserve">  Integration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9C7A26"/>
                <w:sz w:val="18"/>
                <w:szCs w:val="18"/>
              </w:rPr>
              <w:t xml:space="preserve">Social Sciences</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3000"/>
            <w:shd w:fill="E6EEE7"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D6B45"/>
                <w:sz w:val="18"/>
                <w:szCs w:val="18"/>
              </w:rPr>
              <w:t xml:space="preserve">  Preservation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Agriculture Science</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3000"/>
            <w:shd w:fill="EBE6F2"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5B4090"/>
                <w:sz w:val="18"/>
                <w:szCs w:val="18"/>
              </w:rPr>
              <w:t xml:space="preserve">  Transformation Orientation</w:t>
            </w:r>
          </w:p>
        </w:tc>
        <w:tc>
          <w:tcPr>
            <w:tcW w:type="dxa" w:w="2000"/>
            <w:tcMar>
              <w:top w:type="dxa" w:w="90"/>
              <w:left w:type="dxa" w:w="110"/>
              <w:bottom w:type="dxa" w:w="90"/>
              <w:right w:type="dxa" w:w="110"/>
            </w:tcMar>
            <w:vAlign w:val="center"/>
          </w:tcPr>
          <w:p>
            <w:pPr>
              <w:spacing w:after="40"/>
            </w:pPr>
            <w:r>
              <w:rPr>
                <w:rFonts w:ascii="Calibri" w:cs="Calibri" w:eastAsia="Calibri" w:hAnsi="Calibri"/>
                <w:b/>
                <w:bCs/>
                <w:i w:val="false"/>
                <w:iCs w:val="false"/>
                <w:color w:val="5B4090"/>
                <w:sz w:val="18"/>
                <w:szCs w:val="18"/>
              </w:rPr>
              <w:t xml:space="preserve">Technology</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shd w:fill="E8EEF3"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B5F86"/>
                <w:sz w:val="18"/>
                <w:szCs w:val="18"/>
              </w:rPr>
              <w:t xml:space="preserve">  Order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3B5F86"/>
                <w:sz w:val="18"/>
                <w:szCs w:val="18"/>
              </w:rPr>
              <w:t xml:space="preserve">STEM</w:t>
            </w:r>
          </w:p>
        </w:tc>
      </w:tr>
      <w:tr>
        <w:tc>
          <w:tcPr>
            <w:tcW w:type="dxa" w:w="3600"/>
            <w:shd w:fill="F3E7EF"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8C3F72"/>
                <w:sz w:val="18"/>
                <w:szCs w:val="18"/>
              </w:rPr>
              <w:t xml:space="preserve">  Form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8C3F72"/>
                <w:sz w:val="18"/>
                <w:szCs w:val="18"/>
              </w:rPr>
              <w:t xml:space="preserve">Creative and Performing Arts</w:t>
            </w:r>
          </w:p>
        </w:tc>
      </w:tr>
      <w:tr>
        <w:tc>
          <w:tcPr>
            <w:tcW w:type="dxa" w:w="3600"/>
            <w:shd w:fill="E5F0ED"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2F7D6E"/>
                <w:sz w:val="18"/>
                <w:szCs w:val="18"/>
              </w:rPr>
              <w:t xml:space="preserve">  Coordination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2F7D6E"/>
                <w:sz w:val="18"/>
                <w:szCs w:val="18"/>
              </w:rPr>
              <w:t xml:space="preserve">Business Studies</w:t>
            </w:r>
          </w:p>
        </w:tc>
      </w:tr>
      <w:tr>
        <w:tc>
          <w:tcPr>
            <w:tcW w:type="dxa" w:w="3600"/>
            <w:shd w:fill="FBEADB"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C1631F"/>
                <w:sz w:val="18"/>
                <w:szCs w:val="18"/>
              </w:rPr>
              <w:t xml:space="preserve">  Discovery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C1631F"/>
                <w:sz w:val="18"/>
                <w:szCs w:val="18"/>
              </w:rPr>
              <w:t xml:space="preserve">STEM</w:t>
            </w:r>
          </w:p>
        </w:tc>
      </w:tr>
      <w:tr>
        <w:tc>
          <w:tcPr>
            <w:tcW w:type="dxa" w:w="3600"/>
            <w:shd w:fill="F3EED9"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9C7A26"/>
                <w:sz w:val="18"/>
                <w:szCs w:val="18"/>
              </w:rPr>
              <w:t xml:space="preserve">  Integration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9C7A26"/>
                <w:sz w:val="18"/>
                <w:szCs w:val="18"/>
              </w:rPr>
              <w:t xml:space="preserve">Social Sciences and Languages</w:t>
            </w:r>
          </w:p>
        </w:tc>
      </w:tr>
      <w:tr>
        <w:tc>
          <w:tcPr>
            <w:tcW w:type="dxa" w:w="3600"/>
            <w:shd w:fill="E6EEE7"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D6B45"/>
                <w:sz w:val="18"/>
                <w:szCs w:val="18"/>
              </w:rPr>
              <w:t xml:space="preserve">  Preservation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3D6B45"/>
                <w:sz w:val="18"/>
                <w:szCs w:val="18"/>
              </w:rPr>
              <w:t xml:space="preserve">Social Sciences and Languages</w:t>
            </w:r>
          </w:p>
        </w:tc>
      </w:tr>
      <w:tr>
        <w:tc>
          <w:tcPr>
            <w:tcW w:type="dxa" w:w="3600"/>
            <w:shd w:fill="EBE6F2"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5B4090"/>
                <w:sz w:val="18"/>
                <w:szCs w:val="18"/>
              </w:rPr>
              <w:t xml:space="preserve">  Transformation Orientation</w:t>
            </w:r>
          </w:p>
        </w:tc>
        <w:tc>
          <w:tcPr>
            <w:tcW w:type="dxa" w:w="6506"/>
            <w:tcMar>
              <w:top w:type="dxa" w:w="90"/>
              <w:left w:type="dxa" w:w="110"/>
              <w:bottom w:type="dxa" w:w="90"/>
              <w:right w:type="dxa" w:w="110"/>
            </w:tcMar>
            <w:vAlign w:val="center"/>
          </w:tcPr>
          <w:p>
            <w:pPr>
              <w:spacing w:after="40"/>
            </w:pPr>
            <w:r>
              <w:rPr>
                <w:rFonts w:ascii="Calibri" w:cs="Calibri" w:eastAsia="Calibri" w:hAnsi="Calibri"/>
                <w:b/>
                <w:bCs/>
                <w:i w:val="false"/>
                <w:iCs w:val="false"/>
                <w:color w:val="5B4090"/>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Scope note: two official pathways are secondary matches only</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defined — Preservation is the closest secondary fit, via discipline and physical stewardship. Home Economics and Hospitality (O-Level) similarly has no orientation for which it is primary — Form and Integration touch it only as a secondary or related pathway.</w:t>
            </w:r>
          </w:p>
          <w:p>
            <w:pPr>
              <w:spacing w:after="80"/>
            </w:pPr>
            <w:r>
              <w:rPr>
                <w:rFonts w:ascii="Calibri" w:cs="Calibri" w:eastAsia="Calibri" w:hAnsi="Calibri"/>
                <w:color w:val="221F1A"/>
                <w:sz w:val="20"/>
                <w:szCs w:val="20"/>
              </w:rPr>
              <w:t xml:space="preserve">This is a stated scope limitation of the current seven-orientation model, not an omission: learners drawn to sport or hospitality careers are served through the secondary and related pathway columns above.</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strongly covered. Social is addressed directly through a dedicated small-group activity: learners share a Pathways to Explore item, then discuss what each person's orientation would contribute to a shared class project and which orientation, if any, is missing from the group — see the facilitator's guide, Session 3.</w:t>
      </w:r>
    </w:p>
    <w:p>
      <w:pPr>
        <w:pStyle w:val="Heading1"/>
        <w:pBdr>
          <w:bottom w:val="single" w:color="A8632C" w:sz="6" w:space="4"/>
        </w:pBdr>
        <w:spacing w:after="140" w:before="320"/>
      </w:pPr>
      <w:r>
        <w:rPr>
          <w:rFonts w:ascii="Calibri" w:cs="Calibri" w:eastAsia="Calibri" w:hAnsi="Calibri"/>
          <w:b/>
          <w:bCs/>
          <w:color w:val="7C481E"/>
          <w:sz w:val="30"/>
          <w:szCs w:val="30"/>
        </w:rPr>
        <w:t xml:space="preserve">Terminology Applied to the Workbook</w:t>
      </w:r>
    </w:p>
    <w:p>
      <w:pPr>
        <w:spacing w:after="120" w:before="0"/>
      </w:pPr>
      <w:r>
        <w:rPr>
          <w:rFonts w:ascii="Calibri" w:cs="Calibri" w:eastAsia="Calibri" w:hAnsi="Calibri"/>
          <w:b w:val="false"/>
          <w:bCs w:val="false"/>
          <w:i w:val="false"/>
          <w:iCs w:val="false"/>
          <w:color w:val="221F1A"/>
          <w:sz w:val="21"/>
          <w:szCs w:val="21"/>
        </w:rPr>
        <w:t xml:space="preserve">The workbook's pathways content uses the Framework's exact subject names throughout:</w:t>
      </w:r>
    </w:p>
    <w:p>
      <w:pPr>
        <w:pStyle w:val="ListParagraph"/>
        <w:numPr>
          <w:ilvl w:val="0"/>
          <w:numId w:val="2"/>
        </w:numPr>
        <w:spacing w:after="80"/>
      </w:pPr>
      <w:r>
        <w:rPr>
          <w:rFonts w:ascii="Calibri" w:cs="Calibri" w:eastAsia="Calibri" w:hAnsi="Calibri"/>
          <w:color w:val="221F1A"/>
          <w:sz w:val="21"/>
          <w:szCs w:val="21"/>
        </w:rPr>
        <w:t xml:space="preserve">Where the Integration profile names a Home Economics subject, it names the specific subject — Food and Nutrition — rather than the pathway name “Home Economics,” since the Framework names the constituent subjects as Fashion and Fabrics, Food and Nutrition, Hospitality Management, and Travel and Tourism.</w:t>
      </w:r>
    </w:p>
    <w:p>
      <w:pPr>
        <w:pStyle w:val="ListParagraph"/>
        <w:numPr>
          <w:ilvl w:val="0"/>
          <w:numId w:val="2"/>
        </w:numPr>
        <w:spacing w:after="80"/>
      </w:pPr>
      <w:r>
        <w:rPr>
          <w:rFonts w:ascii="Calibri" w:cs="Calibri" w:eastAsia="Calibri" w:hAnsi="Calibri"/>
          <w:color w:val="221F1A"/>
          <w:sz w:val="21"/>
          <w:szCs w:val="21"/>
        </w:rPr>
        <w:t xml:space="preserve">Computer Studies is named as compulsory and non-examinable across all pathways; Computer Science is named separately as the examinable Technology-pathway subject, for orientations pointing toward Technology and data-related careers.</w:t>
      </w:r>
    </w:p>
    <w:p>
      <w:pPr>
        <w:pStyle w:val="ListParagraph"/>
        <w:numPr>
          <w:ilvl w:val="0"/>
          <w:numId w:val="2"/>
        </w:numPr>
        <w:spacing w:after="80"/>
      </w:pPr>
      <w:r>
        <w:rPr>
          <w:rFonts w:ascii="Calibri" w:cs="Calibri" w:eastAsia="Calibri" w:hAnsi="Calibri"/>
          <w:color w:val="221F1A"/>
          <w:sz w:val="21"/>
          <w:szCs w:val="21"/>
        </w:rPr>
        <w:t xml:space="preserve">Principles of Accounts is named as the O-Level feeder subject for the Order profile's tertiary Accounting field, matching the Framework's exact subject name.</w:t>
      </w:r>
    </w:p>
    <w:p>
      <w:r>
        <w:br w:type="page"/>
      </w:r>
    </w:p>
    <w:tbl>
      <w:tblPr>
        <w:tblW w:type="dxa" w:w="10106"/>
        <w:tblBorders>
          <w:top w:val="none"/>
          <w:left w:val="none"/>
          <w:bottom w:val="none"/>
          <w:right w:val="none"/>
          <w:insideH w:val="single" w:color="auto" w:sz="4"/>
          <w:insideV w:val="single" w:color="auto" w:sz="4"/>
        </w:tblBorders>
      </w:tblPr>
      <w:tblGrid>
        <w:gridCol w:w="10106"/>
      </w:tblGrid>
      <w:tr>
        <w:tc>
          <w:tcPr>
            <w:tcW w:type="dxa" w:w="10106"/>
            <w:shd w:fill="A8632C" w:color="auto" w:val="clear"/>
            <w:tcMar>
              <w:top w:type="dxa" w:w="360"/>
              <w:left w:type="dxa" w:w="280"/>
              <w:bottom w:type="dxa" w:w="360"/>
              <w:right w:type="dxa" w:w="280"/>
            </w:tcMar>
          </w:tcPr>
          <w:p>
            <w:pPr>
              <w:spacing w:after="60"/>
            </w:pPr>
            <w:r>
              <w:rPr>
                <w:rFonts w:ascii="Calibri" w:cs="Calibri" w:eastAsia="Calibri" w:hAnsi="Calibri"/>
                <w:b/>
                <w:bCs/>
                <w:color w:val="F3E3CE"/>
                <w:spacing w:val="30"/>
                <w:sz w:val="18"/>
                <w:szCs w:val="18"/>
              </w:rPr>
              <w:t xml:space="preserve">PART TWO</w:t>
            </w:r>
          </w:p>
          <w:p>
            <w:pPr>
              <w:spacing w:after="100"/>
            </w:pPr>
            <w:r>
              <w:rPr>
                <w:rFonts w:ascii="Calibri" w:cs="Calibri" w:eastAsia="Calibri" w:hAnsi="Calibri"/>
                <w:b/>
                <w:bCs/>
                <w:color w:val="FFFFFF"/>
                <w:sz w:val="36"/>
                <w:szCs w:val="36"/>
              </w:rPr>
              <w:t xml:space="preserve">Facilitator's Guide</w:t>
            </w:r>
          </w:p>
          <w:p>
            <w:r>
              <w:rPr>
                <w:rFonts w:ascii="Calibri" w:cs="Calibri" w:eastAsia="Calibri" w:hAnsi="Calibri"/>
                <w:i/>
                <w:iCs/>
                <w:color w:val="F6E9D8"/>
                <w:sz w:val="20"/>
                <w:szCs w:val="20"/>
              </w:rPr>
              <w:t xml:space="preserve">Running the workbook across three sessions with Form 3/4 learners</w:t>
            </w:r>
          </w:p>
        </w:tc>
      </w:tr>
    </w:tbl>
    <w:p>
      <w:pPr>
        <w:spacing w:after="60" w:before="0"/>
      </w:pPr>
      <w:r>
        <w:rPr>
          <w:rFonts w:ascii="Calibri" w:cs="Calibri" w:eastAsia="Calibri" w:hAnsi="Calibri"/>
          <w:b w:val="false"/>
          <w:bCs w:val="false"/>
          <w:i w:val="false"/>
          <w:iCs w:val="false"/>
          <w:color w:val="221F1A"/>
          <w:sz w:val="21"/>
          <w:szCs w:val="21"/>
        </w:rPr>
        <w:t xml:space="preserve"> </w:t>
      </w:r>
    </w:p>
    <w:p>
      <w:pPr>
        <w:spacing w:after="120" w:before="0"/>
      </w:pPr>
      <w:r>
        <w:rPr>
          <w:rFonts w:ascii="Calibri" w:cs="Calibri" w:eastAsia="Calibri" w:hAnsi="Calibri"/>
          <w:b w:val="false"/>
          <w:bCs w:val="false"/>
          <w:i w:val="false"/>
          <w:iCs w:val="false"/>
          <w:color w:val="221F1A"/>
          <w:sz w:val="21"/>
          <w:szCs w:val="21"/>
        </w:rPr>
        <w:t xml:space="preserve">This guide grounds the four official Careers Guidance and Counselling areas — Personal, Social, Vocational, Educational (PSVE) — used throughout in the 2023 Zambia Education Curriculum Framework, as set out in Part One above.</w:t>
      </w:r>
    </w:p>
    <w:p>
      <w:pPr>
        <w:pStyle w:val="Heading1"/>
        <w:pBdr>
          <w:bottom w:val="single" w:color="A8632C" w:sz="6" w:space="4"/>
        </w:pBdr>
        <w:spacing w:after="140" w:before="320"/>
      </w:pPr>
      <w:r>
        <w:rPr>
          <w:rFonts w:ascii="Calibri" w:cs="Calibri" w:eastAsia="Calibri" w:hAnsi="Calibri"/>
          <w:b/>
          <w:bCs/>
          <w:color w:val="7C481E"/>
          <w:sz w:val="30"/>
          <w:szCs w:val="30"/>
        </w:rPr>
        <w:t xml:space="preserve">What This Tool Is — and Is Not</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Say this to learners, and hold to it as facilitator</w:t>
            </w:r>
          </w:p>
          <w:p>
            <w:pPr>
              <w:spacing w:after="80"/>
            </w:pPr>
            <w:r>
              <w:rPr>
                <w:rFonts w:ascii="Calibri" w:cs="Calibri" w:eastAsia="Calibri" w:hAnsi="Calibri"/>
                <w:color w:val="221F1A"/>
                <w:sz w:val="20"/>
                <w:szCs w:val="20"/>
              </w:rPr>
              <w:t xml:space="preserve">This IS a structured way to reflect on how you naturally like to work, and a starting point for a conversation about subjects and careers.</w:t>
            </w:r>
          </w:p>
          <w:p>
            <w:pPr>
              <w:spacing w:after="80"/>
            </w:pPr>
            <w:r>
              <w:rPr>
                <w:rFonts w:ascii="Calibri" w:cs="Calibri" w:eastAsia="Calibri" w:hAnsi="Calibri"/>
                <w:color w:val="221F1A"/>
                <w:sz w:val="20"/>
                <w:szCs w:val="20"/>
              </w:rPr>
              <w:t xml:space="preserve">This is NOT a scientifically validated personality or aptitude test. Treat every result as a prompt for discussion, never as a verdict.</w:t>
            </w:r>
          </w:p>
          <w:p>
            <w:pPr>
              <w:spacing w:after="80"/>
            </w:pPr>
            <w:r>
              <w:rPr>
                <w:rFonts w:ascii="Calibri" w:cs="Calibri" w:eastAsia="Calibri" w:hAnsi="Calibri"/>
                <w:color w:val="221F1A"/>
                <w:sz w:val="20"/>
                <w:szCs w:val="20"/>
              </w:rPr>
              <w:t xml:space="preserve">This is NOT a placement tool. No school uses a learner's result to assign, restrict, or override their subject choices. The learner and their family make that decision, with the facilitator's support.</w:t>
            </w:r>
          </w:p>
          <w:p>
            <w:pPr>
              <w:spacing w:after="80"/>
            </w:pPr>
            <w:r>
              <w:rPr>
                <w:rFonts w:ascii="Calibri" w:cs="Calibri" w:eastAsia="Calibri" w:hAnsi="Calibri"/>
                <w:color w:val="221F1A"/>
                <w:sz w:val="20"/>
                <w:szCs w:val="20"/>
              </w:rPr>
              <w:t xml:space="preserve">Participation in the activity can be required as normal classwork. Sharing a personal result out loud is always voluntary.</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Learning Objectives</w:t>
      </w:r>
    </w:p>
    <w:p>
      <w:pPr>
        <w:spacing w:after="120" w:before="0"/>
      </w:pPr>
      <w:r>
        <w:rPr>
          <w:rFonts w:ascii="Calibri" w:cs="Calibri" w:eastAsia="Calibri" w:hAnsi="Calibri"/>
          <w:b w:val="false"/>
          <w:bCs w:val="false"/>
          <w:i w:val="false"/>
          <w:iCs w:val="false"/>
          <w:color w:val="221F1A"/>
          <w:sz w:val="21"/>
          <w:szCs w:val="21"/>
        </w:rPr>
        <w:t xml:space="preserve">By the end of all three sessions, a learner is able to:</w:t>
      </w:r>
    </w:p>
    <w:p>
      <w:pPr>
        <w:pStyle w:val="ListParagraph"/>
        <w:numPr>
          <w:ilvl w:val="0"/>
          <w:numId w:val="2"/>
        </w:numPr>
        <w:spacing w:after="80"/>
      </w:pPr>
      <w:r>
        <w:rPr>
          <w:rFonts w:ascii="Calibri" w:cs="Calibri" w:eastAsia="Calibri" w:hAnsi="Calibri"/>
          <w:color w:val="221F1A"/>
          <w:sz w:val="21"/>
          <w:szCs w:val="21"/>
        </w:rPr>
        <w:t xml:space="preserve">Describe their own dominant and secondary working style in their own words (Personal).</w:t>
      </w:r>
    </w:p>
    <w:p>
      <w:pPr>
        <w:pStyle w:val="ListParagraph"/>
        <w:numPr>
          <w:ilvl w:val="0"/>
          <w:numId w:val="2"/>
        </w:numPr>
        <w:spacing w:after="80"/>
      </w:pPr>
      <w:r>
        <w:rPr>
          <w:rFonts w:ascii="Calibri" w:cs="Calibri" w:eastAsia="Calibri" w:hAnsi="Calibri"/>
          <w:color w:val="221F1A"/>
          <w:sz w:val="21"/>
          <w:szCs w:val="21"/>
        </w:rPr>
        <w:t xml:space="preserve">Explain at least one realistic feature of what day-to-day work is like in a field connected to their result (Vocational).</w:t>
      </w:r>
    </w:p>
    <w:p>
      <w:pPr>
        <w:pStyle w:val="ListParagraph"/>
        <w:numPr>
          <w:ilvl w:val="0"/>
          <w:numId w:val="2"/>
        </w:numPr>
        <w:spacing w:after="80"/>
      </w:pPr>
      <w:r>
        <w:rPr>
          <w:rFonts w:ascii="Calibri" w:cs="Calibri" w:eastAsia="Calibri" w:hAnsi="Calibri"/>
          <w:color w:val="221F1A"/>
          <w:sz w:val="21"/>
          <w:szCs w:val="21"/>
        </w:rPr>
        <w:t xml:space="preserve">State one concrete decision or next step they intend to take before the end of term, and one person they will discuss it with (Educational).</w:t>
      </w:r>
    </w:p>
    <w:p>
      <w:pPr>
        <w:pStyle w:val="ListParagraph"/>
        <w:numPr>
          <w:ilvl w:val="0"/>
          <w:numId w:val="2"/>
        </w:numPr>
        <w:spacing w:after="80"/>
      </w:pPr>
      <w:r>
        <w:rPr>
          <w:rFonts w:ascii="Calibri" w:cs="Calibri" w:eastAsia="Calibri" w:hAnsi="Calibri"/>
          <w:color w:val="221F1A"/>
          <w:sz w:val="21"/>
          <w:szCs w:val="21"/>
        </w:rPr>
        <w:t xml:space="preserve">Name at least one subject, institution, or career example from their own Pathways to Explore section (Vocational, Educational).</w:t>
      </w:r>
    </w:p>
    <w:p>
      <w:pPr>
        <w:pStyle w:val="ListParagraph"/>
        <w:numPr>
          <w:ilvl w:val="0"/>
          <w:numId w:val="2"/>
        </w:numPr>
        <w:spacing w:after="80"/>
      </w:pPr>
      <w:r>
        <w:rPr>
          <w:rFonts w:ascii="Calibri" w:cs="Calibri" w:eastAsia="Calibri" w:hAnsi="Calibri"/>
          <w:color w:val="221F1A"/>
          <w:sz w:val="21"/>
          <w:szCs w:val="21"/>
        </w:rPr>
        <w:t xml:space="preserve">Identify one way their own working style could complement a classmate's different working style on a shared task (Social).</w:t>
      </w:r>
    </w:p>
    <w:p>
      <w:pPr>
        <w:pStyle w:val="Heading1"/>
        <w:pBdr>
          <w:bottom w:val="single" w:color="A8632C" w:sz="6" w:space="4"/>
        </w:pBdr>
        <w:spacing w:after="140" w:before="320"/>
      </w:pPr>
      <w:r>
        <w:rPr>
          <w:rFonts w:ascii="Calibri" w:cs="Calibri" w:eastAsia="Calibri" w:hAnsi="Calibri"/>
          <w:b/>
          <w:bCs/>
          <w:color w:val="7C481E"/>
          <w:sz w:val="30"/>
          <w:szCs w:val="30"/>
        </w:rPr>
        <w:t xml:space="preserve">Preparation Checklist</w:t>
      </w:r>
    </w:p>
    <w:p>
      <w:pPr>
        <w:pStyle w:val="ListParagraph"/>
        <w:numPr>
          <w:ilvl w:val="0"/>
          <w:numId w:val="2"/>
        </w:numPr>
        <w:spacing w:after="80"/>
      </w:pPr>
      <w:r>
        <w:rPr>
          <w:rFonts w:ascii="Calibri" w:cs="Calibri" w:eastAsia="Calibri" w:hAnsi="Calibri"/>
          <w:color w:val="221F1A"/>
          <w:sz w:val="21"/>
          <w:szCs w:val="21"/>
        </w:rPr>
        <w:t xml:space="preserve">Enough copies of the Pathway Orientation workbook for every learner, or a plan for shared/photocopied use.</w:t>
      </w:r>
    </w:p>
    <w:p>
      <w:pPr>
        <w:pStyle w:val="ListParagraph"/>
        <w:numPr>
          <w:ilvl w:val="0"/>
          <w:numId w:val="2"/>
        </w:numPr>
        <w:spacing w:after="80"/>
      </w:pPr>
      <w:r>
        <w:rPr>
          <w:rFonts w:ascii="Calibri" w:cs="Calibri" w:eastAsia="Calibri" w:hAnsi="Calibri"/>
          <w:color w:val="221F1A"/>
          <w:sz w:val="21"/>
          <w:szCs w:val="21"/>
        </w:rPr>
        <w:t xml:space="preserve">Pens or pencils.</w:t>
      </w:r>
    </w:p>
    <w:p>
      <w:pPr>
        <w:pStyle w:val="ListParagraph"/>
        <w:numPr>
          <w:ilvl w:val="0"/>
          <w:numId w:val="2"/>
        </w:numPr>
        <w:spacing w:after="80"/>
      </w:pPr>
      <w:r>
        <w:rPr>
          <w:rFonts w:ascii="Calibri" w:cs="Calibri" w:eastAsia="Calibri" w:hAnsi="Calibri"/>
          <w:color w:val="221F1A"/>
          <w:sz w:val="21"/>
          <w:szCs w:val="21"/>
        </w:rPr>
        <w:t xml:space="preserve">This guide, read in full, with the world-of-work notes marked up in the facilitator's own words.</w:t>
      </w:r>
    </w:p>
    <w:p>
      <w:pPr>
        <w:pStyle w:val="ListParagraph"/>
        <w:numPr>
          <w:ilvl w:val="0"/>
          <w:numId w:val="2"/>
        </w:numPr>
        <w:spacing w:after="80"/>
      </w:pPr>
      <w:r>
        <w:rPr>
          <w:rFonts w:ascii="Calibri" w:cs="Calibri" w:eastAsia="Calibri" w:hAnsi="Calibri"/>
          <w:color w:val="221F1A"/>
          <w:sz w:val="21"/>
          <w:szCs w:val="21"/>
        </w:rPr>
        <w:t xml:space="preserve">A copy of the syllabus mapping (Part One) for the facilitator's own reference, not for learners.</w:t>
      </w:r>
    </w:p>
    <w:p>
      <w:pPr>
        <w:pStyle w:val="ListParagraph"/>
        <w:numPr>
          <w:ilvl w:val="0"/>
          <w:numId w:val="2"/>
        </w:numPr>
        <w:spacing w:after="80"/>
      </w:pPr>
      <w:r>
        <w:rPr>
          <w:rFonts w:ascii="Calibri" w:cs="Calibri" w:eastAsia="Calibri" w:hAnsi="Calibri"/>
          <w:color w:val="221F1A"/>
          <w:sz w:val="21"/>
          <w:szCs w:val="21"/>
        </w:rPr>
        <w:t xml:space="preserve">Awareness of the school's normal safeguarding/referral route, in case Session 3 surfaces a learner who needs individual follow-up.</w:t>
      </w:r>
    </w:p>
    <w:p>
      <w:pPr>
        <w:pStyle w:val="Heading1"/>
        <w:pBdr>
          <w:bottom w:val="single" w:color="A8632C" w:sz="6" w:space="4"/>
        </w:pBdr>
        <w:spacing w:after="140" w:before="320"/>
      </w:pPr>
      <w:r>
        <w:rPr>
          <w:rFonts w:ascii="Calibri" w:cs="Calibri" w:eastAsia="Calibri" w:hAnsi="Calibri"/>
          <w:b/>
          <w:bCs/>
          <w:color w:val="7C481E"/>
          <w:sz w:val="30"/>
          <w:szCs w:val="30"/>
        </w:rPr>
        <w:t xml:space="preserve">Suggested Session Plan</w:t>
      </w:r>
    </w:p>
    <w:p>
      <w:pPr>
        <w:spacing w:after="120" w:before="0"/>
      </w:pPr>
      <w:r>
        <w:rPr>
          <w:rFonts w:ascii="Calibri" w:cs="Calibri" w:eastAsia="Calibri" w:hAnsi="Calibri"/>
          <w:b w:val="false"/>
          <w:bCs w:val="false"/>
          <w:i w:val="false"/>
          <w:iCs w:val="false"/>
          <w:color w:val="221F1A"/>
          <w:sz w:val="21"/>
          <w:szCs w:val="21"/>
        </w:rPr>
        <w:t xml:space="preserve">Three single periods work well. If a school only has double periods available, Sessions 1 and 2 can be combined; Session 3 stays separate, since it needs unhurried discussion time.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500"/>
        <w:gridCol w:w="1400"/>
        <w:gridCol w:w="3606"/>
      </w:tblGrid>
      <w:tr>
        <w:trPr>
          <w:tblHeader/>
        </w:trPr>
        <w:tc>
          <w:tcPr>
            <w:tcW w:type="dxa" w:w="6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t>
            </w:r>
          </w:p>
        </w:tc>
        <w:tc>
          <w:tcPr>
            <w:tcW w:type="dxa" w:w="30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Session focus</w:t>
            </w:r>
          </w:p>
        </w:tc>
        <w:tc>
          <w:tcPr>
            <w:tcW w:type="dxa" w:w="15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Time</w:t>
            </w:r>
          </w:p>
        </w:tc>
        <w:tc>
          <w:tcPr>
            <w:tcW w:type="dxa" w:w="14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Domain(s)</w:t>
            </w:r>
          </w:p>
        </w:tc>
        <w:tc>
          <w:tcPr>
            <w:tcW w:type="dxa" w:w="36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happens</w:t>
            </w:r>
          </w:p>
        </w:tc>
      </w:tr>
      <w:tr>
        <w:tc>
          <w:tcPr>
            <w:tcW w:type="dxa" w:w="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1</w:t>
            </w:r>
          </w:p>
        </w:tc>
        <w:tc>
          <w:tcPr>
            <w:tcW w:type="dxa" w:w="30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Introduction &amp; Self-Assessment</w:t>
            </w:r>
          </w:p>
        </w:tc>
        <w:tc>
          <w:tcPr>
            <w:tcW w:type="dxa" w:w="15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~40 min</w:t>
            </w:r>
          </w:p>
        </w:tc>
        <w:tc>
          <w:tcPr>
            <w:tcW w:type="dxa" w:w="14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Personal</w:t>
            </w:r>
          </w:p>
        </w:tc>
        <w:tc>
          <w:tcPr>
            <w:tcW w:type="dxa" w:w="36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Ground rules, framing, complete the 42-item questionnaire</w:t>
            </w:r>
          </w:p>
        </w:tc>
      </w:tr>
      <w:tr>
        <w:tc>
          <w:tcPr>
            <w:tcW w:type="dxa" w:w="6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2</w:t>
            </w:r>
          </w:p>
        </w:tc>
        <w:tc>
          <w:tcPr>
            <w:tcW w:type="dxa" w:w="30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Scoring &amp; Reading Your Result</w:t>
            </w:r>
          </w:p>
        </w:tc>
        <w:tc>
          <w:tcPr>
            <w:tcW w:type="dxa" w:w="15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~40 min</w:t>
            </w:r>
          </w:p>
        </w:tc>
        <w:tc>
          <w:tcPr>
            <w:tcW w:type="dxa" w:w="14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Personal</w:t>
            </w:r>
          </w:p>
        </w:tc>
        <w:tc>
          <w:tcPr>
            <w:tcW w:type="dxa" w:w="36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Self-score using the Scoring Key and Lookup Table; read own profile pages</w:t>
            </w:r>
          </w:p>
        </w:tc>
      </w:tr>
      <w:tr>
        <w:tc>
          <w:tcPr>
            <w:tcW w:type="dxa" w:w="6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3</w:t>
            </w:r>
          </w:p>
        </w:tc>
        <w:tc>
          <w:tcPr>
            <w:tcW w:type="dxa" w:w="30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World of Work, Decisions, Pathways &amp; Working Together</w:t>
            </w:r>
          </w:p>
        </w:tc>
        <w:tc>
          <w:tcPr>
            <w:tcW w:type="dxa" w:w="15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~45–85 min</w:t>
            </w:r>
          </w:p>
        </w:tc>
        <w:tc>
          <w:tcPr>
            <w:tcW w:type="dxa" w:w="14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Vocational, Educational, Social</w:t>
            </w:r>
          </w:p>
        </w:tc>
        <w:tc>
          <w:tcPr>
            <w:tcW w:type="dxa" w:w="36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Facilitator input on realities of each orientation's work; goal-setting worksheet; pathways discussion with a teamwork reflection</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Session 1 — Introduction &amp; Self-Assessment</w:t>
      </w:r>
    </w:p>
    <w:p>
      <w:pPr>
        <w:pStyle w:val="Heading3"/>
        <w:spacing w:after="80" w:before="160"/>
      </w:pPr>
      <w:r>
        <w:rPr>
          <w:rFonts w:ascii="Calibri" w:cs="Calibri" w:eastAsia="Calibri" w:hAnsi="Calibri"/>
          <w:b/>
          <w:bCs/>
          <w:i/>
          <w:iCs/>
          <w:color w:val="A8632C"/>
          <w:sz w:val="20"/>
          <w:szCs w:val="20"/>
        </w:rPr>
        <w:t xml:space="preserve">PSVE area: Personal</w:t>
      </w:r>
    </w:p>
    <w:p>
      <w:pPr>
        <w:pStyle w:val="ListParagraph"/>
        <w:numPr>
          <w:ilvl w:val="0"/>
          <w:numId w:val="2"/>
        </w:numPr>
        <w:spacing w:after="80"/>
      </w:pPr>
      <w:r>
        <w:rPr>
          <w:rFonts w:ascii="Calibri" w:cs="Calibri" w:eastAsia="Calibri" w:hAnsi="Calibri"/>
          <w:color w:val="221F1A"/>
          <w:sz w:val="21"/>
          <w:szCs w:val="21"/>
        </w:rPr>
        <w:t xml:space="preserve">Welcome learners and explain, in the facilitator's own words, what this tool is and is not.</w:t>
      </w:r>
    </w:p>
    <w:p>
      <w:pPr>
        <w:pStyle w:val="ListParagraph"/>
        <w:numPr>
          <w:ilvl w:val="0"/>
          <w:numId w:val="2"/>
        </w:numPr>
        <w:spacing w:after="80"/>
      </w:pPr>
      <w:r>
        <w:rPr>
          <w:rFonts w:ascii="Calibri" w:cs="Calibri" w:eastAsia="Calibri" w:hAnsi="Calibri"/>
          <w:color w:val="221F1A"/>
          <w:sz w:val="21"/>
          <w:szCs w:val="21"/>
        </w:rPr>
        <w:t xml:space="preserve">Set ground rules: honest answers, no right or wrong answers, no need to show anyone else your answers, and sharing your result later is always optional.</w:t>
      </w:r>
    </w:p>
    <w:p>
      <w:pPr>
        <w:pStyle w:val="ListParagraph"/>
        <w:numPr>
          <w:ilvl w:val="0"/>
          <w:numId w:val="2"/>
        </w:numPr>
        <w:spacing w:after="80"/>
      </w:pPr>
      <w:r>
        <w:rPr>
          <w:rFonts w:ascii="Calibri" w:cs="Calibri" w:eastAsia="Calibri" w:hAnsi="Calibri"/>
          <w:color w:val="221F1A"/>
          <w:sz w:val="21"/>
          <w:szCs w:val="21"/>
        </w:rPr>
        <w:t xml:space="preserve">Hand out workbooks (or arrange shared use) and read the instructions and 1–5 scale together as a class.</w:t>
      </w:r>
    </w:p>
    <w:p>
      <w:pPr>
        <w:pStyle w:val="ListParagraph"/>
        <w:numPr>
          <w:ilvl w:val="0"/>
          <w:numId w:val="2"/>
        </w:numPr>
        <w:spacing w:after="80"/>
      </w:pPr>
      <w:r>
        <w:rPr>
          <w:rFonts w:ascii="Calibri" w:cs="Calibri" w:eastAsia="Calibri" w:hAnsi="Calibri"/>
          <w:color w:val="221F1A"/>
          <w:sz w:val="21"/>
          <w:szCs w:val="21"/>
        </w:rPr>
        <w:t xml:space="preserve">Let learners work through all 42 questions individually and silently. Circulate to answer procedural questions only — not to help them decide how to answer.</w:t>
      </w:r>
    </w:p>
    <w:p>
      <w:pPr>
        <w:pStyle w:val="ListParagraph"/>
        <w:numPr>
          <w:ilvl w:val="0"/>
          <w:numId w:val="2"/>
        </w:numPr>
        <w:spacing w:after="80"/>
      </w:pPr>
      <w:r>
        <w:rPr>
          <w:rFonts w:ascii="Calibri" w:cs="Calibri" w:eastAsia="Calibri" w:hAnsi="Calibri"/>
          <w:color w:val="221F1A"/>
          <w:sz w:val="21"/>
          <w:szCs w:val="21"/>
        </w:rPr>
        <w:t xml:space="preserve">Collect workbooks if reusing them, or ask learners to keep them safe until Session 2.</w:t>
      </w:r>
    </w:p>
    <w:p>
      <w:pPr>
        <w:pStyle w:val="Heading1"/>
        <w:pBdr>
          <w:bottom w:val="single" w:color="A8632C" w:sz="6" w:space="4"/>
        </w:pBdr>
        <w:spacing w:after="140" w:before="320"/>
      </w:pPr>
      <w:r>
        <w:rPr>
          <w:rFonts w:ascii="Calibri" w:cs="Calibri" w:eastAsia="Calibri" w:hAnsi="Calibri"/>
          <w:b/>
          <w:bCs/>
          <w:color w:val="7C481E"/>
          <w:sz w:val="30"/>
          <w:szCs w:val="30"/>
        </w:rPr>
        <w:t xml:space="preserve">Session 2 — Scoring &amp; Reading Your Result</w:t>
      </w:r>
    </w:p>
    <w:p>
      <w:pPr>
        <w:pStyle w:val="Heading3"/>
        <w:spacing w:after="80" w:before="160"/>
      </w:pPr>
      <w:r>
        <w:rPr>
          <w:rFonts w:ascii="Calibri" w:cs="Calibri" w:eastAsia="Calibri" w:hAnsi="Calibri"/>
          <w:b/>
          <w:bCs/>
          <w:i/>
          <w:iCs/>
          <w:color w:val="A8632C"/>
          <w:sz w:val="20"/>
          <w:szCs w:val="20"/>
        </w:rPr>
        <w:t xml:space="preserve">PSVE area: Personal</w:t>
      </w:r>
    </w:p>
    <w:p>
      <w:pPr>
        <w:pStyle w:val="ListParagraph"/>
        <w:numPr>
          <w:ilvl w:val="0"/>
          <w:numId w:val="2"/>
        </w:numPr>
        <w:spacing w:after="80"/>
      </w:pPr>
      <w:r>
        <w:rPr>
          <w:rFonts w:ascii="Calibri" w:cs="Calibri" w:eastAsia="Calibri" w:hAnsi="Calibri"/>
          <w:color w:val="221F1A"/>
          <w:sz w:val="21"/>
          <w:szCs w:val="21"/>
        </w:rPr>
        <w:t xml:space="preserve">Remind learners of the Session 1 ground rules.</w:t>
      </w:r>
    </w:p>
    <w:p>
      <w:pPr>
        <w:pStyle w:val="ListParagraph"/>
        <w:numPr>
          <w:ilvl w:val="0"/>
          <w:numId w:val="2"/>
        </w:numPr>
        <w:spacing w:after="80"/>
      </w:pPr>
      <w:r>
        <w:rPr>
          <w:rFonts w:ascii="Calibri" w:cs="Calibri" w:eastAsia="Calibri" w:hAnsi="Calibri"/>
          <w:color w:val="221F1A"/>
          <w:sz w:val="21"/>
          <w:szCs w:val="21"/>
        </w:rPr>
        <w:t xml:space="preserve">Walk through the Scoring Key as a class: which question numbers belong to which orientation.</w:t>
      </w:r>
    </w:p>
    <w:p>
      <w:pPr>
        <w:pStyle w:val="ListParagraph"/>
        <w:numPr>
          <w:ilvl w:val="0"/>
          <w:numId w:val="2"/>
        </w:numPr>
        <w:spacing w:after="80"/>
      </w:pPr>
      <w:r>
        <w:rPr>
          <w:rFonts w:ascii="Calibri" w:cs="Calibri" w:eastAsia="Calibri" w:hAnsi="Calibri"/>
          <w:color w:val="221F1A"/>
          <w:sz w:val="21"/>
          <w:szCs w:val="21"/>
        </w:rPr>
        <w:t xml:space="preserve">Let learners total their own raw score per orientation, then use the Score Lookup Table to convert each to a percentage. Working in pairs to check each other's addition speeds this up.</w:t>
      </w:r>
    </w:p>
    <w:p>
      <w:pPr>
        <w:pStyle w:val="ListParagraph"/>
        <w:numPr>
          <w:ilvl w:val="0"/>
          <w:numId w:val="2"/>
        </w:numPr>
        <w:spacing w:after="80"/>
      </w:pPr>
      <w:r>
        <w:rPr>
          <w:rFonts w:ascii="Calibri" w:cs="Calibri" w:eastAsia="Calibri" w:hAnsi="Calibri"/>
          <w:color w:val="221F1A"/>
          <w:sz w:val="21"/>
          <w:szCs w:val="21"/>
        </w:rPr>
        <w:t xml:space="preserve">Once each learner has their Dominant, Secondary and Shadow orientation, let them read their own three profile pages silently.</w:t>
      </w:r>
    </w:p>
    <w:p>
      <w:pPr>
        <w:pStyle w:val="ListParagraph"/>
        <w:numPr>
          <w:ilvl w:val="0"/>
          <w:numId w:val="2"/>
        </w:numPr>
        <w:spacing w:after="80"/>
      </w:pPr>
      <w:r>
        <w:rPr>
          <w:rFonts w:ascii="Calibri" w:cs="Calibri" w:eastAsia="Calibri" w:hAnsi="Calibri"/>
          <w:color w:val="221F1A"/>
          <w:sz w:val="21"/>
          <w:szCs w:val="21"/>
        </w:rPr>
        <w:t xml:space="preserve">Close with one private, written reflection (not collected): “What is one sentence from your Dominant profile that felt true?”</w:t>
      </w:r>
    </w:p>
    <w:p>
      <w:pPr>
        <w:pStyle w:val="Heading1"/>
        <w:pBdr>
          <w:bottom w:val="single" w:color="A8632C" w:sz="6" w:space="4"/>
        </w:pBdr>
        <w:spacing w:after="140" w:before="320"/>
      </w:pPr>
      <w:r>
        <w:rPr>
          <w:rFonts w:ascii="Calibri" w:cs="Calibri" w:eastAsia="Calibri" w:hAnsi="Calibri"/>
          <w:b/>
          <w:bCs/>
          <w:color w:val="7C481E"/>
          <w:sz w:val="30"/>
          <w:szCs w:val="30"/>
        </w:rPr>
        <w:t xml:space="preserve">Session 3 — World of Work, Decisions, Pathways &amp; Working Together</w:t>
      </w:r>
    </w:p>
    <w:p>
      <w:pPr>
        <w:pStyle w:val="Heading3"/>
        <w:spacing w:after="80" w:before="160"/>
      </w:pPr>
      <w:r>
        <w:rPr>
          <w:rFonts w:ascii="Calibri" w:cs="Calibri" w:eastAsia="Calibri" w:hAnsi="Calibri"/>
          <w:b/>
          <w:bCs/>
          <w:i/>
          <w:iCs/>
          <w:color w:val="A8632C"/>
          <w:sz w:val="20"/>
          <w:szCs w:val="20"/>
        </w:rPr>
        <w:t xml:space="preserve">PSVE areas: Vocational, Educational, Social</w:t>
      </w:r>
    </w:p>
    <w:p>
      <w:pPr>
        <w:spacing w:after="120" w:before="0"/>
      </w:pPr>
      <w:r>
        <w:rPr>
          <w:rFonts w:ascii="Calibri" w:cs="Calibri" w:eastAsia="Calibri" w:hAnsi="Calibri"/>
          <w:b w:val="false"/>
          <w:bCs w:val="false"/>
          <w:i w:val="false"/>
          <w:iCs w:val="false"/>
          <w:color w:val="221F1A"/>
          <w:sz w:val="21"/>
          <w:szCs w:val="21"/>
        </w:rPr>
        <w:t xml:space="preserve">The printed workbook is strongest on self-awareness (Personal) and on naming subjects/institutions (Educational). This session supplies what the work is actually like day-to-day (Vocational), explicit decision-making (Educational), and working with people whose orientation differs from your own (Social).</w:t>
      </w:r>
    </w:p>
    <w:p>
      <w:pPr>
        <w:pStyle w:val="Heading2"/>
        <w:spacing w:after="100" w:before="220"/>
      </w:pPr>
      <w:r>
        <w:rPr>
          <w:rFonts w:ascii="Calibri" w:cs="Calibri" w:eastAsia="Calibri" w:hAnsi="Calibri"/>
          <w:b/>
          <w:bCs/>
          <w:color w:val="7C481E"/>
          <w:sz w:val="24"/>
          <w:szCs w:val="24"/>
        </w:rPr>
        <w:t xml:space="preserve">World of Work (Vocational)</w:t>
      </w:r>
    </w:p>
    <w:p>
      <w:pPr>
        <w:spacing w:after="120" w:before="0"/>
      </w:pPr>
      <w:r>
        <w:rPr>
          <w:rFonts w:ascii="Calibri" w:cs="Calibri" w:eastAsia="Calibri" w:hAnsi="Calibri"/>
          <w:b w:val="false"/>
          <w:bCs w:val="false"/>
          <w:i w:val="false"/>
          <w:iCs w:val="false"/>
          <w:color w:val="221F1A"/>
          <w:sz w:val="21"/>
          <w:szCs w:val="21"/>
        </w:rPr>
        <w:t xml:space="preserve">Read or paraphrase the note for each orientation represented in the class. Keep it honest — including the less glamorous parts named below is deliberate.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000"/>
        <w:gridCol w:w="7106"/>
      </w:tblGrid>
      <w:tr>
        <w:trPr>
          <w:tblHeader/>
        </w:trPr>
        <w:tc>
          <w:tcPr>
            <w:tcW w:type="dxa" w:w="30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Orientation</w:t>
            </w:r>
          </w:p>
        </w:tc>
        <w:tc>
          <w:tcPr>
            <w:tcW w:type="dxa" w:w="71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the work is actually like</w:t>
            </w:r>
          </w:p>
        </w:tc>
      </w:tr>
      <w:tr>
        <w:tc>
          <w:tcPr>
            <w:tcW w:type="dxa" w:w="3000"/>
            <w:shd w:fill="E8EEF3"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B5F86"/>
                <w:sz w:val="18"/>
                <w:szCs w:val="18"/>
              </w:rPr>
              <w:t xml:space="preserve">  Order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People with strong Order often end up in work where a small mistake matters a lot — a wrong measurement on a building, an error in an accounts book. Much of the day is quiet and methodical: checking, planning, and following procedures precisely, sometimes for months before a project is finished.</w:t>
            </w:r>
          </w:p>
        </w:tc>
      </w:tr>
      <w:tr>
        <w:tc>
          <w:tcPr>
            <w:tcW w:type="dxa" w:w="3000"/>
            <w:shd w:fill="F3E7EF"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8C3F72"/>
                <w:sz w:val="18"/>
                <w:szCs w:val="18"/>
              </w:rPr>
              <w:t xml:space="preserve">  Form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Creative work often means long stretches with no fixed instructions — you decide what “good” looks like yourself. Income can be irregular, especially early on, and most people in creative fields also do other paid work alongside their craft.</w:t>
            </w:r>
          </w:p>
        </w:tc>
      </w:tr>
      <w:tr>
        <w:tc>
          <w:tcPr>
            <w:tcW w:type="dxa" w:w="3000"/>
            <w:shd w:fill="E5F0ED"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2F7D6E"/>
                <w:sz w:val="18"/>
                <w:szCs w:val="18"/>
              </w:rPr>
              <w:t xml:space="preserve">  Coordination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This work is mostly about people, not tasks — meetings, phone calls, and sorting out clashes between what different people want. It can be tiring because your day depends on everyone else's day going to plan, which it often does not.</w:t>
            </w:r>
          </w:p>
        </w:tc>
      </w:tr>
      <w:tr>
        <w:tc>
          <w:tcPr>
            <w:tcW w:type="dxa" w:w="3000"/>
            <w:shd w:fill="FBEADB"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C1631F"/>
                <w:sz w:val="18"/>
                <w:szCs w:val="18"/>
              </w:rPr>
              <w:t xml:space="preserve">  Discovery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Research and exploration work is slow. Real discoveries can take years, with many failed attempts along the way. It suits someone who can stay curious and keep trying even when most experiments or investigations do not succeed.</w:t>
            </w:r>
          </w:p>
        </w:tc>
      </w:tr>
      <w:tr>
        <w:tc>
          <w:tcPr>
            <w:tcW w:type="dxa" w:w="3000"/>
            <w:shd w:fill="F3EED9"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9C7A26"/>
                <w:sz w:val="18"/>
                <w:szCs w:val="18"/>
              </w:rPr>
              <w:t xml:space="preserve">  Integration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Teaching, counselling and mentoring work is emotionally demanding as well as practically demanding — you carry other people's setbacks alongside your own. It is also often paid less than its importance deserves, which is worth naming honestly.</w:t>
            </w:r>
          </w:p>
        </w:tc>
      </w:tr>
      <w:tr>
        <w:tc>
          <w:tcPr>
            <w:tcW w:type="dxa" w:w="3000"/>
            <w:shd w:fill="E6EEE7"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D6B45"/>
                <w:sz w:val="18"/>
                <w:szCs w:val="18"/>
              </w:rPr>
              <w:t xml:space="preserve">  Preservation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This work often means being the one who says no, holds a line, or insists on doing things properly when it would be quicker not to. It can be thankless day-to-day, and is usually only noticed when something goes wrong that it prevented.</w:t>
            </w:r>
          </w:p>
        </w:tc>
      </w:tr>
      <w:tr>
        <w:tc>
          <w:tcPr>
            <w:tcW w:type="dxa" w:w="3000"/>
            <w:shd w:fill="EBE6F2"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5B4090"/>
                <w:sz w:val="18"/>
                <w:szCs w:val="18"/>
              </w:rPr>
              <w:t xml:space="preserve">  Transformation Orientation</w:t>
            </w:r>
          </w:p>
        </w:tc>
        <w:tc>
          <w:tcPr>
            <w:tcW w:type="dxa" w:w="71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Change-focused work is unstable by nature — you may need to start over more than once, and not every idea or business will succeed. Financial security often comes later than in more traditional careers, if it comes from this path at all.</w:t>
            </w:r>
          </w:p>
        </w:tc>
      </w:tr>
    </w:tbl>
    <w:p>
      <w:pPr>
        <w:pStyle w:val="Heading2"/>
        <w:spacing w:after="100" w:before="220"/>
      </w:pPr>
      <w:r>
        <w:rPr>
          <w:rFonts w:ascii="Calibri" w:cs="Calibri" w:eastAsia="Calibri" w:hAnsi="Calibri"/>
          <w:b/>
          <w:bCs/>
          <w:color w:val="7C481E"/>
          <w:sz w:val="24"/>
          <w:szCs w:val="24"/>
        </w:rPr>
        <w:t xml:space="preserve">Decision-Making Worksheet (Educational)</w:t>
      </w:r>
    </w:p>
    <w:p>
      <w:pPr>
        <w:spacing w:after="120" w:before="0"/>
      </w:pPr>
      <w:r>
        <w:rPr>
          <w:rFonts w:ascii="Calibri" w:cs="Calibri" w:eastAsia="Calibri" w:hAnsi="Calibri"/>
          <w:b w:val="false"/>
          <w:bCs w:val="false"/>
          <w:i w:val="false"/>
          <w:iCs w:val="false"/>
          <w:color w:val="221F1A"/>
          <w:sz w:val="21"/>
          <w:szCs w:val="21"/>
        </w:rPr>
        <w:t xml:space="preserve">Give each learner a few private minutes to write short answers, in their exercise book:</w:t>
      </w:r>
    </w:p>
    <w:p>
      <w:pPr>
        <w:pStyle w:val="ListParagraph"/>
        <w:numPr>
          <w:ilvl w:val="0"/>
          <w:numId w:val="2"/>
        </w:numPr>
        <w:spacing w:after="80"/>
      </w:pPr>
      <w:r>
        <w:rPr>
          <w:rFonts w:ascii="Calibri" w:cs="Calibri" w:eastAsia="Calibri" w:hAnsi="Calibri"/>
          <w:color w:val="221F1A"/>
          <w:sz w:val="21"/>
          <w:szCs w:val="21"/>
        </w:rPr>
        <w:t xml:space="preserve">My dominant orientation is ______. One thing that surprised me about my result is ______.</w:t>
      </w:r>
    </w:p>
    <w:p>
      <w:pPr>
        <w:pStyle w:val="ListParagraph"/>
        <w:numPr>
          <w:ilvl w:val="0"/>
          <w:numId w:val="2"/>
        </w:numPr>
        <w:spacing w:after="80"/>
      </w:pPr>
      <w:r>
        <w:rPr>
          <w:rFonts w:ascii="Calibri" w:cs="Calibri" w:eastAsia="Calibri" w:hAnsi="Calibri"/>
          <w:color w:val="221F1A"/>
          <w:sz w:val="21"/>
          <w:szCs w:val="21"/>
        </w:rPr>
        <w:t xml:space="preserve">One subject I will pay more attention to this term because of today is ______.</w:t>
      </w:r>
    </w:p>
    <w:p>
      <w:pPr>
        <w:pStyle w:val="ListParagraph"/>
        <w:numPr>
          <w:ilvl w:val="0"/>
          <w:numId w:val="2"/>
        </w:numPr>
        <w:spacing w:after="80"/>
      </w:pPr>
      <w:r>
        <w:rPr>
          <w:rFonts w:ascii="Calibri" w:cs="Calibri" w:eastAsia="Calibri" w:hAnsi="Calibri"/>
          <w:color w:val="221F1A"/>
          <w:sz w:val="21"/>
          <w:szCs w:val="21"/>
        </w:rPr>
        <w:t xml:space="preserve">One career or field from my Pathways to Explore that I want to find out more about is ______.</w:t>
      </w:r>
    </w:p>
    <w:p>
      <w:pPr>
        <w:pStyle w:val="ListParagraph"/>
        <w:numPr>
          <w:ilvl w:val="0"/>
          <w:numId w:val="2"/>
        </w:numPr>
        <w:spacing w:after="80"/>
      </w:pPr>
      <w:r>
        <w:rPr>
          <w:rFonts w:ascii="Calibri" w:cs="Calibri" w:eastAsia="Calibri" w:hAnsi="Calibri"/>
          <w:color w:val="221F1A"/>
          <w:sz w:val="21"/>
          <w:szCs w:val="21"/>
        </w:rPr>
        <w:t xml:space="preserve">One person I will talk to about this before the end of term is ______.</w:t>
      </w:r>
    </w:p>
    <w:p>
      <w:pPr>
        <w:pStyle w:val="ListParagraph"/>
        <w:numPr>
          <w:ilvl w:val="0"/>
          <w:numId w:val="2"/>
        </w:numPr>
        <w:spacing w:after="80"/>
      </w:pPr>
      <w:r>
        <w:rPr>
          <w:rFonts w:ascii="Calibri" w:cs="Calibri" w:eastAsia="Calibri" w:hAnsi="Calibri"/>
          <w:color w:val="221F1A"/>
          <w:sz w:val="21"/>
          <w:szCs w:val="21"/>
        </w:rPr>
        <w:t xml:space="preserve">One thing that could get in the way of this plan, and what I will do about it, is ______.</w:t>
      </w:r>
    </w:p>
    <w:p>
      <w:pPr>
        <w:pStyle w:val="Heading2"/>
        <w:spacing w:after="100" w:before="220"/>
      </w:pPr>
      <w:r>
        <w:rPr>
          <w:rFonts w:ascii="Calibri" w:cs="Calibri" w:eastAsia="Calibri" w:hAnsi="Calibri"/>
          <w:b/>
          <w:bCs/>
          <w:color w:val="7C481E"/>
          <w:sz w:val="24"/>
          <w:szCs w:val="24"/>
        </w:rPr>
        <w:t xml:space="preserve">Pathways Discussion &amp; Working Together (Educational, Vocational, Social)</w:t>
      </w:r>
    </w:p>
    <w:p>
      <w:pPr>
        <w:spacing w:after="120" w:before="0"/>
      </w:pPr>
      <w:r>
        <w:rPr>
          <w:rFonts w:ascii="Calibri" w:cs="Calibri" w:eastAsia="Calibri" w:hAnsi="Calibri"/>
          <w:b w:val="false"/>
          <w:bCs w:val="false"/>
          <w:i w:val="false"/>
          <w:iCs w:val="false"/>
          <w:color w:val="221F1A"/>
          <w:sz w:val="21"/>
          <w:szCs w:val="21"/>
        </w:rPr>
        <w:t xml:space="preserve">In small groups (mixed dominant orientations work best), learners share one item each from their own Pathways to Explore section — a subject, institution, or career example — and why it appealed to them.</w:t>
      </w:r>
    </w:p>
    <w:p>
      <w:pPr>
        <w:spacing w:after="120" w:before="0"/>
      </w:pPr>
      <w:r>
        <w:rPr>
          <w:rFonts w:ascii="Calibri" w:cs="Calibri" w:eastAsia="Calibri" w:hAnsi="Calibri"/>
          <w:b w:val="false"/>
          <w:bCs w:val="false"/>
          <w:i w:val="false"/>
          <w:iCs w:val="false"/>
          <w:color w:val="221F1A"/>
          <w:sz w:val="21"/>
          <w:szCs w:val="21"/>
        </w:rPr>
        <w:t xml:space="preserve">The facilitator then poses this question to each group: “Imagine your group has been given one shared class project. Looking at each person's dominant orientation, what would each of you naturally be good at contributing? Is there an orientation missing from your group, and how could you cover for that gap together?” Groups get 5–8 minutes to discuss, then one or two groups share one insight with the whole class.</w:t>
      </w:r>
    </w:p>
    <w:p>
      <w:pPr>
        <w:spacing w:after="120" w:before="0"/>
      </w:pPr>
      <w:r>
        <w:rPr>
          <w:rFonts w:ascii="Calibri" w:cs="Calibri" w:eastAsia="Calibri" w:hAnsi="Calibri"/>
          <w:b w:val="false"/>
          <w:bCs w:val="false"/>
          <w:i w:val="false"/>
          <w:iCs w:val="false"/>
          <w:color w:val="221F1A"/>
          <w:sz w:val="21"/>
          <w:szCs w:val="21"/>
        </w:rPr>
        <w:t xml:space="preserve">Close with a whole-class round of one word each learner is taking away from today.</w:t>
      </w:r>
    </w:p>
    <w:p>
      <w:pPr>
        <w:pStyle w:val="Heading1"/>
        <w:pBdr>
          <w:bottom w:val="single" w:color="A8632C" w:sz="6" w:space="4"/>
        </w:pBdr>
        <w:spacing w:after="140" w:before="320"/>
      </w:pPr>
      <w:r>
        <w:rPr>
          <w:rFonts w:ascii="Calibri" w:cs="Calibri" w:eastAsia="Calibri" w:hAnsi="Calibri"/>
          <w:b/>
          <w:bCs/>
          <w:color w:val="7C481E"/>
          <w:sz w:val="30"/>
          <w:szCs w:val="30"/>
        </w:rPr>
        <w:t xml:space="preserve">Adaptations for Resource-Constrained Settings</w:t>
      </w:r>
    </w:p>
    <w:p>
      <w:pPr>
        <w:pStyle w:val="ListParagraph"/>
        <w:numPr>
          <w:ilvl w:val="0"/>
          <w:numId w:val="2"/>
        </w:numPr>
        <w:spacing w:after="80"/>
      </w:pPr>
      <w:r>
        <w:rPr>
          <w:rFonts w:ascii="Calibri" w:cs="Calibri" w:eastAsia="Calibri" w:hAnsi="Calibri"/>
          <w:color w:val="221F1A"/>
          <w:sz w:val="21"/>
          <w:szCs w:val="21"/>
        </w:rPr>
        <w:t xml:space="preserve">Not enough printed workbooks: learners copy the 1–5 scale and question numbers into an exercise book and mark their answers there instead of on the tick-box grid.</w:t>
      </w:r>
    </w:p>
    <w:p>
      <w:pPr>
        <w:pStyle w:val="ListParagraph"/>
        <w:numPr>
          <w:ilvl w:val="0"/>
          <w:numId w:val="2"/>
        </w:numPr>
        <w:spacing w:after="80"/>
      </w:pPr>
      <w:r>
        <w:rPr>
          <w:rFonts w:ascii="Calibri" w:cs="Calibri" w:eastAsia="Calibri" w:hAnsi="Calibri"/>
          <w:color w:val="221F1A"/>
          <w:sz w:val="21"/>
          <w:szCs w:val="21"/>
        </w:rPr>
        <w:t xml:space="preserve">No photocopier: read questions aloud to the whole class, with learners marking privately on a numbered sheet at their own pace.</w:t>
      </w:r>
    </w:p>
    <w:p>
      <w:pPr>
        <w:pStyle w:val="ListParagraph"/>
        <w:numPr>
          <w:ilvl w:val="0"/>
          <w:numId w:val="2"/>
        </w:numPr>
        <w:spacing w:after="80"/>
      </w:pPr>
      <w:r>
        <w:rPr>
          <w:rFonts w:ascii="Calibri" w:cs="Calibri" w:eastAsia="Calibri" w:hAnsi="Calibri"/>
          <w:color w:val="221F1A"/>
          <w:sz w:val="21"/>
          <w:szCs w:val="21"/>
        </w:rPr>
        <w:t xml:space="preserve">Large classes: learners self-score in pairs during Session 2 to keep the Scoring Key and Lookup Table step moving.</w:t>
      </w:r>
    </w:p>
    <w:p>
      <w:pPr>
        <w:pStyle w:val="ListParagraph"/>
        <w:numPr>
          <w:ilvl w:val="0"/>
          <w:numId w:val="2"/>
        </w:numPr>
        <w:spacing w:after="80"/>
      </w:pPr>
      <w:r>
        <w:rPr>
          <w:rFonts w:ascii="Calibri" w:cs="Calibri" w:eastAsia="Calibri" w:hAnsi="Calibri"/>
          <w:color w:val="221F1A"/>
          <w:sz w:val="21"/>
          <w:szCs w:val="21"/>
        </w:rPr>
        <w:t xml:space="preserve">No computers or internet are needed at any point — the workbook and this guide are both designed to work entirely on paper.</w:t>
      </w:r>
    </w:p>
    <w:p>
      <w:pPr>
        <w:pStyle w:val="Heading1"/>
        <w:pBdr>
          <w:bottom w:val="single" w:color="A8632C" w:sz="6" w:space="4"/>
        </w:pBdr>
        <w:spacing w:after="140" w:before="320"/>
      </w:pPr>
      <w:r>
        <w:rPr>
          <w:rFonts w:ascii="Calibri" w:cs="Calibri" w:eastAsia="Calibri" w:hAnsi="Calibri"/>
          <w:b/>
          <w:bCs/>
          <w:color w:val="7C481E"/>
          <w:sz w:val="30"/>
          <w:szCs w:val="30"/>
        </w:rPr>
        <w:t xml:space="preserve">Handling Sensitive Moments and Common Questions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200"/>
        <w:gridCol w:w="5906"/>
      </w:tblGrid>
      <w:tr>
        <w:trPr>
          <w:tblHeader/>
        </w:trPr>
        <w:tc>
          <w:tcPr>
            <w:tcW w:type="dxa" w:w="4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Situation</w:t>
            </w:r>
          </w:p>
        </w:tc>
        <w:tc>
          <w:tcPr>
            <w:tcW w:type="dxa" w:w="59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to do</w:t>
            </w:r>
          </w:p>
        </w:tc>
      </w:tr>
      <w:tr>
        <w:tc>
          <w:tcPr>
            <w:tcW w:type="dxa" w:w="4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A student's result doesn't match what their parents or guardians want them to study.</w:t>
            </w:r>
          </w:p>
        </w:tc>
        <w:tc>
          <w:tcPr>
            <w:tcW w:type="dxa" w:w="59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Do not treat the workbook as overriding family input. Acknowledge both: “Your result is one useful piece of information about yourself — it sits alongside what your family wants for you and what the school advises, not above them.” Offer to help the student prepare for that conversation at home rather than have it for them.</w:t>
            </w:r>
          </w:p>
        </w:tc>
      </w:tr>
      <w:tr>
        <w:tc>
          <w:tcPr>
            <w:tcW w:type="dxa" w:w="42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A student is upset or defensive about their Shadow orientation.</w:t>
            </w:r>
          </w:p>
        </w:tc>
        <w:tc>
          <w:tcPr>
            <w:tcW w:type="dxa" w:w="59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Reassure them immediately: Shadow means quietest right now, not broken, and everyone has one. Redirect attention to their Dominant and Secondary strengths. If distress continues beyond the session, refer to the school counsellor for follow-up unrelated to this activity.</w:t>
            </w:r>
          </w:p>
        </w:tc>
      </w:tr>
      <w:tr>
        <w:tc>
          <w:tcPr>
            <w:tcW w:type="dxa" w:w="4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A student refuses to share their result with the class.</w:t>
            </w:r>
          </w:p>
        </w:tc>
        <w:tc>
          <w:tcPr>
            <w:tcW w:type="dxa" w:w="59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That is always their right. Completing the workbook can be a required class activity; sharing the result out loud must always stay voluntary.</w:t>
            </w:r>
          </w:p>
        </w:tc>
      </w:tr>
      <w:tr>
        <w:tc>
          <w:tcPr>
            <w:tcW w:type="dxa" w:w="42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A student asks if this is a “real” personality test.</w:t>
            </w:r>
          </w:p>
        </w:tc>
        <w:tc>
          <w:tcPr>
            <w:tcW w:type="dxa" w:w="59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Be direct: no. It is a structured self-reflection tool for discussion, not a scientifically validated psychometric instrument. Treat it as a conversation-starter, not a verdict.</w:t>
            </w:r>
          </w:p>
        </w:tc>
      </w:tr>
      <w:tr>
        <w:tc>
          <w:tcPr>
            <w:tcW w:type="dxa" w:w="4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A school wants to use results to assign subject combinations or streams.</w:t>
            </w:r>
          </w:p>
        </w:tc>
        <w:tc>
          <w:tcPr>
            <w:tcW w:type="dxa" w:w="59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Do not do this. The workbook must never be used to administratively place, restrict, or stream students. It is an input into a conversation the student has with a trusted adult, not a placement test.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Follow-Up and Referral</w:t>
      </w:r>
    </w:p>
    <w:p>
      <w:pPr>
        <w:spacing w:after="120" w:before="0"/>
      </w:pPr>
      <w:r>
        <w:rPr>
          <w:rFonts w:ascii="Calibri" w:cs="Calibri" w:eastAsia="Calibri" w:hAnsi="Calibri"/>
          <w:b w:val="false"/>
          <w:bCs w:val="false"/>
          <w:i w:val="false"/>
          <w:iCs w:val="false"/>
          <w:color w:val="221F1A"/>
          <w:sz w:val="21"/>
          <w:szCs w:val="21"/>
        </w:rPr>
        <w:t xml:space="preserve">This activity is a career-guidance conversation-starter, not a counselling intervention. Where a learner needs support beyond that scope, the facilitator uses the school's normal referral route:</w:t>
      </w:r>
    </w:p>
    <w:p>
      <w:pPr>
        <w:pStyle w:val="ListParagraph"/>
        <w:numPr>
          <w:ilvl w:val="0"/>
          <w:numId w:val="2"/>
        </w:numPr>
        <w:spacing w:after="80"/>
      </w:pPr>
      <w:r>
        <w:rPr>
          <w:rFonts w:ascii="Calibri" w:cs="Calibri" w:eastAsia="Calibri" w:hAnsi="Calibri"/>
          <w:color w:val="221F1A"/>
          <w:sz w:val="21"/>
          <w:szCs w:val="21"/>
        </w:rPr>
        <w:t xml:space="preserve">Emotional or personal distress unrelated to careers: refer to the school counsellor as normal.</w:t>
      </w:r>
    </w:p>
    <w:p>
      <w:pPr>
        <w:pStyle w:val="ListParagraph"/>
        <w:numPr>
          <w:ilvl w:val="0"/>
          <w:numId w:val="2"/>
        </w:numPr>
        <w:spacing w:after="80"/>
      </w:pPr>
      <w:r>
        <w:rPr>
          <w:rFonts w:ascii="Calibri" w:cs="Calibri" w:eastAsia="Calibri" w:hAnsi="Calibri"/>
          <w:color w:val="221F1A"/>
          <w:sz w:val="21"/>
          <w:szCs w:val="21"/>
        </w:rPr>
        <w:t xml:space="preserve">Subject-specific questions: refer to the relevant subject teacher (e.g. a learner interested in Additional Mathematics pathways speaks to the Mathematics department).</w:t>
      </w:r>
    </w:p>
    <w:p>
      <w:pPr>
        <w:pStyle w:val="ListParagraph"/>
        <w:numPr>
          <w:ilvl w:val="0"/>
          <w:numId w:val="2"/>
        </w:numPr>
        <w:spacing w:after="80"/>
      </w:pPr>
      <w:r>
        <w:rPr>
          <w:rFonts w:ascii="Calibri" w:cs="Calibri" w:eastAsia="Calibri" w:hAnsi="Calibri"/>
          <w:color w:val="221F1A"/>
          <w:sz w:val="21"/>
          <w:szCs w:val="21"/>
        </w:rPr>
        <w:t xml:space="preserve">Family disagreement about subject or career choice: offer to help the learner prepare for that conversation, or be present for it if the family and learner both want that.</w:t>
      </w:r>
    </w:p>
    <w:p>
      <w:pPr>
        <w:pStyle w:val="ListParagraph"/>
        <w:numPr>
          <w:ilvl w:val="0"/>
          <w:numId w:val="2"/>
        </w:numPr>
        <w:spacing w:after="80"/>
      </w:pPr>
      <w:r>
        <w:rPr>
          <w:rFonts w:ascii="Calibri" w:cs="Calibri" w:eastAsia="Calibri" w:hAnsi="Calibri"/>
          <w:color w:val="221F1A"/>
          <w:sz w:val="21"/>
          <w:szCs w:val="21"/>
        </w:rPr>
        <w:t xml:space="preserve">Wanting to know more about a specific institution: direct learners to that institution's own admissions office, since entry requirements change.</w:t>
      </w:r>
    </w:p>
    <w:p>
      <w:pPr>
        <w:pStyle w:val="Heading1"/>
        <w:pBdr>
          <w:bottom w:val="single" w:color="A8632C" w:sz="6" w:space="4"/>
        </w:pBdr>
        <w:spacing w:after="140" w:before="320"/>
      </w:pPr>
      <w:r>
        <w:rPr>
          <w:rFonts w:ascii="Calibri" w:cs="Calibri" w:eastAsia="Calibri" w:hAnsi="Calibri"/>
          <w:b/>
          <w:bCs/>
          <w:color w:val="7C481E"/>
          <w:sz w:val="30"/>
          <w:szCs w:val="30"/>
        </w:rPr>
        <w:t xml:space="preserve">Quick Reference — The Seven Orientations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In one line</w:t>
            </w:r>
          </w:p>
        </w:tc>
      </w:tr>
      <w:tr>
        <w:tc>
          <w:tcPr>
            <w:tcW w:type="dxa" w:w="3600"/>
            <w:shd w:fill="E8EEF3"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B5F86"/>
                <w:sz w:val="18"/>
                <w:szCs w:val="18"/>
              </w:rPr>
              <w:t xml:space="preserve">  Order Orientation</w:t>
            </w:r>
          </w:p>
          <w:p>
            <w:r>
              <w:rPr>
                <w:rFonts w:ascii="Calibri" w:cs="Calibri" w:eastAsia="Calibri" w:hAnsi="Calibri"/>
                <w:i/>
                <w:iCs/>
                <w:color w:val="6E6858"/>
                <w:sz w:val="16"/>
                <w:szCs w:val="16"/>
              </w:rPr>
              <w:t xml:space="preserve">The Builder</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peace and purpose in structure, planning and building things that last.</w:t>
            </w:r>
          </w:p>
        </w:tc>
      </w:tr>
      <w:tr>
        <w:tc>
          <w:tcPr>
            <w:tcW w:type="dxa" w:w="3600"/>
            <w:shd w:fill="F3E7EF"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8C3F72"/>
                <w:sz w:val="18"/>
                <w:szCs w:val="18"/>
              </w:rPr>
              <w:t xml:space="preserve">  Form Orientation</w:t>
            </w:r>
          </w:p>
          <w:p>
            <w:r>
              <w:rPr>
                <w:rFonts w:ascii="Calibri" w:cs="Calibri" w:eastAsia="Calibri" w:hAnsi="Calibri"/>
                <w:i/>
                <w:iCs/>
                <w:color w:val="6E6858"/>
                <w:sz w:val="16"/>
                <w:szCs w:val="16"/>
              </w:rPr>
              <w:t xml:space="preserve">The Creator</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meaning in imagining new things and giving them shape through art, words, sound or design.</w:t>
            </w:r>
          </w:p>
        </w:tc>
      </w:tr>
      <w:tr>
        <w:tc>
          <w:tcPr>
            <w:tcW w:type="dxa" w:w="3600"/>
            <w:shd w:fill="E5F0ED"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2F7D6E"/>
                <w:sz w:val="18"/>
                <w:szCs w:val="18"/>
              </w:rPr>
              <w:t xml:space="preserve">  Coordination Orientation</w:t>
            </w:r>
          </w:p>
          <w:p>
            <w:r>
              <w:rPr>
                <w:rFonts w:ascii="Calibri" w:cs="Calibri" w:eastAsia="Calibri" w:hAnsi="Calibri"/>
                <w:i/>
                <w:iCs/>
                <w:color w:val="6E6858"/>
                <w:sz w:val="16"/>
                <w:szCs w:val="16"/>
              </w:rPr>
              <w:t xml:space="preserve">The Orchestrator</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satisfaction in bringing different people, ideas or tasks together so that they work as one.</w:t>
            </w:r>
          </w:p>
        </w:tc>
      </w:tr>
      <w:tr>
        <w:tc>
          <w:tcPr>
            <w:tcW w:type="dxa" w:w="3600"/>
            <w:shd w:fill="FBEADB"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C1631F"/>
                <w:sz w:val="18"/>
                <w:szCs w:val="18"/>
              </w:rPr>
              <w:t xml:space="preserve">  Discovery Orientation</w:t>
            </w:r>
          </w:p>
          <w:p>
            <w:r>
              <w:rPr>
                <w:rFonts w:ascii="Calibri" w:cs="Calibri" w:eastAsia="Calibri" w:hAnsi="Calibri"/>
                <w:i/>
                <w:iCs/>
                <w:color w:val="6E6858"/>
                <w:sz w:val="16"/>
                <w:szCs w:val="16"/>
              </w:rPr>
              <w:t xml:space="preserve">The Explorer</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meaning in asking questions, trying new things and finding out how the world works.</w:t>
            </w:r>
          </w:p>
        </w:tc>
      </w:tr>
      <w:tr>
        <w:tc>
          <w:tcPr>
            <w:tcW w:type="dxa" w:w="3600"/>
            <w:shd w:fill="F3EED9"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9C7A26"/>
                <w:sz w:val="18"/>
                <w:szCs w:val="18"/>
              </w:rPr>
              <w:t xml:space="preserve">  Integration Orientation</w:t>
            </w:r>
          </w:p>
          <w:p>
            <w:r>
              <w:rPr>
                <w:rFonts w:ascii="Calibri" w:cs="Calibri" w:eastAsia="Calibri" w:hAnsi="Calibri"/>
                <w:i/>
                <w:iCs/>
                <w:color w:val="6E6858"/>
                <w:sz w:val="16"/>
                <w:szCs w:val="16"/>
              </w:rPr>
              <w:t xml:space="preserve">The Guide</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meaning in helping other people understand themselves and grow into their potential.</w:t>
            </w:r>
          </w:p>
        </w:tc>
      </w:tr>
      <w:tr>
        <w:tc>
          <w:tcPr>
            <w:tcW w:type="dxa" w:w="3600"/>
            <w:shd w:fill="E6EEE7"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3D6B45"/>
                <w:sz w:val="18"/>
                <w:szCs w:val="18"/>
              </w:rPr>
              <w:t xml:space="preserve">  Preservation Orientation</w:t>
            </w:r>
          </w:p>
          <w:p>
            <w:r>
              <w:rPr>
                <w:rFonts w:ascii="Calibri" w:cs="Calibri" w:eastAsia="Calibri" w:hAnsi="Calibri"/>
                <w:i/>
                <w:iCs/>
                <w:color w:val="6E6858"/>
                <w:sz w:val="16"/>
                <w:szCs w:val="16"/>
              </w:rPr>
              <w:t xml:space="preserve">The Guardian</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meaning in protecting, maintaining and caring for what already has value.</w:t>
            </w:r>
          </w:p>
        </w:tc>
      </w:tr>
      <w:tr>
        <w:tc>
          <w:tcPr>
            <w:tcW w:type="dxa" w:w="3600"/>
            <w:shd w:fill="EBE6F2" w:color="auto" w:val="clear"/>
            <w:tcMar>
              <w:top w:type="dxa" w:w="90"/>
              <w:left w:type="dxa" w:w="110"/>
              <w:bottom w:type="dxa" w:w="90"/>
              <w:right w:type="dxa" w:w="110"/>
            </w:tcMar>
            <w:vAlign w:val="center"/>
          </w:tcPr>
          <w:p>
            <w:pPr>
              <w:spacing w:after="20"/>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b/>
                <w:bCs/>
                <w:color w:val="5B4090"/>
                <w:sz w:val="18"/>
                <w:szCs w:val="18"/>
              </w:rPr>
              <w:t xml:space="preserve">  Transformation Orientation</w:t>
            </w:r>
          </w:p>
          <w:p>
            <w:r>
              <w:rPr>
                <w:rFonts w:ascii="Calibri" w:cs="Calibri" w:eastAsia="Calibri" w:hAnsi="Calibri"/>
                <w:i/>
                <w:iCs/>
                <w:color w:val="6E6858"/>
                <w:sz w:val="16"/>
                <w:szCs w:val="16"/>
              </w:rPr>
              <w:t xml:space="preserve">The Transmuter</w:t>
            </w:r>
          </w:p>
        </w:tc>
        <w:tc>
          <w:tcPr>
            <w:tcW w:type="dxa" w:w="6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You find meaning in turning difficulty into strength and in changing things that no longer work.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Completion Record</w:t>
      </w:r>
    </w:p>
    <w:p>
      <w:pPr>
        <w:spacing w:after="120" w:before="0"/>
      </w:pPr>
      <w:r>
        <w:rPr>
          <w:rFonts w:ascii="Calibri" w:cs="Calibri" w:eastAsia="Calibri" w:hAnsi="Calibri"/>
          <w:b w:val="false"/>
          <w:bCs w:val="false"/>
          <w:i w:val="false"/>
          <w:iCs w:val="false"/>
          <w:color w:val="221F1A"/>
          <w:sz w:val="21"/>
          <w:szCs w:val="21"/>
        </w:rPr>
        <w:t xml:space="preserve">Used only to track who has completed the activity — never to record a learner's Dominant/Secondary/Shadow result. Personal results belong to the learner.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506"/>
      </w:tblGrid>
      <w:tr>
        <w:trPr>
          <w:tblHeader/>
        </w:trPr>
        <w:tc>
          <w:tcPr>
            <w:tcW w:type="dxa" w:w="3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Learner name</w:t>
            </w:r>
          </w:p>
        </w:tc>
        <w:tc>
          <w:tcPr>
            <w:tcW w:type="dxa" w:w="2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Date completed</w:t>
            </w:r>
          </w:p>
        </w:tc>
        <w:tc>
          <w:tcPr>
            <w:tcW w:type="dxa" w:w="2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Sessions 1–3 done?</w:t>
            </w:r>
          </w:p>
        </w:tc>
        <w:tc>
          <w:tcPr>
            <w:tcW w:type="dxa" w:w="25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Facilitator notes</w:t>
            </w:r>
          </w:p>
        </w:tc>
      </w:tr>
      <w:tr>
        <w:tc>
          <w:tcPr>
            <w:tcW w:type="dxa" w:w="3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bl>
    <w:p>
      <w:r>
        <w:br w:type="page"/>
      </w:r>
    </w:p>
    <w:tbl>
      <w:tblPr>
        <w:tblW w:type="dxa" w:w="10106"/>
        <w:tblBorders>
          <w:top w:val="none"/>
          <w:left w:val="none"/>
          <w:bottom w:val="none"/>
          <w:right w:val="none"/>
          <w:insideH w:val="single" w:color="auto" w:sz="4"/>
          <w:insideV w:val="single" w:color="auto" w:sz="4"/>
        </w:tblBorders>
      </w:tblPr>
      <w:tblGrid>
        <w:gridCol w:w="10106"/>
      </w:tblGrid>
      <w:tr>
        <w:tc>
          <w:tcPr>
            <w:tcW w:type="dxa" w:w="10106"/>
            <w:shd w:fill="A8632C" w:color="auto" w:val="clear"/>
            <w:tcMar>
              <w:top w:type="dxa" w:w="360"/>
              <w:left w:type="dxa" w:w="280"/>
              <w:bottom w:type="dxa" w:w="360"/>
              <w:right w:type="dxa" w:w="280"/>
            </w:tcMar>
          </w:tcPr>
          <w:p>
            <w:pPr>
              <w:spacing w:after="60"/>
            </w:pPr>
            <w:r>
              <w:rPr>
                <w:rFonts w:ascii="Calibri" w:cs="Calibri" w:eastAsia="Calibri" w:hAnsi="Calibri"/>
                <w:b/>
                <w:bCs/>
                <w:color w:val="F3E3CE"/>
                <w:spacing w:val="30"/>
                <w:sz w:val="18"/>
                <w:szCs w:val="18"/>
              </w:rPr>
              <w:t xml:space="preserve">PART THREE</w:t>
            </w:r>
          </w:p>
          <w:p>
            <w:pPr>
              <w:spacing w:after="100"/>
            </w:pPr>
            <w:r>
              <w:rPr>
                <w:rFonts w:ascii="Calibri" w:cs="Calibri" w:eastAsia="Calibri" w:hAnsi="Calibri"/>
                <w:b/>
                <w:bCs/>
                <w:color w:val="FFFFFF"/>
                <w:sz w:val="36"/>
                <w:szCs w:val="36"/>
              </w:rPr>
              <w:t xml:space="preserve">Pilot Plan &amp; Feedback Toolkit</w:t>
            </w:r>
          </w:p>
          <w:p>
            <w:r>
              <w:rPr>
                <w:rFonts w:ascii="Calibri" w:cs="Calibri" w:eastAsia="Calibri" w:hAnsi="Calibri"/>
                <w:i/>
                <w:iCs/>
                <w:color w:val="F6E9D8"/>
                <w:sz w:val="20"/>
                <w:szCs w:val="20"/>
              </w:rPr>
              <w:t xml:space="preserve">Testing the material with real Form 3/4 learners before rollout</w:t>
            </w:r>
          </w:p>
        </w:tc>
      </w:tr>
    </w:tbl>
    <w:p>
      <w:pPr>
        <w:spacing w:after="60" w:before="0"/>
      </w:pPr>
      <w:r>
        <w:rPr>
          <w:rFonts w:ascii="Calibri" w:cs="Calibri" w:eastAsia="Calibri" w:hAnsi="Calibri"/>
          <w:b w:val="false"/>
          <w:bCs w:val="false"/>
          <w:i w:val="false"/>
          <w:iCs w:val="false"/>
          <w:color w:val="221F1A"/>
          <w:sz w:val="21"/>
          <w:szCs w:val="21"/>
        </w:rPr>
        <w:t xml:space="preserve"> </w:t>
      </w:r>
    </w:p>
    <w:p>
      <w:pPr>
        <w:spacing w:after="120" w:before="0"/>
      </w:pPr>
      <w:r>
        <w:rPr>
          <w:rFonts w:ascii="Calibri" w:cs="Calibri" w:eastAsia="Calibri" w:hAnsi="Calibri"/>
          <w:b w:val="false"/>
          <w:bCs w:val="false"/>
          <w:i w:val="false"/>
          <w:iCs w:val="false"/>
          <w:color w:val="221F1A"/>
          <w:sz w:val="21"/>
          <w:szCs w:val="21"/>
        </w:rPr>
        <w:t xml:space="preserve">This toolkit plans and records a real-classroom pilot of the material set out in Parts One and Two, and produces the evidence attached to the CDC submission package.</w:t>
      </w:r>
    </w:p>
    <w:p>
      <w:pPr>
        <w:pStyle w:val="Heading1"/>
        <w:pBdr>
          <w:bottom w:val="single" w:color="A8632C" w:sz="6" w:space="4"/>
        </w:pBdr>
        <w:spacing w:after="140" w:before="320"/>
      </w:pPr>
      <w:r>
        <w:rPr>
          <w:rFonts w:ascii="Calibri" w:cs="Calibri" w:eastAsia="Calibri" w:hAnsi="Calibri"/>
          <w:b/>
          <w:bCs/>
          <w:color w:val="7C481E"/>
          <w:sz w:val="30"/>
          <w:szCs w:val="30"/>
        </w:rPr>
        <w:t xml:space="preserve">Why Pilot This First</w:t>
      </w:r>
    </w:p>
    <w:p>
      <w:pPr>
        <w:spacing w:after="120" w:before="0"/>
      </w:pPr>
      <w:r>
        <w:rPr>
          <w:rFonts w:ascii="Calibri" w:cs="Calibri" w:eastAsia="Calibri" w:hAnsi="Calibri"/>
          <w:b w:val="false"/>
          <w:bCs w:val="false"/>
          <w:i w:val="false"/>
          <w:iCs w:val="false"/>
          <w:color w:val="221F1A"/>
          <w:sz w:val="21"/>
          <w:szCs w:val="21"/>
        </w:rPr>
        <w:t xml:space="preserve">A pilot turns careful design into evidence: real Form 3/4 learners working through the material, with the timing, wording and facilitation checked against what actually happens in a classroom, not only against the plan on paper. This toolkit exists so that the pilot produces useful, honest evidence rather than an unstructured impression.</w:t>
      </w:r>
    </w:p>
    <w:p>
      <w:pPr>
        <w:pStyle w:val="Heading1"/>
        <w:pBdr>
          <w:bottom w:val="single" w:color="A8632C" w:sz="6" w:space="4"/>
        </w:pBdr>
        <w:spacing w:after="140" w:before="320"/>
      </w:pPr>
      <w:r>
        <w:rPr>
          <w:rFonts w:ascii="Calibri" w:cs="Calibri" w:eastAsia="Calibri" w:hAnsi="Calibri"/>
          <w:b/>
          <w:bCs/>
          <w:color w:val="7C481E"/>
          <w:sz w:val="30"/>
          <w:szCs w:val="30"/>
        </w:rPr>
        <w:t xml:space="preserve">Before You Begin — Permissions and Ethics</w:t>
      </w:r>
    </w:p>
    <w:p>
      <w:pPr>
        <w:pStyle w:val="ListParagraph"/>
        <w:numPr>
          <w:ilvl w:val="0"/>
          <w:numId w:val="2"/>
        </w:numPr>
        <w:spacing w:after="80"/>
      </w:pPr>
      <w:r>
        <w:rPr>
          <w:rFonts w:ascii="Calibri" w:cs="Calibri" w:eastAsia="Calibri" w:hAnsi="Calibri"/>
          <w:color w:val="221F1A"/>
          <w:sz w:val="21"/>
          <w:szCs w:val="21"/>
        </w:rPr>
        <w:t xml:space="preserve">Get written authorisation from the school's Head Teacher before running any session — the material has not yet received CDC endorsement at the point of piloting.</w:t>
      </w:r>
    </w:p>
    <w:p>
      <w:pPr>
        <w:pStyle w:val="ListParagraph"/>
        <w:numPr>
          <w:ilvl w:val="0"/>
          <w:numId w:val="2"/>
        </w:numPr>
        <w:spacing w:after="80"/>
      </w:pPr>
      <w:r>
        <w:rPr>
          <w:rFonts w:ascii="Calibri" w:cs="Calibri" w:eastAsia="Calibri" w:hAnsi="Calibri"/>
          <w:color w:val="221F1A"/>
          <w:sz w:val="21"/>
          <w:szCs w:val="21"/>
        </w:rPr>
        <w:t xml:space="preserve">Notify parents/guardians in advance, in simple terms: a career-guidance self-reflection activity will run during Guidance and Counselling / Civic Education / co-curricular time; it is not a graded test.</w:t>
      </w:r>
    </w:p>
    <w:p>
      <w:pPr>
        <w:pStyle w:val="ListParagraph"/>
        <w:numPr>
          <w:ilvl w:val="0"/>
          <w:numId w:val="2"/>
        </w:numPr>
        <w:spacing w:after="80"/>
      </w:pPr>
      <w:r>
        <w:rPr>
          <w:rFonts w:ascii="Calibri" w:cs="Calibri" w:eastAsia="Calibri" w:hAnsi="Calibri"/>
          <w:color w:val="221F1A"/>
          <w:sz w:val="21"/>
          <w:szCs w:val="21"/>
        </w:rPr>
        <w:t xml:space="preserve">Tell learners plainly that this is a trial version and their honest feedback — including criticism — is wanted and will be used to improve it.</w:t>
      </w:r>
    </w:p>
    <w:p>
      <w:pPr>
        <w:pStyle w:val="ListParagraph"/>
        <w:numPr>
          <w:ilvl w:val="0"/>
          <w:numId w:val="2"/>
        </w:numPr>
        <w:spacing w:after="80"/>
      </w:pPr>
      <w:r>
        <w:rPr>
          <w:rFonts w:ascii="Calibri" w:cs="Calibri" w:eastAsia="Calibri" w:hAnsi="Calibri"/>
          <w:color w:val="221F1A"/>
          <w:sz w:val="21"/>
          <w:szCs w:val="21"/>
        </w:rPr>
        <w:t xml:space="preserve">Follow the facilitator's guide's own ground rules throughout: participation in the activity can be required as normal classwork, but sharing a personal result out loud is always voluntary.</w:t>
      </w:r>
    </w:p>
    <w:p>
      <w:pPr>
        <w:pStyle w:val="ListParagraph"/>
        <w:numPr>
          <w:ilvl w:val="0"/>
          <w:numId w:val="2"/>
        </w:numPr>
        <w:spacing w:after="80"/>
      </w:pPr>
      <w:r>
        <w:rPr>
          <w:rFonts w:ascii="Calibri" w:cs="Calibri" w:eastAsia="Calibri" w:hAnsi="Calibri"/>
          <w:color w:val="221F1A"/>
          <w:sz w:val="21"/>
          <w:szCs w:val="21"/>
        </w:rPr>
        <w:t xml:space="preserve">Do not record any learner's actual Dominant/Secondary/Shadow result as pilot data. Collect only the anonymous, aggregate feedback described below.</w:t>
      </w:r>
    </w:p>
    <w:p>
      <w:pPr>
        <w:pStyle w:val="Heading1"/>
        <w:pBdr>
          <w:bottom w:val="single" w:color="A8632C" w:sz="6" w:space="4"/>
        </w:pBdr>
        <w:spacing w:after="140" w:before="320"/>
      </w:pPr>
      <w:r>
        <w:rPr>
          <w:rFonts w:ascii="Calibri" w:cs="Calibri" w:eastAsia="Calibri" w:hAnsi="Calibri"/>
          <w:b/>
          <w:bCs/>
          <w:color w:val="7C481E"/>
          <w:sz w:val="30"/>
          <w:szCs w:val="30"/>
        </w:rPr>
        <w:t xml:space="preserve">Pilot Scope</w:t>
      </w:r>
    </w:p>
    <w:p>
      <w:pPr>
        <w:pStyle w:val="ListParagraph"/>
        <w:numPr>
          <w:ilvl w:val="0"/>
          <w:numId w:val="2"/>
        </w:numPr>
        <w:spacing w:after="80"/>
      </w:pPr>
      <w:r>
        <w:rPr>
          <w:rFonts w:ascii="Calibri" w:cs="Calibri" w:eastAsia="Calibri" w:hAnsi="Calibri"/>
          <w:color w:val="221F1A"/>
          <w:sz w:val="21"/>
          <w:szCs w:val="21"/>
        </w:rPr>
        <w:t xml:space="preserve">Two to three schools, chosen to vary rather than to flatter the workbook — at least one under-resourced setting, to genuinely test the facilitator's guide's adaptations for schools without enough printed copies or a photocopier.</w:t>
      </w:r>
    </w:p>
    <w:p>
      <w:pPr>
        <w:pStyle w:val="ListParagraph"/>
        <w:numPr>
          <w:ilvl w:val="0"/>
          <w:numId w:val="2"/>
        </w:numPr>
        <w:spacing w:after="80"/>
      </w:pPr>
      <w:r>
        <w:rPr>
          <w:rFonts w:ascii="Calibri" w:cs="Calibri" w:eastAsia="Calibri" w:hAnsi="Calibri"/>
          <w:color w:val="221F1A"/>
          <w:sz w:val="21"/>
          <w:szCs w:val="21"/>
        </w:rPr>
        <w:t xml:space="preserve">At least two classes; roughly 40–100 learners in total is enough to surface real patterns without needing a large-scale trial.</w:t>
      </w:r>
    </w:p>
    <w:p>
      <w:pPr>
        <w:pStyle w:val="ListParagraph"/>
        <w:numPr>
          <w:ilvl w:val="0"/>
          <w:numId w:val="2"/>
        </w:numPr>
        <w:spacing w:after="80"/>
      </w:pPr>
      <w:r>
        <w:rPr>
          <w:rFonts w:ascii="Calibri" w:cs="Calibri" w:eastAsia="Calibri" w:hAnsi="Calibri"/>
          <w:color w:val="221F1A"/>
          <w:sz w:val="21"/>
          <w:szCs w:val="21"/>
        </w:rPr>
        <w:t xml:space="preserve">One facilitator per class, each having read the facilitator's guide in full beforehand.</w:t>
      </w:r>
    </w:p>
    <w:p>
      <w:pPr>
        <w:pStyle w:val="Heading1"/>
        <w:pBdr>
          <w:bottom w:val="single" w:color="A8632C" w:sz="6" w:space="4"/>
        </w:pBdr>
        <w:spacing w:after="140" w:before="320"/>
      </w:pPr>
      <w:r>
        <w:rPr>
          <w:rFonts w:ascii="Calibri" w:cs="Calibri" w:eastAsia="Calibri" w:hAnsi="Calibri"/>
          <w:b/>
          <w:bCs/>
          <w:color w:val="7C481E"/>
          <w:sz w:val="30"/>
          <w:szCs w:val="30"/>
        </w:rPr>
        <w:t xml:space="preserve">Timeline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800"/>
        <w:gridCol w:w="8306"/>
      </w:tblGrid>
      <w:tr>
        <w:trPr>
          <w:tblHeader/>
        </w:trPr>
        <w:tc>
          <w:tcPr>
            <w:tcW w:type="dxa" w:w="18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When</w:t>
            </w:r>
          </w:p>
        </w:tc>
        <w:tc>
          <w:tcPr>
            <w:tcW w:type="dxa" w:w="83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happens</w:t>
            </w:r>
          </w:p>
        </w:tc>
      </w:tr>
      <w:tr>
        <w:tc>
          <w:tcPr>
            <w:tcW w:type="dxa" w:w="1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Week 1</w:t>
            </w:r>
          </w:p>
        </w:tc>
        <w:tc>
          <w:tcPr>
            <w:tcW w:type="dxa" w:w="8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Get school authorisation; notify parents/guardians; facilitator reads the full facilitator's guide</w:t>
            </w:r>
          </w:p>
        </w:tc>
      </w:tr>
      <w:tr>
        <w:tc>
          <w:tcPr>
            <w:tcW w:type="dxa" w:w="1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Week 2</w:t>
            </w:r>
          </w:p>
        </w:tc>
        <w:tc>
          <w:tcPr>
            <w:tcW w:type="dxa" w:w="8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Run Session 1 (Introduction &amp; Self-Assessment) and Session 2 (Scoring &amp; Reading Your Result)</w:t>
            </w:r>
          </w:p>
        </w:tc>
      </w:tr>
      <w:tr>
        <w:tc>
          <w:tcPr>
            <w:tcW w:type="dxa" w:w="1800"/>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Week 3</w:t>
            </w:r>
          </w:p>
        </w:tc>
        <w:tc>
          <w:tcPr>
            <w:tcW w:type="dxa" w:w="83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Run Session 3 (World of Work, Decisions, Pathways &amp; Working Together); collect student and facilitator feedback immediately after</w:t>
            </w:r>
          </w:p>
        </w:tc>
      </w:tr>
      <w:tr>
        <w:tc>
          <w:tcPr>
            <w:tcW w:type="dxa" w:w="18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Week 4</w:t>
            </w:r>
          </w:p>
        </w:tc>
        <w:tc>
          <w:tcPr>
            <w:tcW w:type="dxa" w:w="83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Compile findings into the Pilot Summary Report; decide what, if anything, changes before submission</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Facilitator Observation Log</w:t>
      </w:r>
    </w:p>
    <w:p>
      <w:pPr>
        <w:spacing w:after="120" w:before="0"/>
      </w:pPr>
      <w:r>
        <w:rPr>
          <w:rFonts w:ascii="Calibri" w:cs="Calibri" w:eastAsia="Calibri" w:hAnsi="Calibri"/>
          <w:b w:val="false"/>
          <w:bCs w:val="false"/>
          <w:i w:val="false"/>
          <w:iCs w:val="false"/>
          <w:color w:val="221F1A"/>
          <w:sz w:val="21"/>
          <w:szCs w:val="21"/>
        </w:rPr>
        <w:t xml:space="preserve">One row per session, completed during or immediately after running it.</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300"/>
        <w:gridCol w:w="3800"/>
        <w:gridCol w:w="2406"/>
      </w:tblGrid>
      <w:tr>
        <w:trPr>
          <w:tblHeader/>
        </w:trPr>
        <w:tc>
          <w:tcPr>
            <w:tcW w:type="dxa" w:w="13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Session</w:t>
            </w:r>
          </w:p>
        </w:tc>
        <w:tc>
          <w:tcPr>
            <w:tcW w:type="dxa" w:w="13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Planned time</w:t>
            </w:r>
          </w:p>
        </w:tc>
        <w:tc>
          <w:tcPr>
            <w:tcW w:type="dxa" w:w="13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Actual time</w:t>
            </w:r>
          </w:p>
        </w:tc>
        <w:tc>
          <w:tcPr>
            <w:tcW w:type="dxa" w:w="38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What worked / what needed rephrasing</w:t>
            </w:r>
          </w:p>
        </w:tc>
        <w:tc>
          <w:tcPr>
            <w:tcW w:type="dxa" w:w="24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Sensitive situations?</w:t>
            </w:r>
          </w:p>
        </w:tc>
      </w:tr>
      <w:tr>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1</w:t>
            </w:r>
          </w:p>
        </w:tc>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4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13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2</w:t>
            </w:r>
          </w:p>
        </w:tc>
        <w:tc>
          <w:tcPr>
            <w:tcW w:type="dxa" w:w="13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13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38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406"/>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3</w:t>
            </w:r>
          </w:p>
        </w:tc>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13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4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Student Feedback Form (anonymous)</w:t>
      </w:r>
    </w:p>
    <w:p>
      <w:pPr>
        <w:spacing w:after="120" w:before="0"/>
      </w:pPr>
      <w:r>
        <w:rPr>
          <w:rFonts w:ascii="Calibri" w:cs="Calibri" w:eastAsia="Calibri" w:hAnsi="Calibri"/>
          <w:b w:val="false"/>
          <w:bCs w:val="false"/>
          <w:i w:val="false"/>
          <w:iCs w:val="false"/>
          <w:color w:val="221F1A"/>
          <w:sz w:val="21"/>
          <w:szCs w:val="21"/>
        </w:rPr>
        <w:t xml:space="preserve">No name field. Handed out after Session 3. Read each statement aloud if literacy varies, and remind learners this is about the workbook, not about them.</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5200"/>
        <w:gridCol w:w="981"/>
        <w:gridCol w:w="981"/>
        <w:gridCol w:w="981"/>
        <w:gridCol w:w="981"/>
        <w:gridCol w:w="981"/>
      </w:tblGrid>
      <w:tr>
        <w:trPr>
          <w:tblHeader/>
        </w:trPr>
        <w:tc>
          <w:tcPr>
            <w:tcW w:type="dxa" w:w="52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Statement</w:t>
            </w:r>
          </w:p>
        </w:tc>
        <w:tc>
          <w:tcPr>
            <w:tcW w:type="dxa" w:w="981"/>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1
No</w:t>
            </w:r>
          </w:p>
        </w:tc>
        <w:tc>
          <w:tcPr>
            <w:tcW w:type="dxa" w:w="981"/>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2</w:t>
            </w:r>
          </w:p>
        </w:tc>
        <w:tc>
          <w:tcPr>
            <w:tcW w:type="dxa" w:w="981"/>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3
Not sure</w:t>
            </w:r>
          </w:p>
        </w:tc>
        <w:tc>
          <w:tcPr>
            <w:tcW w:type="dxa" w:w="981"/>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4</w:t>
            </w:r>
          </w:p>
        </w:tc>
        <w:tc>
          <w:tcPr>
            <w:tcW w:type="dxa" w:w="981"/>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5
Yes</w:t>
            </w:r>
          </w:p>
        </w:tc>
      </w:tr>
      <w:tr>
        <w:tc>
          <w:tcPr>
            <w:tcW w:type="dxa" w:w="5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The instructions were easy to understand.</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r>
      <w:tr>
        <w:tc>
          <w:tcPr>
            <w:tcW w:type="dxa" w:w="52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The questions made sense to me.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r>
      <w:tr>
        <w:tc>
          <w:tcPr>
            <w:tcW w:type="dxa" w:w="5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My result felt like it described me, at least partly.</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r>
      <w:tr>
        <w:tc>
          <w:tcPr>
            <w:tcW w:type="dxa" w:w="5200"/>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I found out about a subject, institution or career I hadn't thought about before.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shd w:fill="F6EFE1" w:color="auto" w:val="clear"/>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r>
      <w:tr>
        <w:tc>
          <w:tcPr>
            <w:tcW w:type="dxa" w:w="52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I would recommend this activity to a friend in another class.</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c>
          <w:tcPr>
            <w:tcW w:type="dxa" w:w="981"/>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20"/>
                <w:szCs w:val="20"/>
              </w:rPr>
              <w:t xml:space="preserve">☐</w:t>
            </w:r>
          </w:p>
        </w:tc>
      </w:tr>
    </w:tbl>
    <w:p>
      <w:pPr>
        <w:spacing w:after="120" w:before="0"/>
      </w:pPr>
      <w:r>
        <w:rPr>
          <w:rFonts w:ascii="Calibri" w:cs="Calibri" w:eastAsia="Calibri" w:hAnsi="Calibri"/>
          <w:b w:val="false"/>
          <w:bCs w:val="false"/>
          <w:i w:val="false"/>
          <w:iCs w:val="false"/>
          <w:color w:val="221F1A"/>
          <w:sz w:val="21"/>
          <w:szCs w:val="21"/>
        </w:rPr>
        <w:t xml:space="preserve">Was anything in this workbook confusing, upsetting, or something you think should change? (write freely below)</w:t>
      </w:r>
    </w:p>
    <w:p>
      <w:pPr>
        <w:pStyle w:val="Heading1"/>
        <w:pBdr>
          <w:bottom w:val="single" w:color="A8632C" w:sz="6" w:space="4"/>
        </w:pBdr>
        <w:spacing w:after="140" w:before="320"/>
      </w:pPr>
      <w:r>
        <w:rPr>
          <w:rFonts w:ascii="Calibri" w:cs="Calibri" w:eastAsia="Calibri" w:hAnsi="Calibri"/>
          <w:b/>
          <w:bCs/>
          <w:color w:val="7C481E"/>
          <w:sz w:val="30"/>
          <w:szCs w:val="30"/>
        </w:rPr>
        <w:t xml:space="preserve">Facilitator Feedback Form</w:t>
      </w:r>
    </w:p>
    <w:p>
      <w:pPr>
        <w:spacing w:after="120" w:before="0"/>
      </w:pPr>
      <w:r>
        <w:rPr>
          <w:rFonts w:ascii="Calibri" w:cs="Calibri" w:eastAsia="Calibri" w:hAnsi="Calibri"/>
          <w:b w:val="false"/>
          <w:bCs w:val="false"/>
          <w:i w:val="false"/>
          <w:iCs w:val="false"/>
          <w:color w:val="221F1A"/>
          <w:sz w:val="21"/>
          <w:szCs w:val="21"/>
        </w:rPr>
        <w:t xml:space="preserve">Completed by the facilitator after all three sessions, in their own words:</w:t>
      </w:r>
    </w:p>
    <w:p>
      <w:pPr>
        <w:pStyle w:val="ListParagraph"/>
        <w:numPr>
          <w:ilvl w:val="0"/>
          <w:numId w:val="2"/>
        </w:numPr>
        <w:spacing w:after="80"/>
      </w:pPr>
      <w:r>
        <w:rPr>
          <w:rFonts w:ascii="Calibri" w:cs="Calibri" w:eastAsia="Calibri" w:hAnsi="Calibri"/>
          <w:color w:val="221F1A"/>
          <w:sz w:val="21"/>
          <w:szCs w:val="21"/>
        </w:rPr>
        <w:t xml:space="preserve">How long did each session actually take, compared with the guide's estimate?</w:t>
      </w:r>
    </w:p>
    <w:p>
      <w:pPr>
        <w:pStyle w:val="ListParagraph"/>
        <w:numPr>
          <w:ilvl w:val="0"/>
          <w:numId w:val="2"/>
        </w:numPr>
        <w:spacing w:after="80"/>
      </w:pPr>
      <w:r>
        <w:rPr>
          <w:rFonts w:ascii="Calibri" w:cs="Calibri" w:eastAsia="Calibri" w:hAnsi="Calibri"/>
          <w:color w:val="221F1A"/>
          <w:sz w:val="21"/>
          <w:szCs w:val="21"/>
        </w:rPr>
        <w:t xml:space="preserve">Which parts of the facilitator's script needed rephrasing or extra explanation?</w:t>
      </w:r>
    </w:p>
    <w:p>
      <w:pPr>
        <w:pStyle w:val="ListParagraph"/>
        <w:numPr>
          <w:ilvl w:val="0"/>
          <w:numId w:val="2"/>
        </w:numPr>
        <w:spacing w:after="80"/>
      </w:pPr>
      <w:r>
        <w:rPr>
          <w:rFonts w:ascii="Calibri" w:cs="Calibri" w:eastAsia="Calibri" w:hAnsi="Calibri"/>
          <w:color w:val="221F1A"/>
          <w:sz w:val="21"/>
          <w:szCs w:val="21"/>
        </w:rPr>
        <w:t xml:space="preserve">Did any sensitive situations or common questions come up? How were they handled, and did the guide's suggested response work?</w:t>
      </w:r>
    </w:p>
    <w:p>
      <w:pPr>
        <w:pStyle w:val="ListParagraph"/>
        <w:numPr>
          <w:ilvl w:val="0"/>
          <w:numId w:val="2"/>
        </w:numPr>
        <w:spacing w:after="80"/>
      </w:pPr>
      <w:r>
        <w:rPr>
          <w:rFonts w:ascii="Calibri" w:cs="Calibri" w:eastAsia="Calibri" w:hAnsi="Calibri"/>
          <w:color w:val="221F1A"/>
          <w:sz w:val="21"/>
          <w:szCs w:val="21"/>
        </w:rPr>
        <w:t xml:space="preserve">Did the Working Together activity work as written? Did groups need more or less than 5–8 minutes?</w:t>
      </w:r>
    </w:p>
    <w:p>
      <w:pPr>
        <w:pStyle w:val="ListParagraph"/>
        <w:numPr>
          <w:ilvl w:val="0"/>
          <w:numId w:val="2"/>
        </w:numPr>
        <w:spacing w:after="80"/>
      </w:pPr>
      <w:r>
        <w:rPr>
          <w:rFonts w:ascii="Calibri" w:cs="Calibri" w:eastAsia="Calibri" w:hAnsi="Calibri"/>
          <w:color w:val="221F1A"/>
          <w:sz w:val="21"/>
          <w:szCs w:val="21"/>
        </w:rPr>
        <w:t xml:space="preserve">Would you recommend this workbook for full rollout in Form 3/4 Guidance and Counselling? Why or why not?</w:t>
      </w:r>
    </w:p>
    <w:p>
      <w:pPr>
        <w:pStyle w:val="ListParagraph"/>
        <w:numPr>
          <w:ilvl w:val="0"/>
          <w:numId w:val="2"/>
        </w:numPr>
        <w:spacing w:after="80"/>
      </w:pPr>
      <w:r>
        <w:rPr>
          <w:rFonts w:ascii="Calibri" w:cs="Calibri" w:eastAsia="Calibri" w:hAnsi="Calibri"/>
          <w:color w:val="221F1A"/>
          <w:sz w:val="21"/>
          <w:szCs w:val="21"/>
        </w:rPr>
        <w:t xml:space="preserve">Any other comments, corrections, or suggestions?</w:t>
      </w:r>
    </w:p>
    <w:p>
      <w:pPr>
        <w:pStyle w:val="Heading1"/>
        <w:pBdr>
          <w:bottom w:val="single" w:color="A8632C" w:sz="6" w:space="4"/>
        </w:pBdr>
        <w:spacing w:after="140" w:before="320"/>
      </w:pPr>
      <w:r>
        <w:rPr>
          <w:rFonts w:ascii="Calibri" w:cs="Calibri" w:eastAsia="Calibri" w:hAnsi="Calibri"/>
          <w:b/>
          <w:bCs/>
          <w:color w:val="7C481E"/>
          <w:sz w:val="30"/>
          <w:szCs w:val="30"/>
        </w:rPr>
        <w:t xml:space="preserve">Pilot Summary Report</w:t>
      </w:r>
    </w:p>
    <w:p>
      <w:pPr>
        <w:spacing w:after="120" w:before="0"/>
      </w:pPr>
      <w:r>
        <w:rPr>
          <w:rFonts w:ascii="Calibri" w:cs="Calibri" w:eastAsia="Calibri" w:hAnsi="Calibri"/>
          <w:b w:val="false"/>
          <w:bCs w:val="false"/>
          <w:i w:val="false"/>
          <w:iCs w:val="false"/>
          <w:color w:val="221F1A"/>
          <w:sz w:val="21"/>
          <w:szCs w:val="21"/>
        </w:rPr>
        <w:t xml:space="preserve">Completed once the pilot has taken place. This is the page attached to the CDC submission package as evidence.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400"/>
        <w:gridCol w:w="6706"/>
      </w:tblGrid>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School(s) involved</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Dates piloted</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Number of learners</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Number of facilitators</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Key findings — timing</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Key findings — comprehension issues found and fixed</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Key findings — sensitive situations encountered and how handled</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Overall learner reception</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Overall facilitator reception</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400"/>
            <w:shd w:fill="F6EFE1"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221F1A"/>
                <w:sz w:val="18"/>
                <w:szCs w:val="18"/>
              </w:rPr>
              <w:t xml:space="preserve">Changes made to the workbook or facilitator's guide as a result</w:t>
            </w:r>
          </w:p>
        </w:tc>
        <w:tc>
          <w:tcPr>
            <w:tcW w:type="dxa" w:w="67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bl>
    <w:p>
      <w:pPr>
        <w:pStyle w:val="Heading2"/>
        <w:spacing w:after="100" w:before="220"/>
      </w:pPr>
      <w:r>
        <w:rPr>
          <w:rFonts w:ascii="Calibri" w:cs="Calibri" w:eastAsia="Calibri" w:hAnsi="Calibri"/>
          <w:b/>
          <w:bCs/>
          <w:color w:val="7C481E"/>
          <w:sz w:val="24"/>
          <w:szCs w:val="24"/>
        </w:rPr>
        <w:t xml:space="preserve">Sign-Off</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center"/>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center"/>
          </w:tcPr>
          <w:p>
            <w:pPr>
              <w:spacing w:after="40"/>
            </w:pPr>
            <w:r>
              <w:rPr>
                <w:rFonts w:ascii="Calibri" w:cs="Calibri" w:eastAsia="Calibri" w:hAnsi="Calibri"/>
                <w:b w:val="false"/>
                <w:bCs w:val="false"/>
                <w:i w:val="false"/>
                <w:iCs w:val="false"/>
                <w:color w:val="221F1A"/>
                <w:sz w:val="18"/>
                <w:szCs w:val="18"/>
              </w:rPr>
              <w:t xml:space="preserve"> </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Implementation Status</w:t>
      </w:r>
    </w:p>
    <w:p>
      <w:pPr>
        <w:spacing w:after="120" w:before="0"/>
      </w:pPr>
      <w:r>
        <w:rPr>
          <w:rFonts w:ascii="Calibri" w:cs="Calibri" w:eastAsia="Calibri" w:hAnsi="Calibri"/>
          <w:b w:val="false"/>
          <w:bCs w:val="false"/>
          <w:i w:val="false"/>
          <w:iCs w:val="false"/>
          <w:color w:val="221F1A"/>
          <w:sz w:val="21"/>
          <w:szCs w:val="21"/>
        </w:rPr>
        <w:t xml:space="preserve">Two items remain open ahead of full CDC endorsement, recorded here for transparency:</w:t>
      </w:r>
    </w:p>
    <w:p>
      <w:pPr>
        <w:pStyle w:val="ListParagraph"/>
        <w:numPr>
          <w:ilvl w:val="0"/>
          <w:numId w:val="2"/>
        </w:numPr>
        <w:spacing w:after="80"/>
      </w:pPr>
      <w:r>
        <w:rPr>
          <w:rFonts w:ascii="Calibri" w:cs="Calibri" w:eastAsia="Calibri" w:hAnsi="Calibri"/>
          <w:color w:val="221F1A"/>
          <w:sz w:val="21"/>
          <w:szCs w:val="21"/>
        </w:rPr>
        <w:t xml:space="preserve">Syllabus verification: this mapping (Part One) is grounded in the 2023 Zambia Education Curriculum Framework, which sets out the PSVE structure and the pathway system with page-cited authority, but does not itself contain a separate, numbered Guidance and Counselling syllabus of the kind subjects like English or Biology have. Whether a more granular syllabus document exists beyond this Framework is a question for CDC or a serving Guidance and Counselling teacher to confirm.</w:t>
      </w:r>
    </w:p>
    <w:p>
      <w:pPr>
        <w:pStyle w:val="ListParagraph"/>
        <w:numPr>
          <w:ilvl w:val="0"/>
          <w:numId w:val="2"/>
        </w:numPr>
        <w:spacing w:after="80"/>
      </w:pPr>
      <w:r>
        <w:rPr>
          <w:rFonts w:ascii="Calibri" w:cs="Calibri" w:eastAsia="Calibri" w:hAnsi="Calibri"/>
          <w:color w:val="221F1A"/>
          <w:sz w:val="21"/>
          <w:szCs w:val="21"/>
        </w:rPr>
        <w:t xml:space="preserve">Classroom pilot: the Pilot Summary Report (Part Three) is the evidence a curriculum body expects to see alongside a submission of this kind. It is included here as a toolkit, ready to be completed once a real-classroom pilot has been run; the pilot itself has not yet taken place.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Master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a6a922039e4cb579fa64c3f3c1a45595f7e4de.png"/><Relationship Id="rId10" Type="http://schemas.openxmlformats.org/officeDocument/2006/relationships/image" Target="media/8f4a57992f8f20899007863988580cc258c46031.png"/><Relationship Id="rId11" Type="http://schemas.openxmlformats.org/officeDocument/2006/relationships/image" Target="media/730a27b3740342061feb01d52d14e237697c7d7a.png"/><Relationship Id="rId12" Type="http://schemas.openxmlformats.org/officeDocument/2006/relationships/image" Target="media/39f410b37dad222a3ec5aefa908c8d1890603904.png"/><Relationship Id="rId13" Type="http://schemas.openxmlformats.org/officeDocument/2006/relationships/image" Target="media/89ad8dcaa2151c83d8366e634a4bb8901e1aae94.png"/><Relationship Id="rId14" Type="http://schemas.openxmlformats.org/officeDocument/2006/relationships/image" Target="media/b19597c09da174a7474d8c0bf7e3245cea231d71.png"/><Relationship Id="rId15" Type="http://schemas.openxmlformats.org/officeDocument/2006/relationships/image" Target="media/2ae40f1fe13e21c3e345fd825393118bbe897fe7.png"/><Relationship Id="rId16" Type="http://schemas.openxmlformats.org/officeDocument/2006/relationships/image" Target="media/576321d16e2de12f628fd26fbd44c0d92622a3a8.png"/><Relationship Id="rId17" Type="http://schemas.openxmlformats.org/officeDocument/2006/relationships/image" Target="media/256374189b17c8f2515d5ac350121eeda7586eb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2026-09-16T06:54:10.184Z</dcterms:created>
  <dcterms:modified xsi:type="dcterms:W3CDTF">2026-09-16T06:54:10.185Z</dcterms:modified>
</cp:coreProperties>
</file>

<file path=docProps/custom.xml><?xml version="1.0" encoding="utf-8"?>
<Properties xmlns="http://schemas.openxmlformats.org/officeDocument/2006/custom-properties" xmlns:vt="http://schemas.openxmlformats.org/officeDocument/2006/docPropsVTypes"/>
</file>