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jc w:val="center"/>
      </w:pPr>
      <w:r>
        <w:rPr>
          <w:rFonts w:ascii="Calibri" w:cs="Calibri" w:eastAsia="Calibri" w:hAnsi="Calibri"/>
          <w:b/>
          <w:bCs/>
          <w:color w:val="A8632C"/>
          <w:sz w:val="56"/>
          <w:szCs w:val="56"/>
        </w:rPr>
        <w:t xml:space="preserve">Pathway Orientation</w:t>
      </w:r>
    </w:p>
    <w:p>
      <w:pPr>
        <w:spacing w:after="360"/>
        <w:jc w:val="center"/>
      </w:pPr>
      <w:r>
        <w:rPr>
          <w:rFonts w:ascii="Calibri" w:cs="Calibri" w:eastAsia="Calibri" w:hAnsi="Calibri"/>
          <w:i/>
          <w:iCs/>
          <w:color w:val="6E6858"/>
          <w:sz w:val="22"/>
          <w:szCs w:val="22"/>
        </w:rPr>
        <w:t xml:space="preserve">Curriculum Alignment, Facilitation and Pilot Package: prepared for the Curriculum Development Centre, Zambia Ministry of Education</w:t>
      </w:r>
    </w:p>
    <w:p>
      <w:pPr>
        <w:pStyle w:val="Heading2"/>
        <w:spacing w:after="100" w:before="220"/>
      </w:pPr>
      <w:r>
        <w:rPr>
          <w:rFonts w:ascii="Calibri" w:cs="Calibri" w:eastAsia="Calibri" w:hAnsi="Calibri"/>
          <w:b/>
          <w:bCs/>
          <w:color w:val="7C481E"/>
          <w:sz w:val="24"/>
          <w:szCs w:val="24"/>
        </w:rPr>
        <w:t xml:space="preserve">About This Package</w:t>
      </w:r>
    </w:p>
    <w:p>
      <w:pPr>
        <w:spacing w:after="120" w:before="0"/>
      </w:pPr>
      <w:r>
        <w:rPr>
          <w:rFonts w:ascii="Calibri" w:cs="Calibri" w:eastAsia="Calibri" w:hAnsi="Calibri"/>
          <w:b w:val="false"/>
          <w:bCs w:val="false"/>
          <w:i w:val="false"/>
          <w:iCs w:val="false"/>
          <w:color w:val="221F1A"/>
          <w:sz w:val="21"/>
          <w:szCs w:val="21"/>
        </w:rPr>
        <w:t xml:space="preserve">Pathway Orientation is a self-scoring career-guidance workbook for Form 3 and Form 4 learners, built around seven work orientations (Order, Form, Coordination, Discovery, Integration, Preservation, Transformation). This package brings together the three components of its Guidance department submission: how the workbook aligns to the 2023 Zambia Education Curriculum Framework, how a facilitator runs it across three sessions, and how it is piloted in real classrooms before rollout. Cross-references between the three components below point to sections within this document.</w:t>
      </w:r>
    </w:p>
    <w:p>
      <w:r>
        <w:br w:type="page"/>
      </w:r>
    </w:p>
    <w:p>
      <w:pPr>
        <w:pStyle w:val="Heading1"/>
        <w:pBdr>
          <w:bottom w:val="single" w:color="A8632C" w:sz="6" w:space="4"/>
        </w:pBdr>
        <w:spacing w:after="140" w:before="320"/>
      </w:pPr>
      <w:r>
        <w:rPr>
          <w:rFonts w:ascii="Calibri" w:cs="Calibri" w:eastAsia="Calibri" w:hAnsi="Calibri"/>
          <w:b/>
          <w:bCs/>
          <w:color w:val="7C481E"/>
          <w:sz w:val="30"/>
          <w:szCs w:val="30"/>
        </w:rPr>
        <w:t xml:space="preserve">The Seven Orientations at a Glance</w:t>
      </w:r>
    </w:p>
    <w:p>
      <w:pPr>
        <w:spacing w:after="120" w:before="0"/>
      </w:pPr>
      <w:r>
        <w:rPr>
          <w:rFonts w:ascii="Calibri" w:cs="Calibri" w:eastAsia="Calibri" w:hAnsi="Calibri"/>
          <w:b w:val="false"/>
          <w:bCs w:val="false"/>
          <w:i w:val="false"/>
          <w:iCs w:val="false"/>
          <w:color w:val="221F1A"/>
          <w:sz w:val="21"/>
          <w:szCs w:val="21"/>
        </w:rPr>
        <w:t xml:space="preserve">Every part of this package, the curriculum mapping, the facilitator's guide, and the pilot toolkit, refers back to the same seven orientations and the same colour for each. This page is a visual key for the tables that follow.</w:t>
      </w:r>
    </w:p>
    <w:p>
      <w:pPr>
        <w:spacing w:before="160"/>
        <w:jc w:val="center"/>
      </w:pPr>
      <w:r>
        <w:drawing>
          <wp:inline distT="0" distB="0" distL="0" distR="0">
            <wp:extent cx="4572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390900"/>
                    </a:xfrm>
                    <a:prstGeom prst="rect">
                      <a:avLst/>
                    </a:prstGeom>
                  </pic:spPr>
                </pic:pic>
              </a:graphicData>
            </a:graphic>
          </wp:inline>
        </w:drawing>
      </w:r>
    </w:p>
    <w:p>
      <w:r>
        <w:br w:type="page"/>
      </w:r>
    </w:p>
    <w:p>
      <w:pPr>
        <w:pStyle w:val="Heading1"/>
        <w:pBdr>
          <w:bottom w:val="single" w:color="A8632C" w:sz="6" w:space="4"/>
        </w:pBdr>
        <w:spacing w:after="140" w:before="320"/>
      </w:pPr>
      <w:r>
        <w:rPr>
          <w:rFonts w:ascii="Calibri" w:cs="Calibri" w:eastAsia="Calibri" w:hAnsi="Calibri"/>
          <w:b/>
          <w:bCs/>
          <w:color w:val="7C481E"/>
          <w:sz w:val="30"/>
          <w:szCs w:val="30"/>
        </w:rPr>
        <w:t xml:space="preserve">Contents</w:t>
      </w:r>
    </w:p>
    <w:p>
      <w:pPr>
        <w:tabs>
          <w:tab w:val="right" w:pos="10106" w:leader="dot"/>
        </w:tabs>
        <w:spacing w:after="100"/>
      </w:pPr>
      <w:r>
        <w:rPr>
          <w:rFonts w:ascii="Calibri" w:cs="Calibri" w:eastAsia="Calibri" w:hAnsi="Calibri"/>
          <w:b/>
          <w:bCs/>
          <w:color w:val="221F1A"/>
          <w:sz w:val="21"/>
          <w:szCs w:val="21"/>
        </w:rPr>
        <w:t xml:space="preserve">About This Package</w:t>
      </w:r>
      <w:r>
        <w:rPr>
          <w:rFonts w:ascii="Calibri" w:cs="Calibri" w:eastAsia="Calibri" w:hAnsi="Calibri"/>
          <w:color w:val="9C9585"/>
          <w:sz w:val="21"/>
          <w:szCs w:val="21"/>
        </w:rPr>
        <w:t xml:space="preserve">	1</w:t>
      </w:r>
    </w:p>
    <w:p>
      <w:pPr>
        <w:tabs>
          <w:tab w:val="right" w:pos="10106" w:leader="dot"/>
        </w:tabs>
        <w:spacing w:after="100"/>
      </w:pPr>
      <w:r>
        <w:rPr>
          <w:rFonts w:ascii="Calibri" w:cs="Calibri" w:eastAsia="Calibri" w:hAnsi="Calibri"/>
          <w:b/>
          <w:bCs/>
          <w:color w:val="221F1A"/>
          <w:sz w:val="21"/>
          <w:szCs w:val="21"/>
        </w:rPr>
        <w:t xml:space="preserve">The Seven Orientations at a Glance</w:t>
      </w:r>
      <w:r>
        <w:rPr>
          <w:rFonts w:ascii="Calibri" w:cs="Calibri" w:eastAsia="Calibri" w:hAnsi="Calibri"/>
          <w:color w:val="9C9585"/>
          <w:sz w:val="21"/>
          <w:szCs w:val="21"/>
        </w:rPr>
        <w:t xml:space="preserve">	2</w:t>
      </w:r>
    </w:p>
    <w:p>
      <w:pPr>
        <w:tabs>
          <w:tab w:val="right" w:pos="10106" w:leader="dot"/>
        </w:tabs>
        <w:spacing w:after="100"/>
      </w:pPr>
      <w:r>
        <w:rPr>
          <w:rFonts w:ascii="Calibri" w:cs="Calibri" w:eastAsia="Calibri" w:hAnsi="Calibri"/>
          <w:b/>
          <w:bCs/>
          <w:color w:val="221F1A"/>
          <w:sz w:val="21"/>
          <w:szCs w:val="21"/>
        </w:rPr>
        <w:t xml:space="preserve">Part One: Curriculum Alignment</w:t>
      </w:r>
      <w:r>
        <w:rPr>
          <w:rFonts w:ascii="Calibri" w:cs="Calibri" w:eastAsia="Calibri" w:hAnsi="Calibri"/>
          <w:color w:val="9C9585"/>
          <w:sz w:val="21"/>
          <w:szCs w:val="21"/>
        </w:rPr>
        <w:t xml:space="preserve">	4</w:t>
      </w:r>
    </w:p>
    <w:p>
      <w:pPr>
        <w:tabs>
          <w:tab w:val="right" w:pos="10106" w:leader="dot"/>
        </w:tabs>
        <w:spacing w:after="70"/>
        <w:ind w:left="300"/>
      </w:pPr>
      <w:r>
        <w:rPr>
          <w:rFonts w:ascii="Calibri" w:cs="Calibri" w:eastAsia="Calibri" w:hAnsi="Calibri"/>
          <w:b w:val="false"/>
          <w:bCs w:val="false"/>
          <w:color w:val="6E6858"/>
          <w:sz w:val="19"/>
          <w:szCs w:val="19"/>
        </w:rPr>
        <w:t xml:space="preserve">Purpose</w:t>
      </w:r>
      <w:r>
        <w:rPr>
          <w:rFonts w:ascii="Calibri" w:cs="Calibri" w:eastAsia="Calibri" w:hAnsi="Calibri"/>
          <w:color w:val="9C9585"/>
          <w:sz w:val="19"/>
          <w:szCs w:val="19"/>
        </w:rPr>
        <w:t xml:space="preserve">	4</w:t>
      </w:r>
    </w:p>
    <w:p>
      <w:pPr>
        <w:tabs>
          <w:tab w:val="right" w:pos="10106" w:leader="dot"/>
        </w:tabs>
        <w:spacing w:after="70"/>
        <w:ind w:left="300"/>
      </w:pPr>
      <w:r>
        <w:rPr>
          <w:rFonts w:ascii="Calibri" w:cs="Calibri" w:eastAsia="Calibri" w:hAnsi="Calibri"/>
          <w:b w:val="false"/>
          <w:bCs w:val="false"/>
          <w:color w:val="6E6858"/>
          <w:sz w:val="19"/>
          <w:szCs w:val="19"/>
        </w:rPr>
        <w:t xml:space="preserve">Source Document and What It Confirms</w:t>
      </w:r>
      <w:r>
        <w:rPr>
          <w:rFonts w:ascii="Calibri" w:cs="Calibri" w:eastAsia="Calibri" w:hAnsi="Calibri"/>
          <w:color w:val="9C9585"/>
          <w:sz w:val="19"/>
          <w:szCs w:val="19"/>
        </w:rPr>
        <w:t xml:space="preserve">	4</w:t>
      </w:r>
    </w:p>
    <w:p>
      <w:pPr>
        <w:tabs>
          <w:tab w:val="right" w:pos="10106" w:leader="dot"/>
        </w:tabs>
        <w:spacing w:after="70"/>
        <w:ind w:left="300"/>
      </w:pPr>
      <w:r>
        <w:rPr>
          <w:rFonts w:ascii="Calibri" w:cs="Calibri" w:eastAsia="Calibri" w:hAnsi="Calibri"/>
          <w:b w:val="false"/>
          <w:bCs w:val="false"/>
          <w:color w:val="6E6858"/>
          <w:sz w:val="19"/>
          <w:szCs w:val="19"/>
        </w:rPr>
        <w:t xml:space="preserve">The Four PSVE Areas, Applied to This Workbook</w:t>
      </w:r>
      <w:r>
        <w:rPr>
          <w:rFonts w:ascii="Calibri" w:cs="Calibri" w:eastAsia="Calibri" w:hAnsi="Calibri"/>
          <w:color w:val="9C9585"/>
          <w:sz w:val="19"/>
          <w:szCs w:val="19"/>
        </w:rPr>
        <w:t xml:space="preserve">	5</w:t>
      </w:r>
    </w:p>
    <w:p>
      <w:pPr>
        <w:tabs>
          <w:tab w:val="right" w:pos="10106" w:leader="dot"/>
        </w:tabs>
        <w:spacing w:after="70"/>
        <w:ind w:left="300"/>
      </w:pPr>
      <w:r>
        <w:rPr>
          <w:rFonts w:ascii="Calibri" w:cs="Calibri" w:eastAsia="Calibri" w:hAnsi="Calibri"/>
          <w:b w:val="false"/>
          <w:bCs w:val="false"/>
          <w:color w:val="6E6858"/>
          <w:sz w:val="19"/>
          <w:szCs w:val="19"/>
        </w:rPr>
        <w:t xml:space="preserve">Workbook-to-PSVE Mapping</w:t>
      </w:r>
      <w:r>
        <w:rPr>
          <w:rFonts w:ascii="Calibri" w:cs="Calibri" w:eastAsia="Calibri" w:hAnsi="Calibri"/>
          <w:color w:val="9C9585"/>
          <w:sz w:val="19"/>
          <w:szCs w:val="19"/>
        </w:rPr>
        <w:t xml:space="preserve">	6</w:t>
      </w:r>
    </w:p>
    <w:p>
      <w:pPr>
        <w:tabs>
          <w:tab w:val="right" w:pos="10106" w:leader="dot"/>
        </w:tabs>
        <w:spacing w:after="70"/>
        <w:ind w:left="300"/>
      </w:pPr>
      <w:r>
        <w:rPr>
          <w:rFonts w:ascii="Calibri" w:cs="Calibri" w:eastAsia="Calibri" w:hAnsi="Calibri"/>
          <w:b w:val="false"/>
          <w:bCs w:val="false"/>
          <w:color w:val="6E6858"/>
          <w:sz w:val="19"/>
          <w:szCs w:val="19"/>
        </w:rPr>
        <w:t xml:space="preserve">Orientation-to-Pathway Cross-Reference</w:t>
      </w:r>
      <w:r>
        <w:rPr>
          <w:rFonts w:ascii="Calibri" w:cs="Calibri" w:eastAsia="Calibri" w:hAnsi="Calibri"/>
          <w:color w:val="9C9585"/>
          <w:sz w:val="19"/>
          <w:szCs w:val="19"/>
        </w:rPr>
        <w:t xml:space="preserve">	6</w:t>
      </w:r>
    </w:p>
    <w:p>
      <w:pPr>
        <w:tabs>
          <w:tab w:val="right" w:pos="10106" w:leader="dot"/>
        </w:tabs>
        <w:spacing w:after="70"/>
        <w:ind w:left="300"/>
      </w:pPr>
      <w:r>
        <w:rPr>
          <w:rFonts w:ascii="Calibri" w:cs="Calibri" w:eastAsia="Calibri" w:hAnsi="Calibri"/>
          <w:b w:val="false"/>
          <w:bCs w:val="false"/>
          <w:color w:val="6E6858"/>
          <w:sz w:val="19"/>
          <w:szCs w:val="19"/>
        </w:rPr>
        <w:t xml:space="preserve">Coverage Summary Against PSVE</w:t>
      </w:r>
      <w:r>
        <w:rPr>
          <w:rFonts w:ascii="Calibri" w:cs="Calibri" w:eastAsia="Calibri" w:hAnsi="Calibri"/>
          <w:color w:val="9C9585"/>
          <w:sz w:val="19"/>
          <w:szCs w:val="19"/>
        </w:rPr>
        <w:t xml:space="preserve">	7</w:t>
      </w:r>
    </w:p>
    <w:p>
      <w:pPr>
        <w:tabs>
          <w:tab w:val="right" w:pos="10106" w:leader="dot"/>
        </w:tabs>
        <w:spacing w:after="70"/>
        <w:ind w:left="300"/>
      </w:pPr>
      <w:r>
        <w:rPr>
          <w:rFonts w:ascii="Calibri" w:cs="Calibri" w:eastAsia="Calibri" w:hAnsi="Calibri"/>
          <w:b w:val="false"/>
          <w:bCs w:val="false"/>
          <w:color w:val="6E6858"/>
          <w:sz w:val="19"/>
          <w:szCs w:val="19"/>
        </w:rPr>
        <w:t xml:space="preserve">Terminology Applied to the Workbook</w:t>
      </w:r>
      <w:r>
        <w:rPr>
          <w:rFonts w:ascii="Calibri" w:cs="Calibri" w:eastAsia="Calibri" w:hAnsi="Calibri"/>
          <w:color w:val="9C9585"/>
          <w:sz w:val="19"/>
          <w:szCs w:val="19"/>
        </w:rPr>
        <w:t xml:space="preserve">	7</w:t>
      </w:r>
    </w:p>
    <w:p>
      <w:pPr>
        <w:tabs>
          <w:tab w:val="right" w:pos="10106" w:leader="dot"/>
        </w:tabs>
        <w:spacing w:after="100"/>
      </w:pPr>
      <w:r>
        <w:rPr>
          <w:rFonts w:ascii="Calibri" w:cs="Calibri" w:eastAsia="Calibri" w:hAnsi="Calibri"/>
          <w:b/>
          <w:bCs/>
          <w:color w:val="221F1A"/>
          <w:sz w:val="21"/>
          <w:szCs w:val="21"/>
        </w:rPr>
        <w:t xml:space="preserve">Part Two: Facilitator's Guide</w:t>
      </w:r>
      <w:r>
        <w:rPr>
          <w:rFonts w:ascii="Calibri" w:cs="Calibri" w:eastAsia="Calibri" w:hAnsi="Calibri"/>
          <w:color w:val="9C9585"/>
          <w:sz w:val="21"/>
          <w:szCs w:val="21"/>
        </w:rPr>
        <w:t xml:space="preserve">	9</w:t>
      </w:r>
    </w:p>
    <w:p>
      <w:pPr>
        <w:tabs>
          <w:tab w:val="right" w:pos="10106" w:leader="dot"/>
        </w:tabs>
        <w:spacing w:after="70"/>
        <w:ind w:left="300"/>
      </w:pPr>
      <w:r>
        <w:rPr>
          <w:rFonts w:ascii="Calibri" w:cs="Calibri" w:eastAsia="Calibri" w:hAnsi="Calibri"/>
          <w:b w:val="false"/>
          <w:bCs w:val="false"/>
          <w:color w:val="6E6858"/>
          <w:sz w:val="19"/>
          <w:szCs w:val="19"/>
        </w:rPr>
        <w:t xml:space="preserve">What This Tool Is, and Is Not</w:t>
      </w:r>
      <w:r>
        <w:rPr>
          <w:rFonts w:ascii="Calibri" w:cs="Calibri" w:eastAsia="Calibri" w:hAnsi="Calibri"/>
          <w:color w:val="9C9585"/>
          <w:sz w:val="19"/>
          <w:szCs w:val="19"/>
        </w:rPr>
        <w:t xml:space="preserve">	9</w:t>
      </w:r>
    </w:p>
    <w:p>
      <w:pPr>
        <w:tabs>
          <w:tab w:val="right" w:pos="10106" w:leader="dot"/>
        </w:tabs>
        <w:spacing w:after="70"/>
        <w:ind w:left="300"/>
      </w:pPr>
      <w:r>
        <w:rPr>
          <w:rFonts w:ascii="Calibri" w:cs="Calibri" w:eastAsia="Calibri" w:hAnsi="Calibri"/>
          <w:b w:val="false"/>
          <w:bCs w:val="false"/>
          <w:color w:val="6E6858"/>
          <w:sz w:val="19"/>
          <w:szCs w:val="19"/>
        </w:rPr>
        <w:t xml:space="preserve">Suggested Session Plan</w:t>
      </w:r>
      <w:r>
        <w:rPr>
          <w:rFonts w:ascii="Calibri" w:cs="Calibri" w:eastAsia="Calibri" w:hAnsi="Calibri"/>
          <w:color w:val="9C9585"/>
          <w:sz w:val="19"/>
          <w:szCs w:val="19"/>
        </w:rPr>
        <w:t xml:space="preserve">	10</w:t>
      </w:r>
    </w:p>
    <w:p>
      <w:pPr>
        <w:tabs>
          <w:tab w:val="right" w:pos="10106" w:leader="dot"/>
        </w:tabs>
        <w:spacing w:after="70"/>
        <w:ind w:left="300"/>
      </w:pPr>
      <w:r>
        <w:rPr>
          <w:rFonts w:ascii="Calibri" w:cs="Calibri" w:eastAsia="Calibri" w:hAnsi="Calibri"/>
          <w:b w:val="false"/>
          <w:bCs w:val="false"/>
          <w:color w:val="6E6858"/>
          <w:sz w:val="19"/>
          <w:szCs w:val="19"/>
        </w:rPr>
        <w:t xml:space="preserve">Session 1: Introduction &amp; Self-Assessment</w:t>
      </w:r>
      <w:r>
        <w:rPr>
          <w:rFonts w:ascii="Calibri" w:cs="Calibri" w:eastAsia="Calibri" w:hAnsi="Calibri"/>
          <w:color w:val="9C9585"/>
          <w:sz w:val="19"/>
          <w:szCs w:val="19"/>
        </w:rPr>
        <w:t xml:space="preserve">	10</w:t>
      </w:r>
    </w:p>
    <w:p>
      <w:pPr>
        <w:tabs>
          <w:tab w:val="right" w:pos="10106" w:leader="dot"/>
        </w:tabs>
        <w:spacing w:after="70"/>
        <w:ind w:left="300"/>
      </w:pPr>
      <w:r>
        <w:rPr>
          <w:rFonts w:ascii="Calibri" w:cs="Calibri" w:eastAsia="Calibri" w:hAnsi="Calibri"/>
          <w:b w:val="false"/>
          <w:bCs w:val="false"/>
          <w:color w:val="6E6858"/>
          <w:sz w:val="19"/>
          <w:szCs w:val="19"/>
        </w:rPr>
        <w:t xml:space="preserve">Session 2: Scoring &amp; Reading Your Result</w:t>
      </w:r>
      <w:r>
        <w:rPr>
          <w:rFonts w:ascii="Calibri" w:cs="Calibri" w:eastAsia="Calibri" w:hAnsi="Calibri"/>
          <w:color w:val="9C9585"/>
          <w:sz w:val="19"/>
          <w:szCs w:val="19"/>
        </w:rPr>
        <w:t xml:space="preserve">	10</w:t>
      </w:r>
    </w:p>
    <w:p>
      <w:pPr>
        <w:tabs>
          <w:tab w:val="right" w:pos="10106" w:leader="dot"/>
        </w:tabs>
        <w:spacing w:after="70"/>
        <w:ind w:left="300"/>
      </w:pPr>
      <w:r>
        <w:rPr>
          <w:rFonts w:ascii="Calibri" w:cs="Calibri" w:eastAsia="Calibri" w:hAnsi="Calibri"/>
          <w:b w:val="false"/>
          <w:bCs w:val="false"/>
          <w:color w:val="6E6858"/>
          <w:sz w:val="19"/>
          <w:szCs w:val="19"/>
        </w:rPr>
        <w:t xml:space="preserve">Session 3: World of Work, Decisions, Pathways &amp; Working Together</w:t>
      </w:r>
      <w:r>
        <w:rPr>
          <w:rFonts w:ascii="Calibri" w:cs="Calibri" w:eastAsia="Calibri" w:hAnsi="Calibri"/>
          <w:color w:val="9C9585"/>
          <w:sz w:val="19"/>
          <w:szCs w:val="19"/>
        </w:rPr>
        <w:t xml:space="preserve">	10</w:t>
      </w:r>
    </w:p>
    <w:p>
      <w:pPr>
        <w:tabs>
          <w:tab w:val="right" w:pos="10106" w:leader="dot"/>
        </w:tabs>
        <w:spacing w:after="70"/>
        <w:ind w:left="300"/>
      </w:pPr>
      <w:r>
        <w:rPr>
          <w:rFonts w:ascii="Calibri" w:cs="Calibri" w:eastAsia="Calibri" w:hAnsi="Calibri"/>
          <w:b w:val="false"/>
          <w:bCs w:val="false"/>
          <w:color w:val="6E6858"/>
          <w:sz w:val="19"/>
          <w:szCs w:val="19"/>
        </w:rPr>
        <w:t xml:space="preserve">Handling Sensitive Moments and Common Questions</w:t>
      </w:r>
      <w:r>
        <w:rPr>
          <w:rFonts w:ascii="Calibri" w:cs="Calibri" w:eastAsia="Calibri" w:hAnsi="Calibri"/>
          <w:color w:val="9C9585"/>
          <w:sz w:val="19"/>
          <w:szCs w:val="19"/>
        </w:rPr>
        <w:t xml:space="preserve">	12</w:t>
      </w:r>
    </w:p>
    <w:p>
      <w:pPr>
        <w:tabs>
          <w:tab w:val="right" w:pos="10106" w:leader="dot"/>
        </w:tabs>
        <w:spacing w:after="70"/>
        <w:ind w:left="300"/>
      </w:pPr>
      <w:r>
        <w:rPr>
          <w:rFonts w:ascii="Calibri" w:cs="Calibri" w:eastAsia="Calibri" w:hAnsi="Calibri"/>
          <w:b w:val="false"/>
          <w:bCs w:val="false"/>
          <w:color w:val="6E6858"/>
          <w:sz w:val="19"/>
          <w:szCs w:val="19"/>
        </w:rPr>
        <w:t xml:space="preserve">Quick Reference: The Seven Orientations</w:t>
      </w:r>
      <w:r>
        <w:rPr>
          <w:rFonts w:ascii="Calibri" w:cs="Calibri" w:eastAsia="Calibri" w:hAnsi="Calibri"/>
          <w:color w:val="9C9585"/>
          <w:sz w:val="19"/>
          <w:szCs w:val="19"/>
        </w:rPr>
        <w:t xml:space="preserve">	13</w:t>
      </w:r>
    </w:p>
    <w:p>
      <w:pPr>
        <w:tabs>
          <w:tab w:val="right" w:pos="10106" w:leader="dot"/>
        </w:tabs>
        <w:spacing w:after="70"/>
        <w:ind w:left="300"/>
      </w:pPr>
      <w:r>
        <w:rPr>
          <w:rFonts w:ascii="Calibri" w:cs="Calibri" w:eastAsia="Calibri" w:hAnsi="Calibri"/>
          <w:b w:val="false"/>
          <w:bCs w:val="false"/>
          <w:color w:val="6E6858"/>
          <w:sz w:val="19"/>
          <w:szCs w:val="19"/>
        </w:rPr>
        <w:t xml:space="preserve">Completion Record</w:t>
      </w:r>
      <w:r>
        <w:rPr>
          <w:rFonts w:ascii="Calibri" w:cs="Calibri" w:eastAsia="Calibri" w:hAnsi="Calibri"/>
          <w:color w:val="9C9585"/>
          <w:sz w:val="19"/>
          <w:szCs w:val="19"/>
        </w:rPr>
        <w:t xml:space="preserve">	13</w:t>
      </w:r>
    </w:p>
    <w:p>
      <w:pPr>
        <w:tabs>
          <w:tab w:val="right" w:pos="10106" w:leader="dot"/>
        </w:tabs>
        <w:spacing w:after="100"/>
      </w:pPr>
      <w:r>
        <w:rPr>
          <w:rFonts w:ascii="Calibri" w:cs="Calibri" w:eastAsia="Calibri" w:hAnsi="Calibri"/>
          <w:b/>
          <w:bCs/>
          <w:color w:val="221F1A"/>
          <w:sz w:val="21"/>
          <w:szCs w:val="21"/>
        </w:rPr>
        <w:t xml:space="preserve">Part Three: Pilot Plan &amp; Feedback Toolkit</w:t>
      </w:r>
      <w:r>
        <w:rPr>
          <w:rFonts w:ascii="Calibri" w:cs="Calibri" w:eastAsia="Calibri" w:hAnsi="Calibri"/>
          <w:color w:val="9C9585"/>
          <w:sz w:val="21"/>
          <w:szCs w:val="21"/>
        </w:rPr>
        <w:t xml:space="preserve">	14</w:t>
      </w:r>
    </w:p>
    <w:p>
      <w:pPr>
        <w:tabs>
          <w:tab w:val="right" w:pos="10106" w:leader="dot"/>
        </w:tabs>
        <w:spacing w:after="70"/>
        <w:ind w:left="300"/>
      </w:pPr>
      <w:r>
        <w:rPr>
          <w:rFonts w:ascii="Calibri" w:cs="Calibri" w:eastAsia="Calibri" w:hAnsi="Calibri"/>
          <w:b w:val="false"/>
          <w:bCs w:val="false"/>
          <w:color w:val="6E6858"/>
          <w:sz w:val="19"/>
          <w:szCs w:val="19"/>
        </w:rPr>
        <w:t xml:space="preserve">Why Pilot This First</w:t>
      </w:r>
      <w:r>
        <w:rPr>
          <w:rFonts w:ascii="Calibri" w:cs="Calibri" w:eastAsia="Calibri" w:hAnsi="Calibri"/>
          <w:color w:val="9C9585"/>
          <w:sz w:val="19"/>
          <w:szCs w:val="19"/>
        </w:rPr>
        <w:t xml:space="preserve">	14</w:t>
      </w:r>
    </w:p>
    <w:p>
      <w:pPr>
        <w:tabs>
          <w:tab w:val="right" w:pos="10106" w:leader="dot"/>
        </w:tabs>
        <w:spacing w:after="70"/>
        <w:ind w:left="300"/>
      </w:pPr>
      <w:r>
        <w:rPr>
          <w:rFonts w:ascii="Calibri" w:cs="Calibri" w:eastAsia="Calibri" w:hAnsi="Calibri"/>
          <w:b w:val="false"/>
          <w:bCs w:val="false"/>
          <w:color w:val="6E6858"/>
          <w:sz w:val="19"/>
          <w:szCs w:val="19"/>
        </w:rPr>
        <w:t xml:space="preserve">Pilot Scope &amp; Timeline</w:t>
      </w:r>
      <w:r>
        <w:rPr>
          <w:rFonts w:ascii="Calibri" w:cs="Calibri" w:eastAsia="Calibri" w:hAnsi="Calibri"/>
          <w:color w:val="9C9585"/>
          <w:sz w:val="19"/>
          <w:szCs w:val="19"/>
        </w:rPr>
        <w:t xml:space="preserve">	14</w:t>
      </w:r>
    </w:p>
    <w:p>
      <w:pPr>
        <w:tabs>
          <w:tab w:val="right" w:pos="10106" w:leader="dot"/>
        </w:tabs>
        <w:spacing w:after="70"/>
        <w:ind w:left="300"/>
      </w:pPr>
      <w:r>
        <w:rPr>
          <w:rFonts w:ascii="Calibri" w:cs="Calibri" w:eastAsia="Calibri" w:hAnsi="Calibri"/>
          <w:b w:val="false"/>
          <w:bCs w:val="false"/>
          <w:color w:val="6E6858"/>
          <w:sz w:val="19"/>
          <w:szCs w:val="19"/>
        </w:rPr>
        <w:t xml:space="preserve">Facilitator Observation Log</w:t>
      </w:r>
      <w:r>
        <w:rPr>
          <w:rFonts w:ascii="Calibri" w:cs="Calibri" w:eastAsia="Calibri" w:hAnsi="Calibri"/>
          <w:color w:val="9C9585"/>
          <w:sz w:val="19"/>
          <w:szCs w:val="19"/>
        </w:rPr>
        <w:t xml:space="preserve">	15</w:t>
      </w:r>
    </w:p>
    <w:p>
      <w:pPr>
        <w:tabs>
          <w:tab w:val="right" w:pos="10106" w:leader="dot"/>
        </w:tabs>
        <w:spacing w:after="70"/>
        <w:ind w:left="300"/>
      </w:pPr>
      <w:r>
        <w:rPr>
          <w:rFonts w:ascii="Calibri" w:cs="Calibri" w:eastAsia="Calibri" w:hAnsi="Calibri"/>
          <w:b w:val="false"/>
          <w:bCs w:val="false"/>
          <w:color w:val="6E6858"/>
          <w:sz w:val="19"/>
          <w:szCs w:val="19"/>
        </w:rPr>
        <w:t xml:space="preserve">Student &amp; Facilitator Feedback Forms</w:t>
      </w:r>
      <w:r>
        <w:rPr>
          <w:rFonts w:ascii="Calibri" w:cs="Calibri" w:eastAsia="Calibri" w:hAnsi="Calibri"/>
          <w:color w:val="9C9585"/>
          <w:sz w:val="19"/>
          <w:szCs w:val="19"/>
        </w:rPr>
        <w:t xml:space="preserve">	15</w:t>
      </w:r>
    </w:p>
    <w:p>
      <w:pPr>
        <w:tabs>
          <w:tab w:val="right" w:pos="10106" w:leader="dot"/>
        </w:tabs>
        <w:spacing w:after="70"/>
        <w:ind w:left="300"/>
      </w:pPr>
      <w:r>
        <w:rPr>
          <w:rFonts w:ascii="Calibri" w:cs="Calibri" w:eastAsia="Calibri" w:hAnsi="Calibri"/>
          <w:b w:val="false"/>
          <w:bCs w:val="false"/>
          <w:color w:val="6E6858"/>
          <w:sz w:val="19"/>
          <w:szCs w:val="19"/>
        </w:rPr>
        <w:t xml:space="preserve">Pilot Summary Report &amp; Sign-Off</w:t>
      </w:r>
      <w:r>
        <w:rPr>
          <w:rFonts w:ascii="Calibri" w:cs="Calibri" w:eastAsia="Calibri" w:hAnsi="Calibri"/>
          <w:color w:val="9C9585"/>
          <w:sz w:val="19"/>
          <w:szCs w:val="19"/>
        </w:rPr>
        <w:t xml:space="preserve">	15</w:t>
      </w:r>
    </w:p>
    <w:p>
      <w:pPr>
        <w:tabs>
          <w:tab w:val="right" w:pos="10106" w:leader="dot"/>
        </w:tabs>
        <w:spacing w:after="100"/>
      </w:pPr>
      <w:r>
        <w:rPr>
          <w:rFonts w:ascii="Calibri" w:cs="Calibri" w:eastAsia="Calibri" w:hAnsi="Calibri"/>
          <w:b/>
          <w:bCs/>
          <w:color w:val="221F1A"/>
          <w:sz w:val="21"/>
          <w:szCs w:val="21"/>
        </w:rPr>
        <w:t xml:space="preserve">Implementation Status</w:t>
      </w:r>
      <w:r>
        <w:rPr>
          <w:rFonts w:ascii="Calibri" w:cs="Calibri" w:eastAsia="Calibri" w:hAnsi="Calibri"/>
          <w:color w:val="9C9585"/>
          <w:sz w:val="21"/>
          <w:szCs w:val="21"/>
        </w:rPr>
        <w:t xml:space="preserve">	17</w:t>
      </w:r>
    </w:p>
    <w:p>
      <w:r>
        <w:br w:type="page"/>
      </w:r>
    </w:p>
    <w:tbl>
      <w:tblPr>
        <w:tblW w:type="dxa" w:w="10106"/>
        <w:tblBorders>
          <w:top w:val="none"/>
          <w:left w:val="none"/>
          <w:bottom w:val="none"/>
          <w:right w:val="none"/>
          <w:insideH w:val="single" w:color="auto" w:sz="4"/>
          <w:insideV w:val="single" w:color="auto" w:sz="4"/>
        </w:tblBorders>
      </w:tblPr>
      <w:tblGrid>
        <w:gridCol w:w="10106"/>
      </w:tblGrid>
      <w:tr>
        <w:tc>
          <w:tcPr>
            <w:tcW w:type="dxa" w:w="10106"/>
            <w:shd w:fill="A8632C" w:color="auto" w:val="clear"/>
            <w:tcMar>
              <w:top w:type="dxa" w:w="360"/>
              <w:left w:type="dxa" w:w="280"/>
              <w:bottom w:type="dxa" w:w="360"/>
              <w:right w:type="dxa" w:w="280"/>
            </w:tcMar>
          </w:tcPr>
          <w:p>
            <w:pPr>
              <w:spacing w:after="60"/>
            </w:pPr>
            <w:r>
              <w:rPr>
                <w:rFonts w:ascii="Calibri" w:cs="Calibri" w:eastAsia="Calibri" w:hAnsi="Calibri"/>
                <w:b/>
                <w:bCs/>
                <w:color w:val="F3E3CE"/>
                <w:spacing w:val="30"/>
                <w:sz w:val="18"/>
                <w:szCs w:val="18"/>
              </w:rPr>
              <w:t xml:space="preserve">PART ONE</w:t>
            </w:r>
          </w:p>
          <w:p>
            <w:pPr>
              <w:spacing w:after="100"/>
            </w:pPr>
            <w:r>
              <w:rPr>
                <w:rFonts w:ascii="Calibri" w:cs="Calibri" w:eastAsia="Calibri" w:hAnsi="Calibri"/>
                <w:b/>
                <w:bCs/>
                <w:color w:val="FFFFFF"/>
                <w:sz w:val="36"/>
                <w:szCs w:val="36"/>
              </w:rPr>
              <w:t xml:space="preserve">Curriculum Alignment</w:t>
            </w:r>
          </w:p>
          <w:p>
            <w:r>
              <w:rPr>
                <w:rFonts w:ascii="Calibri" w:cs="Calibri" w:eastAsia="Calibri" w:hAnsi="Calibri"/>
                <w:i/>
                <w:iCs/>
                <w:color w:val="F6E9D8"/>
                <w:sz w:val="20"/>
                <w:szCs w:val="20"/>
              </w:rPr>
              <w:t xml:space="preserve">Mapping the workbook to the 2023 Zambia Education Curriculum Framework</w:t>
            </w:r>
          </w:p>
        </w:tc>
      </w:tr>
    </w:tbl>
    <w:p>
      <w:pPr>
        <w:spacing w:after="60" w:before="0"/>
      </w:pPr>
      <w:r>
        <w:rPr>
          <w:rFonts w:ascii="Calibri" w:cs="Calibri" w:eastAsia="Calibri" w:hAnsi="Calibri"/>
          <w:b w:val="false"/>
          <w:bCs w:val="false"/>
          <w:i w:val="false"/>
          <w:iCs w:val="false"/>
          <w:color w:val="221F1A"/>
          <w:sz w:val="21"/>
          <w:szCs w:val="21"/>
        </w:rPr>
        <w:t xml:space="preserve"> </w:t>
      </w:r>
    </w:p>
    <w:p>
      <w:pPr>
        <w:pStyle w:val="Heading1"/>
        <w:pBdr>
          <w:bottom w:val="single" w:color="A8632C" w:sz="6" w:space="4"/>
        </w:pBdr>
        <w:spacing w:after="140" w:before="320"/>
      </w:pPr>
      <w:r>
        <w:rPr>
          <w:rFonts w:ascii="Calibri" w:cs="Calibri" w:eastAsia="Calibri" w:hAnsi="Calibri"/>
          <w:b/>
          <w:bCs/>
          <w:color w:val="7C481E"/>
          <w:sz w:val="30"/>
          <w:szCs w:val="30"/>
        </w:rPr>
        <w:t xml:space="preserve">Purpose</w:t>
      </w:r>
    </w:p>
    <w:p>
      <w:pPr>
        <w:spacing w:after="120" w:before="0"/>
      </w:pPr>
      <w:r>
        <w:rPr>
          <w:rFonts w:ascii="Calibri" w:cs="Calibri" w:eastAsia="Calibri" w:hAnsi="Calibri"/>
          <w:b w:val="false"/>
          <w:bCs w:val="false"/>
          <w:i w:val="false"/>
          <w:iCs w:val="false"/>
          <w:color w:val="221F1A"/>
          <w:sz w:val="21"/>
          <w:szCs w:val="21"/>
        </w:rPr>
        <w:t xml:space="preserve">This document maps the Pathway Orientation self-scoring workbook to the official Zambian secondary curriculum, as supporting evidence for its submission to the Curriculum Development Centre (CDC) for approval as a reader for use by the Guidance department in Form 3 and Form 4.</w:t>
      </w:r>
    </w:p>
    <w:p>
      <w:pPr>
        <w:pStyle w:val="Heading1"/>
        <w:pBdr>
          <w:bottom w:val="single" w:color="A8632C" w:sz="6" w:space="4"/>
        </w:pBdr>
        <w:spacing w:after="140" w:before="320"/>
      </w:pPr>
      <w:r>
        <w:rPr>
          <w:rFonts w:ascii="Calibri" w:cs="Calibri" w:eastAsia="Calibri" w:hAnsi="Calibri"/>
          <w:b/>
          <w:bCs/>
          <w:color w:val="7C481E"/>
          <w:sz w:val="30"/>
          <w:szCs w:val="30"/>
        </w:rPr>
        <w:t xml:space="preserve">Source Document and What It Confirms</w:t>
      </w:r>
    </w:p>
    <w:p>
      <w:pPr>
        <w:spacing w:after="120" w:before="0"/>
      </w:pPr>
      <w:r>
        <w:rPr>
          <w:rFonts w:ascii="Calibri" w:cs="Calibri" w:eastAsia="Calibri" w:hAnsi="Calibri"/>
          <w:b w:val="false"/>
          <w:bCs w:val="false"/>
          <w:i w:val="false"/>
          <w:iCs w:val="false"/>
          <w:color w:val="221F1A"/>
          <w:sz w:val="21"/>
          <w:szCs w:val="21"/>
        </w:rPr>
        <w:t xml:space="preserve">The 2023 Zambia Education Curriculum Framework establishes three things this mapping relies on directly.</w:t>
      </w:r>
    </w:p>
    <w:p>
      <w:pPr>
        <w:pStyle w:val="Heading2"/>
        <w:spacing w:after="100" w:before="220"/>
      </w:pPr>
      <w:r>
        <w:rPr>
          <w:rFonts w:ascii="Calibri" w:cs="Calibri" w:eastAsia="Calibri" w:hAnsi="Calibri"/>
          <w:b/>
          <w:bCs/>
          <w:color w:val="7C481E"/>
          <w:sz w:val="24"/>
          <w:szCs w:val="24"/>
        </w:rPr>
        <w:t xml:space="preserve">Careers Guidance and Counselling is a cross-cutting theme, with four named areas</w:t>
      </w:r>
    </w:p>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“Careers Guidance and Counselling are vital in the development of a well-balanced learner who is expected to fit in society and contribute positively to society. The four areas of Careers Guidance and Counselling of: Personal, Social, Vocational and Educational have been integrated in the curriculum so as to produce a well-balanced learner at all levels of education.”</w:t>
            </w:r>
          </w:p>
          <w:p>
            <w:r>
              <w:rPr>
                <w:rFonts w:ascii="Calibri" w:cs="Calibri" w:eastAsia="Calibri" w:hAnsi="Calibri"/>
                <w:color w:val="6E6858"/>
                <w:sz w:val="17"/>
                <w:szCs w:val="17"/>
              </w:rPr>
              <w:t xml:space="preserve">Source: Section 5.10, p.42, 2023 Zambia Education Curriculum Framework</w:t>
            </w:r>
          </w:p>
        </w:tc>
      </w:tr>
    </w:tbl>
    <w:p>
      <w:pPr>
        <w:spacing w:after="120" w:before="0"/>
      </w:pPr>
      <w:r>
        <w:rPr>
          <w:rFonts w:ascii="Calibri" w:cs="Calibri" w:eastAsia="Calibri" w:hAnsi="Calibri"/>
          <w:b w:val="false"/>
          <w:bCs w:val="false"/>
          <w:i w:val="false"/>
          <w:iCs w:val="false"/>
          <w:color w:val="221F1A"/>
          <w:sz w:val="21"/>
          <w:szCs w:val="21"/>
        </w:rPr>
        <w:t xml:space="preserve">No dedicated weekly timetable period for Guidance and Counselling exists for Form 1–4 learners in this Framework, unlike core examinable subjects. This is consistent with its status as a cross-cutting theme rather than an examined subject. In practice this means the workbook is delivered during Civic Education periods, co-curricular time, or a dedicated Guidance department session arranged outside the formal timetable; see the facilitator's guide.</w:t>
      </w:r>
    </w:p>
    <w:p>
      <w:pPr>
        <w:pStyle w:val="Heading2"/>
        <w:spacing w:after="100" w:before="220"/>
      </w:pPr>
      <w:r>
        <w:rPr>
          <w:rFonts w:ascii="Calibri" w:cs="Calibri" w:eastAsia="Calibri" w:hAnsi="Calibri"/>
          <w:b/>
          <w:bCs/>
          <w:color w:val="7C481E"/>
          <w:sz w:val="24"/>
          <w:szCs w:val="24"/>
        </w:rPr>
        <w:t xml:space="preserve">Secondary structure and the Ordinary Level Pathways</w:t>
      </w:r>
    </w:p>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“Ordinary Level shall run for four (4) years from Forms 1 to 4 whilst Advanced Level shall run for two years from Forms 5 to 6.”</w:t>
            </w:r>
          </w:p>
          <w:p>
            <w:r>
              <w:rPr>
                <w:rFonts w:ascii="Calibri" w:cs="Calibri" w:eastAsia="Calibri" w:hAnsi="Calibri"/>
                <w:color w:val="6E6858"/>
                <w:sz w:val="17"/>
                <w:szCs w:val="17"/>
              </w:rPr>
              <w:t xml:space="preserve">Source: Section 4.3, p.21</w:t>
            </w:r>
          </w:p>
        </w:tc>
      </w:tr>
    </w:tbl>
    <w:p>
      <w:pPr>
        <w:spacing w:after="120" w:before="0"/>
      </w:pPr>
      <w:r>
        <w:rPr>
          <w:rFonts w:ascii="Calibri" w:cs="Calibri" w:eastAsia="Calibri" w:hAnsi="Calibri"/>
          <w:b w:val="false"/>
          <w:bCs w:val="false"/>
          <w:i w:val="false"/>
          <w:iCs w:val="false"/>
          <w:color w:val="221F1A"/>
          <w:sz w:val="21"/>
          <w:szCs w:val="21"/>
        </w:rPr>
        <w:t xml:space="preserve">Form 3 and Form 4, this workbook's audience, sit inside Ordinary Level, in the second half of a pathway learners were placed into at the start of Form 1. There are eight Ordinary Level Pathways: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306"/>
      </w:tblGrid>
      <w:tr>
        <w:trPr>
          <w:tblHeader/>
        </w:trPr>
        <w:tc>
          <w:tcPr>
            <w:tcW w:type="dxa" w:w="28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Ordinary Level Pathway</w:t>
            </w:r>
          </w:p>
        </w:tc>
        <w:tc>
          <w:tcPr>
            <w:tcW w:type="dxa" w:w="73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Compulsory / core subjects</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Social Sciences</w:t>
            </w:r>
          </w:p>
        </w:tc>
        <w:tc>
          <w:tcPr>
            <w:tcW w:type="dxa" w:w="7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(Literature, Geography, History or Religious Education) + 2 others</w:t>
            </w:r>
          </w:p>
        </w:tc>
      </w:tr>
      <w:tr>
        <w:tc>
          <w:tcPr>
            <w:tcW w:type="dxa" w:w="28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Natural Sciences</w:t>
            </w:r>
          </w:p>
        </w:tc>
        <w:tc>
          <w:tcPr>
            <w:tcW w:type="dxa" w:w="7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+ 3 core sciences (Agric. Science, Biology, Chemistry, Physics) + 1 other</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Business and Finance</w:t>
            </w:r>
          </w:p>
        </w:tc>
        <w:tc>
          <w:tcPr>
            <w:tcW w:type="dxa" w:w="7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Principles of Accounts, Commerce, Computer Studies + 1 other</w:t>
            </w:r>
          </w:p>
        </w:tc>
      </w:tr>
      <w:tr>
        <w:tc>
          <w:tcPr>
            <w:tcW w:type="dxa" w:w="28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Agriculture Science</w:t>
            </w:r>
          </w:p>
        </w:tc>
        <w:tc>
          <w:tcPr>
            <w:tcW w:type="dxa" w:w="7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Agricultural Science, Computer Studies + 2 others</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Home Economics and Hospitality</w:t>
            </w:r>
          </w:p>
        </w:tc>
        <w:tc>
          <w:tcPr>
            <w:tcW w:type="dxa" w:w="7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(Fashion &amp; Fabrics, Food &amp; Nutrition, Hospitality Mgmt or Travel &amp; Tourism) + 2 others</w:t>
            </w:r>
          </w:p>
        </w:tc>
      </w:tr>
      <w:tr>
        <w:tc>
          <w:tcPr>
            <w:tcW w:type="dxa" w:w="28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Technology</w:t>
            </w:r>
          </w:p>
        </w:tc>
        <w:tc>
          <w:tcPr>
            <w:tcW w:type="dxa" w:w="7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(Computer Science or Design &amp; Technology) + 2 others</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Performing and Creative Arts</w:t>
            </w:r>
          </w:p>
        </w:tc>
        <w:tc>
          <w:tcPr>
            <w:tcW w:type="dxa" w:w="7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Computer Studies + 1 core (Music or Art and Design) + 2 others</w:t>
            </w:r>
          </w:p>
        </w:tc>
      </w:tr>
      <w:tr>
        <w:tc>
          <w:tcPr>
            <w:tcW w:type="dxa" w:w="28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Physical Education and Sport</w:t>
            </w:r>
          </w:p>
        </w:tc>
        <w:tc>
          <w:tcPr>
            <w:tcW w:type="dxa" w:w="7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English Language, Mathematics, Civic Education, Biology, Physical Education, Computer Studies + 1 other</w:t>
            </w:r>
          </w:p>
        </w:tc>
      </w:tr>
    </w:tbl>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“Placing of learners in the different pathways shall be done based on the results obtained at the end of the primary education examination and the interests of the learners. This shall be carefully done in order to properly guide the learners to make sound choices of the pathways, which will eventually allow them to have their desired fields of study and specialization at higher education level.”</w:t>
            </w:r>
          </w:p>
          <w:p>
            <w:r>
              <w:rPr>
                <w:rFonts w:ascii="Calibri" w:cs="Calibri" w:eastAsia="Calibri" w:hAnsi="Calibri"/>
                <w:color w:val="6E6858"/>
                <w:sz w:val="17"/>
                <w:szCs w:val="17"/>
              </w:rPr>
              <w:t xml:space="preserve">Source: Section 4.3.1, p.21</w:t>
            </w:r>
          </w:p>
        </w:tc>
      </w:tr>
    </w:tbl>
    <w:p>
      <w:pPr>
        <w:pStyle w:val="Heading2"/>
        <w:spacing w:after="100" w:before="220"/>
      </w:pPr>
      <w:r>
        <w:rPr>
          <w:rFonts w:ascii="Calibri" w:cs="Calibri" w:eastAsia="Calibri" w:hAnsi="Calibri"/>
          <w:b/>
          <w:bCs/>
          <w:color w:val="7C481E"/>
          <w:sz w:val="24"/>
          <w:szCs w:val="24"/>
        </w:rPr>
        <w:t xml:space="preserve">The Advanced Level Pathways: the decision Form 3/4 learners are actually approaching</w:t>
      </w:r>
    </w:p>
    <w:p>
      <w:pPr>
        <w:spacing w:after="120" w:before="0"/>
      </w:pPr>
      <w:r>
        <w:rPr>
          <w:rFonts w:ascii="Calibri" w:cs="Calibri" w:eastAsia="Calibri" w:hAnsi="Calibri"/>
          <w:b w:val="false"/>
          <w:bCs w:val="false"/>
          <w:i w:val="false"/>
          <w:iCs w:val="false"/>
          <w:color w:val="221F1A"/>
          <w:sz w:val="21"/>
          <w:szCs w:val="21"/>
        </w:rPr>
        <w:t xml:space="preserve">Because O-Level pathway placement already happened at the start of Form 1, the live decision facing a Form 3/4 learner is less “which O-Level pathway” and more (a) whether their current pathway and subjects still fit as Form 4 finals approach, and (b) which of the five Advanced Level pathways to choose for Form 5–6.</w:t>
      </w:r>
    </w:p>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“Subjects will be clustered in five (5) pathways namely STEM, Social Sciences and Languages, Business Studies, Sports Science and Creative and Performing Arts.”</w:t>
            </w:r>
          </w:p>
          <w:p>
            <w:r>
              <w:rPr>
                <w:rFonts w:ascii="Calibri" w:cs="Calibri" w:eastAsia="Calibri" w:hAnsi="Calibri"/>
                <w:color w:val="6E6858"/>
                <w:sz w:val="17"/>
                <w:szCs w:val="17"/>
              </w:rPr>
              <w:t xml:space="preserve">Source: Section 4.3.2.1, p.25</w:t>
            </w:r>
          </w:p>
        </w:tc>
      </w:tr>
    </w:tbl>
    <w:tbl>
      <w:tblPr>
        <w:tblW w:type="dxa" w:w="10106"/>
        <w:tblBorders>
          <w:top w:val="none"/>
          <w:left w:val="single" w:color="A8632C" w:sz="18"/>
          <w:bottom w:val="none"/>
          <w:right w:val="none"/>
          <w:insideH w:val="single" w:color="auto" w:sz="4"/>
          <w:insideV w:val="single" w:color="auto" w:sz="4"/>
        </w:tblBorders>
      </w:tblPr>
      <w:tblGrid>
        <w:gridCol w:w="10106"/>
      </w:tblGrid>
      <w:tr>
        <w:tc>
          <w:tcPr>
            <w:tcW w:type="dxa" w:w="10106"/>
            <w:shd w:fill="F1E9D8" w:color="auto" w:val="clear"/>
            <w:tcMar>
              <w:top w:type="dxa" w:w="140"/>
              <w:left w:type="dxa" w:w="220"/>
              <w:bottom w:type="dxa" w:w="140"/>
              <w:right w:type="dxa" w:w="220"/>
            </w:tcMar>
          </w:tcPr>
          <w:p>
            <w:pPr>
              <w:spacing w:after="60"/>
            </w:pPr>
            <w:r>
              <w:rPr>
                <w:rFonts w:ascii="Calibri" w:cs="Calibri" w:eastAsia="Calibri" w:hAnsi="Calibri"/>
                <w:i/>
                <w:iCs/>
                <w:color w:val="221F1A"/>
                <w:sz w:val="20"/>
                <w:szCs w:val="20"/>
              </w:rPr>
              <w:t xml:space="preserve">“Guidance shall be provided on the subject combinations based on the pathway.”</w:t>
            </w:r>
          </w:p>
          <w:p>
            <w:r>
              <w:rPr>
                <w:rFonts w:ascii="Calibri" w:cs="Calibri" w:eastAsia="Calibri" w:hAnsi="Calibri"/>
                <w:color w:val="6E6858"/>
                <w:sz w:val="17"/>
                <w:szCs w:val="17"/>
              </w:rPr>
              <w:t xml:space="preserve">Source: Section 4.3.2.1, p.26</w:t>
            </w:r>
          </w:p>
        </w:tc>
      </w:tr>
    </w:tbl>
    <w:p>
      <w:pPr>
        <w:spacing w:after="120" w:before="0"/>
      </w:pPr>
      <w:r>
        <w:rPr>
          <w:rFonts w:ascii="Calibri" w:cs="Calibri" w:eastAsia="Calibri" w:hAnsi="Calibri"/>
          <w:b w:val="false"/>
          <w:bCs w:val="false"/>
          <w:i w:val="false"/>
          <w:iCs w:val="false"/>
          <w:color w:val="221F1A"/>
          <w:sz w:val="21"/>
          <w:szCs w:val="21"/>
        </w:rPr>
        <w:t xml:space="preserve">This is the strongest single justification for the workbook's purpose in the Framework: guidance ahead of a pathway decision is explicitly mandated, twice, in the Framework's own words.</w:t>
      </w:r>
    </w:p>
    <w:p>
      <w:pPr>
        <w:spacing w:after="120" w:before="0"/>
      </w:pPr>
      <w:r>
        <w:rPr>
          <w:rFonts w:ascii="Calibri" w:cs="Calibri" w:eastAsia="Calibri" w:hAnsi="Calibri"/>
          <w:b w:val="false"/>
          <w:bCs w:val="false"/>
          <w:i w:val="false"/>
          <w:iCs w:val="false"/>
          <w:color w:val="221F1A"/>
          <w:sz w:val="21"/>
          <w:szCs w:val="21"/>
        </w:rPr>
        <w:t xml:space="preserve">The Framework establishes the Personal-Social-Vocational-Educational (PSVE) structure and the pathway system with page-cited authority. It does not contain a separate, numbered, learning-objective-by-objective Guidance and Counselling syllabus of the kind subjects like English or Biology have as their own booklet, consistent with Guidance and Counselling's status here as cross-cutting rather than examined. This Framework is treated as the governing source for this mapping.</w:t>
      </w:r>
    </w:p>
    <w:p>
      <w:pPr>
        <w:pStyle w:val="Heading1"/>
        <w:pBdr>
          <w:bottom w:val="single" w:color="A8632C" w:sz="6" w:space="4"/>
        </w:pBdr>
        <w:spacing w:after="140" w:before="320"/>
      </w:pPr>
      <w:r>
        <w:rPr>
          <w:rFonts w:ascii="Calibri" w:cs="Calibri" w:eastAsia="Calibri" w:hAnsi="Calibri"/>
          <w:b/>
          <w:bCs/>
          <w:color w:val="7C481E"/>
          <w:sz w:val="30"/>
          <w:szCs w:val="30"/>
        </w:rPr>
        <w:t xml:space="preserve">The Four PSVE Areas, Applied to This Workbook</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5306"/>
        <w:gridCol w:w="2600"/>
      </w:tblGrid>
      <w:tr>
        <w:trPr>
          <w:tblHeader/>
        </w:trPr>
        <w:tc>
          <w:tcPr>
            <w:tcW w:type="dxa" w:w="22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PSVE area</w:t>
            </w:r>
          </w:p>
        </w:tc>
        <w:tc>
          <w:tcPr>
            <w:tcW w:type="dxa" w:w="53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What it covers</w:t>
            </w:r>
          </w:p>
        </w:tc>
        <w:tc>
          <w:tcPr>
            <w:tcW w:type="dxa" w:w="26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Workbook coverage</w:t>
            </w:r>
          </w:p>
        </w:tc>
      </w:tr>
      <w:tr>
        <w:tc>
          <w:tcPr>
            <w:tcW w:type="dxa" w:w="22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Personal</w:t>
            </w:r>
          </w:p>
        </w:tc>
        <w:tc>
          <w:tcPr>
            <w:tcW w:type="dxa" w:w="5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Self-understanding: interests, values, personality, working style.</w:t>
            </w:r>
          </w:p>
        </w:tc>
        <w:tc>
          <w:tcPr>
            <w:tcW w:type="dxa" w:w="2600"/>
            <w:tcMar>
              <w:top w:type="dxa" w:w="90"/>
              <w:left w:type="dxa" w:w="110"/>
              <w:bottom w:type="dxa" w:w="90"/>
              <w:right w:type="dxa" w:w="110"/>
            </w:tcMar>
            <w:vAlign w:val="center"/>
          </w:tcPr>
          <w:p>
            <w:pPr>
              <w:spacing w:after="40"/>
            </w:pPr>
            <w:r>
              <w:rPr>
                <w:rFonts w:ascii="Calibri" w:cs="Calibri" w:eastAsia="Calibri" w:hAnsi="Calibri"/>
                <w:b/>
                <w:bCs/>
                <w:i w:val="false"/>
                <w:iCs w:val="false"/>
                <w:color w:val="3D6B45"/>
                <w:sz w:val="18"/>
                <w:szCs w:val="18"/>
              </w:rPr>
              <w:t xml:space="preserve">Strong</w:t>
            </w:r>
          </w:p>
        </w:tc>
      </w:tr>
      <w:tr>
        <w:tc>
          <w:tcPr>
            <w:tcW w:type="dxa" w:w="22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Social</w:t>
            </w:r>
          </w:p>
        </w:tc>
        <w:tc>
          <w:tcPr>
            <w:tcW w:type="dxa" w:w="5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Interpersonal skills: working with others, relationships, teamwork.</w:t>
            </w:r>
          </w:p>
        </w:tc>
        <w:tc>
          <w:tcPr>
            <w:tcW w:type="dxa" w:w="26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3D6B45"/>
                <w:sz w:val="18"/>
                <w:szCs w:val="18"/>
              </w:rPr>
              <w:t xml:space="preserve">Strong (with facilitator's guide)</w:t>
            </w:r>
          </w:p>
        </w:tc>
      </w:tr>
      <w:tr>
        <w:tc>
          <w:tcPr>
            <w:tcW w:type="dxa" w:w="22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Vocational</w:t>
            </w:r>
          </w:p>
        </w:tc>
        <w:tc>
          <w:tcPr>
            <w:tcW w:type="dxa" w:w="5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Knowledge of occupations and the world of work.</w:t>
            </w:r>
          </w:p>
        </w:tc>
        <w:tc>
          <w:tcPr>
            <w:tcW w:type="dxa" w:w="2600"/>
            <w:tcMar>
              <w:top w:type="dxa" w:w="90"/>
              <w:left w:type="dxa" w:w="110"/>
              <w:bottom w:type="dxa" w:w="90"/>
              <w:right w:type="dxa" w:w="110"/>
            </w:tcMar>
            <w:vAlign w:val="center"/>
          </w:tcPr>
          <w:p>
            <w:pPr>
              <w:spacing w:after="40"/>
            </w:pPr>
            <w:r>
              <w:rPr>
                <w:rFonts w:ascii="Calibri" w:cs="Calibri" w:eastAsia="Calibri" w:hAnsi="Calibri"/>
                <w:b/>
                <w:bCs/>
                <w:i w:val="false"/>
                <w:iCs w:val="false"/>
                <w:color w:val="3D6B45"/>
                <w:sz w:val="18"/>
                <w:szCs w:val="18"/>
              </w:rPr>
              <w:t xml:space="preserve">Strong (with facilitator's guide)</w:t>
            </w:r>
          </w:p>
        </w:tc>
      </w:tr>
      <w:tr>
        <w:tc>
          <w:tcPr>
            <w:tcW w:type="dxa" w:w="22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Educational</w:t>
            </w:r>
          </w:p>
        </w:tc>
        <w:tc>
          <w:tcPr>
            <w:tcW w:type="dxa" w:w="5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Subject choice, pathway choice, and educational planning.</w:t>
            </w:r>
          </w:p>
        </w:tc>
        <w:tc>
          <w:tcPr>
            <w:tcW w:type="dxa" w:w="26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3D6B45"/>
                <w:sz w:val="18"/>
                <w:szCs w:val="18"/>
              </w:rPr>
              <w:t xml:space="preserve">Strong</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Workbook-to-PSVE Mapping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144"/>
        <w:gridCol w:w="2960"/>
        <w:gridCol w:w="919"/>
        <w:gridCol w:w="3165"/>
        <w:gridCol w:w="919"/>
      </w:tblGrid>
      <w:tr>
        <w:trPr>
          <w:tblHeader/>
        </w:trPr>
        <w:tc>
          <w:tcPr>
            <w:tcW w:type="dxa" w:w="2144"/>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Workbook section</w:t>
            </w:r>
          </w:p>
        </w:tc>
        <w:tc>
          <w:tcPr>
            <w:tcW w:type="dxa" w:w="296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Content summary</w:t>
            </w:r>
          </w:p>
        </w:tc>
        <w:tc>
          <w:tcPr>
            <w:tcW w:type="dxa" w:w="919"/>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PSVE</w:t>
            </w:r>
          </w:p>
        </w:tc>
        <w:tc>
          <w:tcPr>
            <w:tcW w:type="dxa" w:w="3165"/>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How it is addressed</w:t>
            </w:r>
          </w:p>
        </w:tc>
      </w:tr>
      <w:tr>
        <w:tc>
          <w:tcPr>
            <w:tcW w:type="dxa" w:w="2144"/>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Introduction: “How Your Result Works”</w:t>
            </w:r>
          </w:p>
        </w:tc>
        <w:tc>
          <w:tcPr>
            <w:tcW w:type="dxa" w:w="296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Explains the dominant / secondary / shadow framing before the learner starts.</w:t>
            </w:r>
          </w:p>
        </w:tc>
        <w:tc>
          <w:tcPr>
            <w:tcW w:type="dxa" w:w="919"/>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w:t>
            </w:r>
          </w:p>
        </w:tc>
        <w:tc>
          <w:tcPr>
            <w:tcW w:type="dxa" w:w="3165"/>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Orients the learner to reflect on their own patterns before self-reporting.</w:t>
            </w:r>
          </w:p>
        </w:tc>
      </w:tr>
      <w:tr>
        <w:tc>
          <w:tcPr>
            <w:tcW w:type="dxa" w:w="2144"/>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The Seven Orientations at a Glance</w:t>
            </w:r>
          </w:p>
        </w:tc>
        <w:tc>
          <w:tcPr>
            <w:tcW w:type="dxa" w:w="296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One-page overview of all seven work orientations.</w:t>
            </w:r>
          </w:p>
        </w:tc>
        <w:tc>
          <w:tcPr>
            <w:tcW w:type="dxa" w:w="919"/>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 V</w:t>
            </w:r>
          </w:p>
        </w:tc>
        <w:tc>
          <w:tcPr>
            <w:tcW w:type="dxa" w:w="3165"/>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Introduces the range of occupational orientations at a survey level.</w:t>
            </w:r>
          </w:p>
        </w:tc>
      </w:tr>
      <w:tr>
        <w:tc>
          <w:tcPr>
            <w:tcW w:type="dxa" w:w="2144"/>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How to Use This Workbook</w:t>
            </w:r>
          </w:p>
        </w:tc>
        <w:tc>
          <w:tcPr>
            <w:tcW w:type="dxa" w:w="296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Instructions for the 1–5 Likert scale and self-scoring steps.</w:t>
            </w:r>
          </w:p>
        </w:tc>
        <w:tc>
          <w:tcPr>
            <w:tcW w:type="dxa" w:w="919"/>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N/A</w:t>
            </w:r>
          </w:p>
        </w:tc>
        <w:tc>
          <w:tcPr>
            <w:tcW w:type="dxa" w:w="3165"/>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Enables independent, unsupervised completion with no computer required.</w:t>
            </w:r>
          </w:p>
        </w:tc>
      </w:tr>
      <w:tr>
        <w:tc>
          <w:tcPr>
            <w:tcW w:type="dxa" w:w="2144"/>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Questions (42-item self-report instrument)</w:t>
            </w:r>
          </w:p>
        </w:tc>
        <w:tc>
          <w:tcPr>
            <w:tcW w:type="dxa" w:w="296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Six statements per orientation rated 1–5.</w:t>
            </w:r>
          </w:p>
        </w:tc>
        <w:tc>
          <w:tcPr>
            <w:tcW w:type="dxa" w:w="919"/>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w:t>
            </w:r>
          </w:p>
        </w:tc>
        <w:tc>
          <w:tcPr>
            <w:tcW w:type="dxa" w:w="3165"/>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Structured self-reflection on working style and motivations.</w:t>
            </w:r>
          </w:p>
        </w:tc>
      </w:tr>
      <w:tr>
        <w:tc>
          <w:tcPr>
            <w:tcW w:type="dxa" w:w="2144"/>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Scoring Key &amp; Score Lookup Table</w:t>
            </w:r>
          </w:p>
        </w:tc>
        <w:tc>
          <w:tcPr>
            <w:tcW w:type="dxa" w:w="296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Question-to-orientation key and score-to-percentage table.</w:t>
            </w:r>
          </w:p>
        </w:tc>
        <w:tc>
          <w:tcPr>
            <w:tcW w:type="dxa" w:w="919"/>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N/A</w:t>
            </w:r>
          </w:p>
        </w:tc>
        <w:tc>
          <w:tcPr>
            <w:tcW w:type="dxa" w:w="3165"/>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Makes the self-assessment independently scoreable on paper.</w:t>
            </w:r>
          </w:p>
        </w:tc>
      </w:tr>
      <w:tr>
        <w:tc>
          <w:tcPr>
            <w:tcW w:type="dxa" w:w="2144"/>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Seven Orientation Profile pages</w:t>
            </w:r>
          </w:p>
        </w:tc>
        <w:tc>
          <w:tcPr>
            <w:tcW w:type="dxa" w:w="296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Calling statement, description, strengths, watch-out-for.</w:t>
            </w:r>
          </w:p>
        </w:tc>
        <w:tc>
          <w:tcPr>
            <w:tcW w:type="dxa" w:w="919"/>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w:t>
            </w:r>
          </w:p>
        </w:tc>
        <w:tc>
          <w:tcPr>
            <w:tcW w:type="dxa" w:w="3165"/>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Deepens self-appraisal and names concrete trade-offs.</w:t>
            </w:r>
          </w:p>
        </w:tc>
      </w:tr>
      <w:tr>
        <w:tc>
          <w:tcPr>
            <w:tcW w:type="dxa" w:w="2144"/>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“Pathways to Explore” (per profile)</w:t>
            </w:r>
          </w:p>
        </w:tc>
        <w:tc>
          <w:tcPr>
            <w:tcW w:type="dxa" w:w="296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Subjects, fields of study, Zambian institutions, careers.</w:t>
            </w:r>
          </w:p>
        </w:tc>
        <w:tc>
          <w:tcPr>
            <w:tcW w:type="dxa" w:w="919"/>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V, E</w:t>
            </w:r>
          </w:p>
        </w:tc>
        <w:tc>
          <w:tcPr>
            <w:tcW w:type="dxa" w:w="3165"/>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Converts a result into subjects and pathways defined by the Framework.</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Orientation-to-Pathway Cross-Reference</w:t>
      </w:r>
    </w:p>
    <w:p>
      <w:pPr>
        <w:spacing w:after="120" w:before="0"/>
      </w:pPr>
      <w:r>
        <w:rPr>
          <w:rFonts w:ascii="Calibri" w:cs="Calibri" w:eastAsia="Calibri" w:hAnsi="Calibri"/>
          <w:b w:val="false"/>
          <w:bCs w:val="false"/>
          <w:i w:val="false"/>
          <w:iCs w:val="false"/>
          <w:color w:val="221F1A"/>
          <w:sz w:val="21"/>
          <w:szCs w:val="21"/>
        </w:rPr>
        <w:t xml:space="preserve">This is the concrete link between each of the seven orientations and the official pathway it points a learner toward, and why.</w:t>
      </w:r>
    </w:p>
    <w:p>
      <w:pPr>
        <w:pStyle w:val="Heading2"/>
        <w:spacing w:after="100" w:before="220"/>
      </w:pPr>
      <w:r>
        <w:rPr>
          <w:rFonts w:ascii="Calibri" w:cs="Calibri" w:eastAsia="Calibri" w:hAnsi="Calibri"/>
          <w:b/>
          <w:bCs/>
          <w:color w:val="7C481E"/>
          <w:sz w:val="24"/>
          <w:szCs w:val="24"/>
        </w:rPr>
        <w:t xml:space="preserve">Ordinary Level (Forms 1–4)</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6"/>
        <w:gridCol w:w="2600"/>
      </w:tblGrid>
      <w:tr>
        <w:trPr>
          <w:tblHeader/>
        </w:trPr>
        <w:tc>
          <w:tcPr>
            <w:tcW w:type="dxa" w:w="30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Orientation</w:t>
            </w:r>
          </w:p>
        </w:tc>
        <w:tc>
          <w:tcPr>
            <w:tcW w:type="dxa" w:w="20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Primary O-Level pathway</w:t>
            </w:r>
          </w:p>
        </w:tc>
        <w:tc>
          <w:tcPr>
            <w:tcW w:type="dxa" w:w="25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Why</w:t>
            </w:r>
          </w:p>
        </w:tc>
        <w:tc>
          <w:tcPr>
            <w:tcW w:type="dxa" w:w="26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Related pathway(s)</w:t>
            </w:r>
          </w:p>
        </w:tc>
      </w:tr>
      <w:tr>
        <w:tc>
          <w:tcPr>
            <w:tcW w:type="dxa" w:w="3000"/>
            <w:shd w:fill="E8EEF3"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B5F86"/>
                <w:sz w:val="18"/>
                <w:szCs w:val="18"/>
              </w:rPr>
              <w:t xml:space="preserve">  Order Orientation</w:t>
            </w:r>
          </w:p>
        </w:tc>
        <w:tc>
          <w:tcPr>
            <w:tcW w:type="dxa" w:w="2000"/>
            <w:tcMar>
              <w:top w:type="dxa" w:w="90"/>
              <w:left w:type="dxa" w:w="110"/>
              <w:bottom w:type="dxa" w:w="90"/>
              <w:right w:type="dxa" w:w="110"/>
            </w:tcMar>
            <w:vAlign w:val="center"/>
          </w:tcPr>
          <w:p>
            <w:pPr>
              <w:spacing w:after="40"/>
            </w:pPr>
            <w:r>
              <w:rPr>
                <w:rFonts w:ascii="Calibri" w:cs="Calibri" w:eastAsia="Calibri" w:hAnsi="Calibri"/>
                <w:b/>
                <w:bCs/>
                <w:i w:val="false"/>
                <w:iCs w:val="false"/>
                <w:color w:val="3B5F86"/>
                <w:sz w:val="18"/>
                <w:szCs w:val="18"/>
              </w:rPr>
              <w:t xml:space="preserve">Technology</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Precision, structure and building things map onto the Design &amp; Technology / Computer Science core.</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Natural Sciences (engineering entry); Business and Finance (Accounting)</w:t>
            </w:r>
          </w:p>
        </w:tc>
      </w:tr>
      <w:tr>
        <w:tc>
          <w:tcPr>
            <w:tcW w:type="dxa" w:w="3000"/>
            <w:shd w:fill="F3E7EF"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8C3F72"/>
                <w:sz w:val="18"/>
                <w:szCs w:val="18"/>
              </w:rPr>
              <w:t xml:space="preserve">  Form Orientation</w:t>
            </w:r>
          </w:p>
        </w:tc>
        <w:tc>
          <w:tcPr>
            <w:tcW w:type="dxa" w:w="2000"/>
            <w:tcMar>
              <w:top w:type="dxa" w:w="90"/>
              <w:left w:type="dxa" w:w="110"/>
              <w:bottom w:type="dxa" w:w="90"/>
              <w:right w:type="dxa" w:w="110"/>
            </w:tcMar>
            <w:vAlign w:val="center"/>
          </w:tcPr>
          <w:p>
            <w:pPr>
              <w:spacing w:after="40"/>
            </w:pPr>
            <w:r>
              <w:rPr>
                <w:rFonts w:ascii="Calibri" w:cs="Calibri" w:eastAsia="Calibri" w:hAnsi="Calibri"/>
                <w:b/>
                <w:bCs/>
                <w:i w:val="false"/>
                <w:iCs w:val="false"/>
                <w:color w:val="8C3F72"/>
                <w:sz w:val="18"/>
                <w:szCs w:val="18"/>
              </w:rPr>
              <w:t xml:space="preserve">Performing and Creative Arts</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Direct match to the Music / Art and Design core subjects.</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Home Economics and Hospitality (Fashion &amp; Fabrics); Social Sciences (Literature in English)</w:t>
            </w:r>
          </w:p>
        </w:tc>
      </w:tr>
      <w:tr>
        <w:tc>
          <w:tcPr>
            <w:tcW w:type="dxa" w:w="3000"/>
            <w:shd w:fill="E5F0ED"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2F7D6E"/>
                <w:sz w:val="18"/>
                <w:szCs w:val="18"/>
              </w:rPr>
              <w:t xml:space="preserve">  Coordination Orientation</w:t>
            </w:r>
          </w:p>
        </w:tc>
        <w:tc>
          <w:tcPr>
            <w:tcW w:type="dxa" w:w="2000"/>
            <w:tcMar>
              <w:top w:type="dxa" w:w="90"/>
              <w:left w:type="dxa" w:w="110"/>
              <w:bottom w:type="dxa" w:w="90"/>
              <w:right w:type="dxa" w:w="110"/>
            </w:tcMar>
            <w:vAlign w:val="center"/>
          </w:tcPr>
          <w:p>
            <w:pPr>
              <w:spacing w:after="40"/>
            </w:pPr>
            <w:r>
              <w:rPr>
                <w:rFonts w:ascii="Calibri" w:cs="Calibri" w:eastAsia="Calibri" w:hAnsi="Calibri"/>
                <w:b/>
                <w:bCs/>
                <w:i w:val="false"/>
                <w:iCs w:val="false"/>
                <w:color w:val="2F7D6E"/>
                <w:sz w:val="18"/>
                <w:szCs w:val="18"/>
              </w:rPr>
              <w:t xml:space="preserve">Business and Finance</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Organising people and resources matches Commerce and Principles of Accounts.</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Performing and Creative Arts (event/music production)</w:t>
            </w:r>
          </w:p>
        </w:tc>
      </w:tr>
      <w:tr>
        <w:tc>
          <w:tcPr>
            <w:tcW w:type="dxa" w:w="3000"/>
            <w:shd w:fill="FBEADB"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C1631F"/>
                <w:sz w:val="18"/>
                <w:szCs w:val="18"/>
              </w:rPr>
              <w:t xml:space="preserve">  Discovery Orientation</w:t>
            </w:r>
          </w:p>
        </w:tc>
        <w:tc>
          <w:tcPr>
            <w:tcW w:type="dxa" w:w="2000"/>
            <w:tcMar>
              <w:top w:type="dxa" w:w="90"/>
              <w:left w:type="dxa" w:w="110"/>
              <w:bottom w:type="dxa" w:w="90"/>
              <w:right w:type="dxa" w:w="110"/>
            </w:tcMar>
            <w:vAlign w:val="center"/>
          </w:tcPr>
          <w:p>
            <w:pPr>
              <w:spacing w:after="40"/>
            </w:pPr>
            <w:r>
              <w:rPr>
                <w:rFonts w:ascii="Calibri" w:cs="Calibri" w:eastAsia="Calibri" w:hAnsi="Calibri"/>
                <w:b/>
                <w:bCs/>
                <w:i w:val="false"/>
                <w:iCs w:val="false"/>
                <w:color w:val="C1631F"/>
                <w:sz w:val="18"/>
                <w:szCs w:val="18"/>
              </w:rPr>
              <w:t xml:space="preserve">Natural Sciences</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Curiosity-driven investigation matches Biology, Chemistry and Physics.</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Technology (Computer Science); Agriculture Science (environmental)</w:t>
            </w:r>
          </w:p>
        </w:tc>
      </w:tr>
      <w:tr>
        <w:tc>
          <w:tcPr>
            <w:tcW w:type="dxa" w:w="3000"/>
            <w:shd w:fill="F3EED9"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9C7A26"/>
                <w:sz w:val="18"/>
                <w:szCs w:val="18"/>
              </w:rPr>
              <w:t xml:space="preserve">  Integration Orientation</w:t>
            </w:r>
          </w:p>
        </w:tc>
        <w:tc>
          <w:tcPr>
            <w:tcW w:type="dxa" w:w="2000"/>
            <w:tcMar>
              <w:top w:type="dxa" w:w="90"/>
              <w:left w:type="dxa" w:w="110"/>
              <w:bottom w:type="dxa" w:w="90"/>
              <w:right w:type="dxa" w:w="110"/>
            </w:tcMar>
            <w:vAlign w:val="center"/>
          </w:tcPr>
          <w:p>
            <w:pPr>
              <w:spacing w:after="40"/>
            </w:pPr>
            <w:r>
              <w:rPr>
                <w:rFonts w:ascii="Calibri" w:cs="Calibri" w:eastAsia="Calibri" w:hAnsi="Calibri"/>
                <w:b/>
                <w:bCs/>
                <w:i w:val="false"/>
                <w:iCs w:val="false"/>
                <w:color w:val="9C7A26"/>
                <w:sz w:val="18"/>
                <w:szCs w:val="18"/>
              </w:rPr>
              <w:t xml:space="preserve">Social Sciences</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Helping and guiding others matches Literature, Religious and Civic Education.</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Natural Sciences (Biology, for Nursing); Home Economics and Hospitality</w:t>
            </w:r>
          </w:p>
        </w:tc>
      </w:tr>
      <w:tr>
        <w:tc>
          <w:tcPr>
            <w:tcW w:type="dxa" w:w="3000"/>
            <w:shd w:fill="E6EEE7"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D6B45"/>
                <w:sz w:val="18"/>
                <w:szCs w:val="18"/>
              </w:rPr>
              <w:t xml:space="preserve">  Preservation Orientation</w:t>
            </w:r>
          </w:p>
        </w:tc>
        <w:tc>
          <w:tcPr>
            <w:tcW w:type="dxa" w:w="2000"/>
            <w:tcMar>
              <w:top w:type="dxa" w:w="90"/>
              <w:left w:type="dxa" w:w="110"/>
              <w:bottom w:type="dxa" w:w="90"/>
              <w:right w:type="dxa" w:w="110"/>
            </w:tcMar>
            <w:vAlign w:val="center"/>
          </w:tcPr>
          <w:p>
            <w:pPr>
              <w:spacing w:after="40"/>
            </w:pPr>
            <w:r>
              <w:rPr>
                <w:rFonts w:ascii="Calibri" w:cs="Calibri" w:eastAsia="Calibri" w:hAnsi="Calibri"/>
                <w:b/>
                <w:bCs/>
                <w:i w:val="false"/>
                <w:iCs w:val="false"/>
                <w:color w:val="3D6B45"/>
                <w:sz w:val="18"/>
                <w:szCs w:val="18"/>
              </w:rPr>
              <w:t xml:space="preserve">Agriculture Science</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Protecting and stewarding resources matches Agricultural Science.</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Social Sciences (Civic Education/History, for Law); Physical Education and Sport (discipline)</w:t>
            </w:r>
          </w:p>
        </w:tc>
      </w:tr>
      <w:tr>
        <w:tc>
          <w:tcPr>
            <w:tcW w:type="dxa" w:w="3000"/>
            <w:shd w:fill="EBE6F2"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5B4090"/>
                <w:sz w:val="18"/>
                <w:szCs w:val="18"/>
              </w:rPr>
              <w:t xml:space="preserve">  Transformation Orientation</w:t>
            </w:r>
          </w:p>
        </w:tc>
        <w:tc>
          <w:tcPr>
            <w:tcW w:type="dxa" w:w="2000"/>
            <w:tcMar>
              <w:top w:type="dxa" w:w="90"/>
              <w:left w:type="dxa" w:w="110"/>
              <w:bottom w:type="dxa" w:w="90"/>
              <w:right w:type="dxa" w:w="110"/>
            </w:tcMar>
            <w:vAlign w:val="center"/>
          </w:tcPr>
          <w:p>
            <w:pPr>
              <w:spacing w:after="40"/>
            </w:pPr>
            <w:r>
              <w:rPr>
                <w:rFonts w:ascii="Calibri" w:cs="Calibri" w:eastAsia="Calibri" w:hAnsi="Calibri"/>
                <w:b/>
                <w:bCs/>
                <w:i w:val="false"/>
                <w:iCs w:val="false"/>
                <w:color w:val="5B4090"/>
                <w:sz w:val="18"/>
                <w:szCs w:val="18"/>
              </w:rPr>
              <w:t xml:space="preserve">Technology</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Physics/Chemistry-driven innovation matches the Technology pathway's practical core.</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Natural Sciences; Business and Finance (entrepreneurship)</w:t>
            </w:r>
          </w:p>
        </w:tc>
      </w:tr>
    </w:tbl>
    <w:p>
      <w:pPr>
        <w:pStyle w:val="Heading2"/>
        <w:spacing w:after="100" w:before="220"/>
      </w:pPr>
      <w:r>
        <w:rPr>
          <w:rFonts w:ascii="Calibri" w:cs="Calibri" w:eastAsia="Calibri" w:hAnsi="Calibri"/>
          <w:b/>
          <w:bCs/>
          <w:color w:val="7C481E"/>
          <w:sz w:val="24"/>
          <w:szCs w:val="24"/>
        </w:rPr>
        <w:t xml:space="preserve">Advanced Level (Forms 5–6)</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600"/>
        <w:gridCol w:w="6506"/>
      </w:tblGrid>
      <w:tr>
        <w:trPr>
          <w:tblHeader/>
        </w:trPr>
        <w:tc>
          <w:tcPr>
            <w:tcW w:type="dxa" w:w="36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Orientation</w:t>
            </w:r>
          </w:p>
        </w:tc>
        <w:tc>
          <w:tcPr>
            <w:tcW w:type="dxa" w:w="65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Advanced Level (Form 5–6) pathway it points toward</w:t>
            </w:r>
          </w:p>
        </w:tc>
      </w:tr>
      <w:tr>
        <w:tc>
          <w:tcPr>
            <w:tcW w:type="dxa" w:w="3600"/>
            <w:shd w:fill="E8EEF3"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B5F86"/>
                <w:sz w:val="18"/>
                <w:szCs w:val="18"/>
              </w:rPr>
              <w:t xml:space="preserve">  Order Orientation</w:t>
            </w:r>
          </w:p>
        </w:tc>
        <w:tc>
          <w:tcPr>
            <w:tcW w:type="dxa" w:w="6506"/>
            <w:tcMar>
              <w:top w:type="dxa" w:w="90"/>
              <w:left w:type="dxa" w:w="110"/>
              <w:bottom w:type="dxa" w:w="90"/>
              <w:right w:type="dxa" w:w="110"/>
            </w:tcMar>
            <w:vAlign w:val="center"/>
          </w:tcPr>
          <w:p>
            <w:pPr>
              <w:spacing w:after="40"/>
            </w:pPr>
            <w:r>
              <w:rPr>
                <w:rFonts w:ascii="Calibri" w:cs="Calibri" w:eastAsia="Calibri" w:hAnsi="Calibri"/>
                <w:b/>
                <w:bCs/>
                <w:i w:val="false"/>
                <w:iCs w:val="false"/>
                <w:color w:val="3B5F86"/>
                <w:sz w:val="18"/>
                <w:szCs w:val="18"/>
              </w:rPr>
              <w:t xml:space="preserve">STEM</w:t>
            </w:r>
          </w:p>
        </w:tc>
      </w:tr>
      <w:tr>
        <w:tc>
          <w:tcPr>
            <w:tcW w:type="dxa" w:w="3600"/>
            <w:shd w:fill="F3E7EF"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8C3F72"/>
                <w:sz w:val="18"/>
                <w:szCs w:val="18"/>
              </w:rPr>
              <w:t xml:space="preserve">  Form Orientation</w:t>
            </w:r>
          </w:p>
        </w:tc>
        <w:tc>
          <w:tcPr>
            <w:tcW w:type="dxa" w:w="6506"/>
            <w:tcMar>
              <w:top w:type="dxa" w:w="90"/>
              <w:left w:type="dxa" w:w="110"/>
              <w:bottom w:type="dxa" w:w="90"/>
              <w:right w:type="dxa" w:w="110"/>
            </w:tcMar>
            <w:vAlign w:val="center"/>
          </w:tcPr>
          <w:p>
            <w:pPr>
              <w:spacing w:after="40"/>
            </w:pPr>
            <w:r>
              <w:rPr>
                <w:rFonts w:ascii="Calibri" w:cs="Calibri" w:eastAsia="Calibri" w:hAnsi="Calibri"/>
                <w:b/>
                <w:bCs/>
                <w:i w:val="false"/>
                <w:iCs w:val="false"/>
                <w:color w:val="8C3F72"/>
                <w:sz w:val="18"/>
                <w:szCs w:val="18"/>
              </w:rPr>
              <w:t xml:space="preserve">Creative and Performing Arts</w:t>
            </w:r>
          </w:p>
        </w:tc>
      </w:tr>
      <w:tr>
        <w:tc>
          <w:tcPr>
            <w:tcW w:type="dxa" w:w="3600"/>
            <w:shd w:fill="E5F0ED"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2F7D6E"/>
                <w:sz w:val="18"/>
                <w:szCs w:val="18"/>
              </w:rPr>
              <w:t xml:space="preserve">  Coordination Orientation</w:t>
            </w:r>
          </w:p>
        </w:tc>
        <w:tc>
          <w:tcPr>
            <w:tcW w:type="dxa" w:w="6506"/>
            <w:tcMar>
              <w:top w:type="dxa" w:w="90"/>
              <w:left w:type="dxa" w:w="110"/>
              <w:bottom w:type="dxa" w:w="90"/>
              <w:right w:type="dxa" w:w="110"/>
            </w:tcMar>
            <w:vAlign w:val="center"/>
          </w:tcPr>
          <w:p>
            <w:pPr>
              <w:spacing w:after="40"/>
            </w:pPr>
            <w:r>
              <w:rPr>
                <w:rFonts w:ascii="Calibri" w:cs="Calibri" w:eastAsia="Calibri" w:hAnsi="Calibri"/>
                <w:b/>
                <w:bCs/>
                <w:i w:val="false"/>
                <w:iCs w:val="false"/>
                <w:color w:val="2F7D6E"/>
                <w:sz w:val="18"/>
                <w:szCs w:val="18"/>
              </w:rPr>
              <w:t xml:space="preserve">Business Studies</w:t>
            </w:r>
          </w:p>
        </w:tc>
      </w:tr>
      <w:tr>
        <w:tc>
          <w:tcPr>
            <w:tcW w:type="dxa" w:w="3600"/>
            <w:shd w:fill="FBEADB"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C1631F"/>
                <w:sz w:val="18"/>
                <w:szCs w:val="18"/>
              </w:rPr>
              <w:t xml:space="preserve">  Discovery Orientation</w:t>
            </w:r>
          </w:p>
        </w:tc>
        <w:tc>
          <w:tcPr>
            <w:tcW w:type="dxa" w:w="6506"/>
            <w:tcMar>
              <w:top w:type="dxa" w:w="90"/>
              <w:left w:type="dxa" w:w="110"/>
              <w:bottom w:type="dxa" w:w="90"/>
              <w:right w:type="dxa" w:w="110"/>
            </w:tcMar>
            <w:vAlign w:val="center"/>
          </w:tcPr>
          <w:p>
            <w:pPr>
              <w:spacing w:after="40"/>
            </w:pPr>
            <w:r>
              <w:rPr>
                <w:rFonts w:ascii="Calibri" w:cs="Calibri" w:eastAsia="Calibri" w:hAnsi="Calibri"/>
                <w:b/>
                <w:bCs/>
                <w:i w:val="false"/>
                <w:iCs w:val="false"/>
                <w:color w:val="C1631F"/>
                <w:sz w:val="18"/>
                <w:szCs w:val="18"/>
              </w:rPr>
              <w:t xml:space="preserve">STEM</w:t>
            </w:r>
          </w:p>
        </w:tc>
      </w:tr>
      <w:tr>
        <w:tc>
          <w:tcPr>
            <w:tcW w:type="dxa" w:w="3600"/>
            <w:shd w:fill="F3EED9"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9C7A26"/>
                <w:sz w:val="18"/>
                <w:szCs w:val="18"/>
              </w:rPr>
              <w:t xml:space="preserve">  Integration Orientation</w:t>
            </w:r>
          </w:p>
        </w:tc>
        <w:tc>
          <w:tcPr>
            <w:tcW w:type="dxa" w:w="6506"/>
            <w:tcMar>
              <w:top w:type="dxa" w:w="90"/>
              <w:left w:type="dxa" w:w="110"/>
              <w:bottom w:type="dxa" w:w="90"/>
              <w:right w:type="dxa" w:w="110"/>
            </w:tcMar>
            <w:vAlign w:val="center"/>
          </w:tcPr>
          <w:p>
            <w:pPr>
              <w:spacing w:after="40"/>
            </w:pPr>
            <w:r>
              <w:rPr>
                <w:rFonts w:ascii="Calibri" w:cs="Calibri" w:eastAsia="Calibri" w:hAnsi="Calibri"/>
                <w:b/>
                <w:bCs/>
                <w:i w:val="false"/>
                <w:iCs w:val="false"/>
                <w:color w:val="9C7A26"/>
                <w:sz w:val="18"/>
                <w:szCs w:val="18"/>
              </w:rPr>
              <w:t xml:space="preserve">Social Sciences and Languages</w:t>
            </w:r>
          </w:p>
        </w:tc>
      </w:tr>
      <w:tr>
        <w:tc>
          <w:tcPr>
            <w:tcW w:type="dxa" w:w="3600"/>
            <w:shd w:fill="E6EEE7"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D6B45"/>
                <w:sz w:val="18"/>
                <w:szCs w:val="18"/>
              </w:rPr>
              <w:t xml:space="preserve">  Preservation Orientation</w:t>
            </w:r>
          </w:p>
        </w:tc>
        <w:tc>
          <w:tcPr>
            <w:tcW w:type="dxa" w:w="6506"/>
            <w:tcMar>
              <w:top w:type="dxa" w:w="90"/>
              <w:left w:type="dxa" w:w="110"/>
              <w:bottom w:type="dxa" w:w="90"/>
              <w:right w:type="dxa" w:w="110"/>
            </w:tcMar>
            <w:vAlign w:val="center"/>
          </w:tcPr>
          <w:p>
            <w:pPr>
              <w:spacing w:after="40"/>
            </w:pPr>
            <w:r>
              <w:rPr>
                <w:rFonts w:ascii="Calibri" w:cs="Calibri" w:eastAsia="Calibri" w:hAnsi="Calibri"/>
                <w:b/>
                <w:bCs/>
                <w:i w:val="false"/>
                <w:iCs w:val="false"/>
                <w:color w:val="3D6B45"/>
                <w:sz w:val="18"/>
                <w:szCs w:val="18"/>
              </w:rPr>
              <w:t xml:space="preserve">Social Sciences and Languages</w:t>
            </w:r>
          </w:p>
        </w:tc>
      </w:tr>
      <w:tr>
        <w:tc>
          <w:tcPr>
            <w:tcW w:type="dxa" w:w="3600"/>
            <w:shd w:fill="EBE6F2"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5B4090"/>
                <w:sz w:val="18"/>
                <w:szCs w:val="18"/>
              </w:rPr>
              <w:t xml:space="preserve">  Transformation Orientation</w:t>
            </w:r>
          </w:p>
        </w:tc>
        <w:tc>
          <w:tcPr>
            <w:tcW w:type="dxa" w:w="6506"/>
            <w:tcMar>
              <w:top w:type="dxa" w:w="90"/>
              <w:left w:type="dxa" w:w="110"/>
              <w:bottom w:type="dxa" w:w="90"/>
              <w:right w:type="dxa" w:w="110"/>
            </w:tcMar>
            <w:vAlign w:val="center"/>
          </w:tcPr>
          <w:p>
            <w:pPr>
              <w:spacing w:after="40"/>
            </w:pPr>
            <w:r>
              <w:rPr>
                <w:rFonts w:ascii="Calibri" w:cs="Calibri" w:eastAsia="Calibri" w:hAnsi="Calibri"/>
                <w:b/>
                <w:bCs/>
                <w:i w:val="false"/>
                <w:iCs w:val="false"/>
                <w:color w:val="5B4090"/>
                <w:sz w:val="18"/>
                <w:szCs w:val="18"/>
              </w:rPr>
              <w:t xml:space="preserve">STEM</w:t>
            </w:r>
          </w:p>
        </w:tc>
      </w:tr>
    </w:tbl>
    <w:tbl>
      <w:tblPr>
        <w:tblW w:type="dxa" w:w="10106"/>
        <w:tblBorders>
          <w:top w:val="single" w:color="C1631F" w:sz="12"/>
          <w:left w:val="single" w:color="C1631F" w:sz="12"/>
          <w:bottom w:val="single" w:color="C1631F" w:sz="12"/>
          <w:right w:val="single" w:color="C1631F" w:sz="12"/>
          <w:insideH w:val="none"/>
          <w:insideV w:val="none"/>
        </w:tblBorders>
      </w:tblPr>
      <w:tblGrid>
        <w:gridCol w:w="10106"/>
      </w:tblGrid>
      <w:tr>
        <w:tc>
          <w:tcPr>
            <w:tcW w:type="dxa" w:w="10106"/>
            <w:shd w:fill="FBEFD9" w:color="auto" w:val="clear"/>
            <w:tcMar>
              <w:top w:type="dxa" w:w="160"/>
              <w:left w:type="dxa" w:w="200"/>
              <w:bottom w:type="dxa" w:w="160"/>
              <w:right w:type="dxa" w:w="200"/>
            </w:tcMar>
          </w:tcPr>
          <w:p>
            <w:pPr>
              <w:spacing w:after="100"/>
            </w:pPr>
            <w:r>
              <w:rPr>
                <w:rFonts w:ascii="Calibri" w:cs="Calibri" w:eastAsia="Calibri" w:hAnsi="Calibri"/>
                <w:b/>
                <w:bCs/>
                <w:color w:val="7C481E"/>
                <w:sz w:val="21"/>
                <w:szCs w:val="21"/>
              </w:rPr>
              <w:t xml:space="preserve">Scope note: two official pathways are secondary matches only</w:t>
            </w:r>
          </w:p>
          <w:p>
            <w:pPr>
              <w:spacing w:after="80"/>
            </w:pPr>
            <w:r>
              <w:rPr>
                <w:rFonts w:ascii="Calibri" w:cs="Calibri" w:eastAsia="Calibri" w:hAnsi="Calibri"/>
                <w:color w:val="221F1A"/>
                <w:sz w:val="20"/>
                <w:szCs w:val="20"/>
              </w:rPr>
              <w:t xml:space="preserve">Physical Education and Sport (O-Level) and Sports Science (A-Level) are not the primary destination for any of the seven orientations as currently defined; Preservation is the closest secondary fit, via discipline and physical stewardship. Home Economics and Hospitality (O-Level) similarly has no orientation for which it is primary; Form and Integration touch it only as a secondary or related pathway.</w:t>
            </w:r>
          </w:p>
          <w:p>
            <w:pPr>
              <w:spacing w:after="80"/>
            </w:pPr>
            <w:r>
              <w:rPr>
                <w:rFonts w:ascii="Calibri" w:cs="Calibri" w:eastAsia="Calibri" w:hAnsi="Calibri"/>
                <w:color w:val="221F1A"/>
                <w:sz w:val="20"/>
                <w:szCs w:val="20"/>
              </w:rPr>
              <w:t xml:space="preserve">This is a stated scope limitation of the current seven-orientation model, not an omission: learners drawn to sport or hospitality careers are served through the secondary and related pathway columns above.</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Coverage Summary Against PSVE</w:t>
      </w:r>
    </w:p>
    <w:p>
      <w:pPr>
        <w:spacing w:after="120" w:before="0"/>
      </w:pPr>
      <w:r>
        <w:rPr>
          <w:rFonts w:ascii="Calibri" w:cs="Calibri" w:eastAsia="Calibri" w:hAnsi="Calibri"/>
          <w:b w:val="false"/>
          <w:bCs w:val="false"/>
          <w:i w:val="false"/>
          <w:iCs w:val="false"/>
          <w:color w:val="221F1A"/>
          <w:sz w:val="21"/>
          <w:szCs w:val="21"/>
        </w:rPr>
        <w:t xml:space="preserve">Personal, Vocational and Educational are strongly covered. Social is addressed directly through a dedicated small-group activity: learners share a Pathways to Explore item, then discuss what each person's orientation would contribute to a shared class project and which orientation, if any, is missing from the group; see the facilitator's guide, Session 3.</w:t>
      </w:r>
    </w:p>
    <w:p>
      <w:pPr>
        <w:pStyle w:val="Heading1"/>
        <w:pBdr>
          <w:bottom w:val="single" w:color="A8632C" w:sz="6" w:space="4"/>
        </w:pBdr>
        <w:spacing w:after="140" w:before="320"/>
      </w:pPr>
      <w:r>
        <w:rPr>
          <w:rFonts w:ascii="Calibri" w:cs="Calibri" w:eastAsia="Calibri" w:hAnsi="Calibri"/>
          <w:b/>
          <w:bCs/>
          <w:color w:val="7C481E"/>
          <w:sz w:val="30"/>
          <w:szCs w:val="30"/>
        </w:rPr>
        <w:t xml:space="preserve">Terminology Applied to the Workbook</w:t>
      </w:r>
    </w:p>
    <w:p>
      <w:pPr>
        <w:spacing w:after="120" w:before="0"/>
      </w:pPr>
      <w:r>
        <w:rPr>
          <w:rFonts w:ascii="Calibri" w:cs="Calibri" w:eastAsia="Calibri" w:hAnsi="Calibri"/>
          <w:b w:val="false"/>
          <w:bCs w:val="false"/>
          <w:i w:val="false"/>
          <w:iCs w:val="false"/>
          <w:color w:val="221F1A"/>
          <w:sz w:val="21"/>
          <w:szCs w:val="21"/>
        </w:rPr>
        <w:t xml:space="preserve">The workbook's pathways content uses the Framework's exact subject names throughout:</w:t>
      </w:r>
    </w:p>
    <w:p>
      <w:pPr>
        <w:pStyle w:val="ListParagraph"/>
        <w:numPr>
          <w:ilvl w:val="0"/>
          <w:numId w:val="2"/>
        </w:numPr>
        <w:spacing w:after="80"/>
      </w:pPr>
      <w:r>
        <w:rPr>
          <w:rFonts w:ascii="Calibri" w:cs="Calibri" w:eastAsia="Calibri" w:hAnsi="Calibri"/>
          <w:color w:val="221F1A"/>
          <w:sz w:val="21"/>
          <w:szCs w:val="21"/>
        </w:rPr>
        <w:t xml:space="preserve">Where the Integration profile names a Home Economics subject, it names the specific subject, Food and Nutrition, rather than the pathway name “Home Economics,” since the Framework names the constituent subjects as Fashion and Fabrics, Food and Nutrition, Hospitality Management, and Travel and Tourism.</w:t>
      </w:r>
    </w:p>
    <w:p>
      <w:pPr>
        <w:pStyle w:val="ListParagraph"/>
        <w:numPr>
          <w:ilvl w:val="0"/>
          <w:numId w:val="2"/>
        </w:numPr>
        <w:spacing w:after="80"/>
      </w:pPr>
      <w:r>
        <w:rPr>
          <w:rFonts w:ascii="Calibri" w:cs="Calibri" w:eastAsia="Calibri" w:hAnsi="Calibri"/>
          <w:color w:val="221F1A"/>
          <w:sz w:val="21"/>
          <w:szCs w:val="21"/>
        </w:rPr>
        <w:t xml:space="preserve">Computer Studies is named as compulsory and non-examinable across all pathways; Computer Science is named separately as the examinable Technology-pathway subject, for orientations pointing toward Technology and data-related careers.</w:t>
      </w:r>
    </w:p>
    <w:p>
      <w:pPr>
        <w:pStyle w:val="ListParagraph"/>
        <w:numPr>
          <w:ilvl w:val="0"/>
          <w:numId w:val="2"/>
        </w:numPr>
        <w:spacing w:after="80"/>
      </w:pPr>
      <w:r>
        <w:rPr>
          <w:rFonts w:ascii="Calibri" w:cs="Calibri" w:eastAsia="Calibri" w:hAnsi="Calibri"/>
          <w:color w:val="221F1A"/>
          <w:sz w:val="21"/>
          <w:szCs w:val="21"/>
        </w:rPr>
        <w:t xml:space="preserve">Principles of Accounts is named as the O-Level feeder subject for the Order profile's tertiary Accounting field, matching the Framework's exact subject name.</w:t>
      </w:r>
    </w:p>
    <w:p>
      <w:r>
        <w:br w:type="page"/>
      </w:r>
    </w:p>
    <w:tbl>
      <w:tblPr>
        <w:tblW w:type="dxa" w:w="10106"/>
        <w:tblBorders>
          <w:top w:val="none"/>
          <w:left w:val="none"/>
          <w:bottom w:val="none"/>
          <w:right w:val="none"/>
          <w:insideH w:val="single" w:color="auto" w:sz="4"/>
          <w:insideV w:val="single" w:color="auto" w:sz="4"/>
        </w:tblBorders>
      </w:tblPr>
      <w:tblGrid>
        <w:gridCol w:w="10106"/>
      </w:tblGrid>
      <w:tr>
        <w:tc>
          <w:tcPr>
            <w:tcW w:type="dxa" w:w="10106"/>
            <w:shd w:fill="A8632C" w:color="auto" w:val="clear"/>
            <w:tcMar>
              <w:top w:type="dxa" w:w="360"/>
              <w:left w:type="dxa" w:w="280"/>
              <w:bottom w:type="dxa" w:w="360"/>
              <w:right w:type="dxa" w:w="280"/>
            </w:tcMar>
          </w:tcPr>
          <w:p>
            <w:pPr>
              <w:spacing w:after="60"/>
            </w:pPr>
            <w:r>
              <w:rPr>
                <w:rFonts w:ascii="Calibri" w:cs="Calibri" w:eastAsia="Calibri" w:hAnsi="Calibri"/>
                <w:b/>
                <w:bCs/>
                <w:color w:val="F3E3CE"/>
                <w:spacing w:val="30"/>
                <w:sz w:val="18"/>
                <w:szCs w:val="18"/>
              </w:rPr>
              <w:t xml:space="preserve">PART TWO</w:t>
            </w:r>
          </w:p>
          <w:p>
            <w:pPr>
              <w:spacing w:after="100"/>
            </w:pPr>
            <w:r>
              <w:rPr>
                <w:rFonts w:ascii="Calibri" w:cs="Calibri" w:eastAsia="Calibri" w:hAnsi="Calibri"/>
                <w:b/>
                <w:bCs/>
                <w:color w:val="FFFFFF"/>
                <w:sz w:val="36"/>
                <w:szCs w:val="36"/>
              </w:rPr>
              <w:t xml:space="preserve">Facilitator's Guide</w:t>
            </w:r>
          </w:p>
          <w:p>
            <w:r>
              <w:rPr>
                <w:rFonts w:ascii="Calibri" w:cs="Calibri" w:eastAsia="Calibri" w:hAnsi="Calibri"/>
                <w:i/>
                <w:iCs/>
                <w:color w:val="F6E9D8"/>
                <w:sz w:val="20"/>
                <w:szCs w:val="20"/>
              </w:rPr>
              <w:t xml:space="preserve">Running the workbook across three sessions with Form 3/4 learners</w:t>
            </w:r>
          </w:p>
        </w:tc>
      </w:tr>
    </w:tbl>
    <w:p>
      <w:pPr>
        <w:spacing w:after="60" w:before="0"/>
      </w:pPr>
      <w:r>
        <w:rPr>
          <w:rFonts w:ascii="Calibri" w:cs="Calibri" w:eastAsia="Calibri" w:hAnsi="Calibri"/>
          <w:b w:val="false"/>
          <w:bCs w:val="false"/>
          <w:i w:val="false"/>
          <w:iCs w:val="false"/>
          <w:color w:val="221F1A"/>
          <w:sz w:val="21"/>
          <w:szCs w:val="21"/>
        </w:rPr>
        <w:t xml:space="preserve"> </w:t>
      </w:r>
    </w:p>
    <w:p>
      <w:pPr>
        <w:spacing w:after="120" w:before="0"/>
      </w:pPr>
      <w:r>
        <w:rPr>
          <w:rFonts w:ascii="Calibri" w:cs="Calibri" w:eastAsia="Calibri" w:hAnsi="Calibri"/>
          <w:b w:val="false"/>
          <w:bCs w:val="false"/>
          <w:i w:val="false"/>
          <w:iCs w:val="false"/>
          <w:color w:val="221F1A"/>
          <w:sz w:val="21"/>
          <w:szCs w:val="21"/>
        </w:rPr>
        <w:t xml:space="preserve">This guide grounds the four official Careers Guidance and Counselling areas, Personal, Social, Vocational, Educational (PSVE), used throughout in the 2023 Zambia Education Curriculum Framework, as set out in Part One above.</w:t>
      </w:r>
    </w:p>
    <w:p>
      <w:pPr>
        <w:pStyle w:val="Heading1"/>
        <w:pBdr>
          <w:bottom w:val="single" w:color="A8632C" w:sz="6" w:space="4"/>
        </w:pBdr>
        <w:spacing w:after="140" w:before="320"/>
      </w:pPr>
      <w:r>
        <w:rPr>
          <w:rFonts w:ascii="Calibri" w:cs="Calibri" w:eastAsia="Calibri" w:hAnsi="Calibri"/>
          <w:b/>
          <w:bCs/>
          <w:color w:val="7C481E"/>
          <w:sz w:val="30"/>
          <w:szCs w:val="30"/>
        </w:rPr>
        <w:t xml:space="preserve">What This Tool Is, and Is Not</w:t>
      </w:r>
    </w:p>
    <w:tbl>
      <w:tblPr>
        <w:tblW w:type="dxa" w:w="10106"/>
        <w:tblBorders>
          <w:top w:val="single" w:color="C1631F" w:sz="12"/>
          <w:left w:val="single" w:color="C1631F" w:sz="12"/>
          <w:bottom w:val="single" w:color="C1631F" w:sz="12"/>
          <w:right w:val="single" w:color="C1631F" w:sz="12"/>
          <w:insideH w:val="none"/>
          <w:insideV w:val="none"/>
        </w:tblBorders>
      </w:tblPr>
      <w:tblGrid>
        <w:gridCol w:w="10106"/>
      </w:tblGrid>
      <w:tr>
        <w:tc>
          <w:tcPr>
            <w:tcW w:type="dxa" w:w="10106"/>
            <w:shd w:fill="FBEFD9" w:color="auto" w:val="clear"/>
            <w:tcMar>
              <w:top w:type="dxa" w:w="160"/>
              <w:left w:type="dxa" w:w="200"/>
              <w:bottom w:type="dxa" w:w="160"/>
              <w:right w:type="dxa" w:w="200"/>
            </w:tcMar>
          </w:tcPr>
          <w:p>
            <w:pPr>
              <w:spacing w:after="100"/>
            </w:pPr>
            <w:r>
              <w:rPr>
                <w:rFonts w:ascii="Calibri" w:cs="Calibri" w:eastAsia="Calibri" w:hAnsi="Calibri"/>
                <w:b/>
                <w:bCs/>
                <w:color w:val="7C481E"/>
                <w:sz w:val="21"/>
                <w:szCs w:val="21"/>
              </w:rPr>
              <w:t xml:space="preserve">Say this to learners, and hold to it as facilitator</w:t>
            </w:r>
          </w:p>
          <w:p>
            <w:pPr>
              <w:spacing w:after="80"/>
            </w:pPr>
            <w:r>
              <w:rPr>
                <w:rFonts w:ascii="Calibri" w:cs="Calibri" w:eastAsia="Calibri" w:hAnsi="Calibri"/>
                <w:color w:val="221F1A"/>
                <w:sz w:val="20"/>
                <w:szCs w:val="20"/>
              </w:rPr>
              <w:t xml:space="preserve">This IS a structured way to reflect on how you naturally like to work, and a starting point for a conversation about subjects and careers.</w:t>
            </w:r>
          </w:p>
          <w:p>
            <w:pPr>
              <w:spacing w:after="80"/>
            </w:pPr>
            <w:r>
              <w:rPr>
                <w:rFonts w:ascii="Calibri" w:cs="Calibri" w:eastAsia="Calibri" w:hAnsi="Calibri"/>
                <w:color w:val="221F1A"/>
                <w:sz w:val="20"/>
                <w:szCs w:val="20"/>
              </w:rPr>
              <w:t xml:space="preserve">This is NOT a scientifically validated personality or aptitude test. Treat every result as a prompt for discussion, never as a verdict.</w:t>
            </w:r>
          </w:p>
          <w:p>
            <w:pPr>
              <w:spacing w:after="80"/>
            </w:pPr>
            <w:r>
              <w:rPr>
                <w:rFonts w:ascii="Calibri" w:cs="Calibri" w:eastAsia="Calibri" w:hAnsi="Calibri"/>
                <w:color w:val="221F1A"/>
                <w:sz w:val="20"/>
                <w:szCs w:val="20"/>
              </w:rPr>
              <w:t xml:space="preserve">This is NOT a placement tool. No school uses a learner's result to assign, restrict, or override their subject choices. The learner and their family make that decision, with the facilitator's support.</w:t>
            </w:r>
          </w:p>
          <w:p>
            <w:pPr>
              <w:spacing w:after="80"/>
            </w:pPr>
            <w:r>
              <w:rPr>
                <w:rFonts w:ascii="Calibri" w:cs="Calibri" w:eastAsia="Calibri" w:hAnsi="Calibri"/>
                <w:color w:val="221F1A"/>
                <w:sz w:val="20"/>
                <w:szCs w:val="20"/>
              </w:rPr>
              <w:t xml:space="preserve">Participation in the activity can be required as normal classwork. Sharing a personal result out loud is always voluntary.</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Learning Objectives</w:t>
      </w:r>
    </w:p>
    <w:p>
      <w:pPr>
        <w:spacing w:after="120" w:before="0"/>
      </w:pPr>
      <w:r>
        <w:rPr>
          <w:rFonts w:ascii="Calibri" w:cs="Calibri" w:eastAsia="Calibri" w:hAnsi="Calibri"/>
          <w:b w:val="false"/>
          <w:bCs w:val="false"/>
          <w:i w:val="false"/>
          <w:iCs w:val="false"/>
          <w:color w:val="221F1A"/>
          <w:sz w:val="21"/>
          <w:szCs w:val="21"/>
        </w:rPr>
        <w:t xml:space="preserve">By the end of all three sessions, a learner is able to:</w:t>
      </w:r>
    </w:p>
    <w:p>
      <w:pPr>
        <w:pStyle w:val="ListParagraph"/>
        <w:numPr>
          <w:ilvl w:val="0"/>
          <w:numId w:val="2"/>
        </w:numPr>
        <w:spacing w:after="80"/>
      </w:pPr>
      <w:r>
        <w:rPr>
          <w:rFonts w:ascii="Calibri" w:cs="Calibri" w:eastAsia="Calibri" w:hAnsi="Calibri"/>
          <w:color w:val="221F1A"/>
          <w:sz w:val="21"/>
          <w:szCs w:val="21"/>
        </w:rPr>
        <w:t xml:space="preserve">Describe their own dominant and secondary working style in their own words (Personal).</w:t>
      </w:r>
    </w:p>
    <w:p>
      <w:pPr>
        <w:pStyle w:val="ListParagraph"/>
        <w:numPr>
          <w:ilvl w:val="0"/>
          <w:numId w:val="2"/>
        </w:numPr>
        <w:spacing w:after="80"/>
      </w:pPr>
      <w:r>
        <w:rPr>
          <w:rFonts w:ascii="Calibri" w:cs="Calibri" w:eastAsia="Calibri" w:hAnsi="Calibri"/>
          <w:color w:val="221F1A"/>
          <w:sz w:val="21"/>
          <w:szCs w:val="21"/>
        </w:rPr>
        <w:t xml:space="preserve">Explain at least one realistic feature of what day-to-day work is like in a field connected to their result (Vocational).</w:t>
      </w:r>
    </w:p>
    <w:p>
      <w:pPr>
        <w:pStyle w:val="ListParagraph"/>
        <w:numPr>
          <w:ilvl w:val="0"/>
          <w:numId w:val="2"/>
        </w:numPr>
        <w:spacing w:after="80"/>
      </w:pPr>
      <w:r>
        <w:rPr>
          <w:rFonts w:ascii="Calibri" w:cs="Calibri" w:eastAsia="Calibri" w:hAnsi="Calibri"/>
          <w:color w:val="221F1A"/>
          <w:sz w:val="21"/>
          <w:szCs w:val="21"/>
        </w:rPr>
        <w:t xml:space="preserve">State one concrete decision or next step they intend to take before the end of term, and one person they will discuss it with (Educational).</w:t>
      </w:r>
    </w:p>
    <w:p>
      <w:pPr>
        <w:pStyle w:val="ListParagraph"/>
        <w:numPr>
          <w:ilvl w:val="0"/>
          <w:numId w:val="2"/>
        </w:numPr>
        <w:spacing w:after="80"/>
      </w:pPr>
      <w:r>
        <w:rPr>
          <w:rFonts w:ascii="Calibri" w:cs="Calibri" w:eastAsia="Calibri" w:hAnsi="Calibri"/>
          <w:color w:val="221F1A"/>
          <w:sz w:val="21"/>
          <w:szCs w:val="21"/>
        </w:rPr>
        <w:t xml:space="preserve">Name at least one subject, institution, or career example from their own Pathways to Explore section (Vocational, Educational).</w:t>
      </w:r>
    </w:p>
    <w:p>
      <w:pPr>
        <w:pStyle w:val="ListParagraph"/>
        <w:numPr>
          <w:ilvl w:val="0"/>
          <w:numId w:val="2"/>
        </w:numPr>
        <w:spacing w:after="80"/>
      </w:pPr>
      <w:r>
        <w:rPr>
          <w:rFonts w:ascii="Calibri" w:cs="Calibri" w:eastAsia="Calibri" w:hAnsi="Calibri"/>
          <w:color w:val="221F1A"/>
          <w:sz w:val="21"/>
          <w:szCs w:val="21"/>
        </w:rPr>
        <w:t xml:space="preserve">Identify one way their own working style could complement a classmate's different working style on a shared task (Social).</w:t>
      </w:r>
    </w:p>
    <w:p>
      <w:pPr>
        <w:pStyle w:val="Heading1"/>
        <w:pBdr>
          <w:bottom w:val="single" w:color="A8632C" w:sz="6" w:space="4"/>
        </w:pBdr>
        <w:spacing w:after="140" w:before="320"/>
      </w:pPr>
      <w:r>
        <w:rPr>
          <w:rFonts w:ascii="Calibri" w:cs="Calibri" w:eastAsia="Calibri" w:hAnsi="Calibri"/>
          <w:b/>
          <w:bCs/>
          <w:color w:val="7C481E"/>
          <w:sz w:val="30"/>
          <w:szCs w:val="30"/>
        </w:rPr>
        <w:t xml:space="preserve">Preparation Checklist</w:t>
      </w:r>
    </w:p>
    <w:p>
      <w:pPr>
        <w:pStyle w:val="ListParagraph"/>
        <w:numPr>
          <w:ilvl w:val="0"/>
          <w:numId w:val="2"/>
        </w:numPr>
        <w:spacing w:after="80"/>
      </w:pPr>
      <w:r>
        <w:rPr>
          <w:rFonts w:ascii="Calibri" w:cs="Calibri" w:eastAsia="Calibri" w:hAnsi="Calibri"/>
          <w:color w:val="221F1A"/>
          <w:sz w:val="21"/>
          <w:szCs w:val="21"/>
        </w:rPr>
        <w:t xml:space="preserve">Enough copies of the Pathway Orientation workbook for every learner, or a plan for shared/photocopied use.</w:t>
      </w:r>
    </w:p>
    <w:p>
      <w:pPr>
        <w:pStyle w:val="ListParagraph"/>
        <w:numPr>
          <w:ilvl w:val="0"/>
          <w:numId w:val="2"/>
        </w:numPr>
        <w:spacing w:after="80"/>
      </w:pPr>
      <w:r>
        <w:rPr>
          <w:rFonts w:ascii="Calibri" w:cs="Calibri" w:eastAsia="Calibri" w:hAnsi="Calibri"/>
          <w:color w:val="221F1A"/>
          <w:sz w:val="21"/>
          <w:szCs w:val="21"/>
        </w:rPr>
        <w:t xml:space="preserve">Pens or pencils.</w:t>
      </w:r>
    </w:p>
    <w:p>
      <w:pPr>
        <w:pStyle w:val="ListParagraph"/>
        <w:numPr>
          <w:ilvl w:val="0"/>
          <w:numId w:val="2"/>
        </w:numPr>
        <w:spacing w:after="80"/>
      </w:pPr>
      <w:r>
        <w:rPr>
          <w:rFonts w:ascii="Calibri" w:cs="Calibri" w:eastAsia="Calibri" w:hAnsi="Calibri"/>
          <w:color w:val="221F1A"/>
          <w:sz w:val="21"/>
          <w:szCs w:val="21"/>
        </w:rPr>
        <w:t xml:space="preserve">This guide, read in full, with the world-of-work notes marked up in the facilitator's own words.</w:t>
      </w:r>
    </w:p>
    <w:p>
      <w:pPr>
        <w:pStyle w:val="ListParagraph"/>
        <w:numPr>
          <w:ilvl w:val="0"/>
          <w:numId w:val="2"/>
        </w:numPr>
        <w:spacing w:after="80"/>
      </w:pPr>
      <w:r>
        <w:rPr>
          <w:rFonts w:ascii="Calibri" w:cs="Calibri" w:eastAsia="Calibri" w:hAnsi="Calibri"/>
          <w:color w:val="221F1A"/>
          <w:sz w:val="21"/>
          <w:szCs w:val="21"/>
        </w:rPr>
        <w:t xml:space="preserve">A copy of the syllabus mapping (Part One) for the facilitator's own reference, not for learners.</w:t>
      </w:r>
    </w:p>
    <w:p>
      <w:pPr>
        <w:pStyle w:val="ListParagraph"/>
        <w:numPr>
          <w:ilvl w:val="0"/>
          <w:numId w:val="2"/>
        </w:numPr>
        <w:spacing w:after="80"/>
      </w:pPr>
      <w:r>
        <w:rPr>
          <w:rFonts w:ascii="Calibri" w:cs="Calibri" w:eastAsia="Calibri" w:hAnsi="Calibri"/>
          <w:color w:val="221F1A"/>
          <w:sz w:val="21"/>
          <w:szCs w:val="21"/>
        </w:rPr>
        <w:t xml:space="preserve">Awareness of the school's normal safeguarding/referral route, in case Session 3 surfaces a learner who needs individual follow-up.</w:t>
      </w:r>
    </w:p>
    <w:p>
      <w:pPr>
        <w:pStyle w:val="Heading1"/>
        <w:pBdr>
          <w:bottom w:val="single" w:color="A8632C" w:sz="6" w:space="4"/>
        </w:pBdr>
        <w:spacing w:after="140" w:before="320"/>
      </w:pPr>
      <w:r>
        <w:rPr>
          <w:rFonts w:ascii="Calibri" w:cs="Calibri" w:eastAsia="Calibri" w:hAnsi="Calibri"/>
          <w:b/>
          <w:bCs/>
          <w:color w:val="7C481E"/>
          <w:sz w:val="30"/>
          <w:szCs w:val="30"/>
        </w:rPr>
        <w:t xml:space="preserve">Suggested Session Plan</w:t>
      </w:r>
    </w:p>
    <w:p>
      <w:pPr>
        <w:spacing w:after="120" w:before="0"/>
      </w:pPr>
      <w:r>
        <w:rPr>
          <w:rFonts w:ascii="Calibri" w:cs="Calibri" w:eastAsia="Calibri" w:hAnsi="Calibri"/>
          <w:b w:val="false"/>
          <w:bCs w:val="false"/>
          <w:i w:val="false"/>
          <w:iCs w:val="false"/>
          <w:color w:val="221F1A"/>
          <w:sz w:val="21"/>
          <w:szCs w:val="21"/>
        </w:rPr>
        <w:t xml:space="preserve">Three single periods work well. If a school only has double periods available, Sessions 1 and 2 can be combined; Session 3 stays separate, since it needs unhurried discussion time.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1400"/>
        <w:gridCol w:w="3606"/>
      </w:tblGrid>
      <w:tr>
        <w:trPr>
          <w:tblHeader/>
        </w:trPr>
        <w:tc>
          <w:tcPr>
            <w:tcW w:type="dxa" w:w="6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t>
            </w:r>
          </w:p>
        </w:tc>
        <w:tc>
          <w:tcPr>
            <w:tcW w:type="dxa" w:w="30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Session focus</w:t>
            </w:r>
          </w:p>
        </w:tc>
        <w:tc>
          <w:tcPr>
            <w:tcW w:type="dxa" w:w="15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Time</w:t>
            </w:r>
          </w:p>
        </w:tc>
        <w:tc>
          <w:tcPr>
            <w:tcW w:type="dxa" w:w="14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Domain(s)</w:t>
            </w:r>
          </w:p>
        </w:tc>
        <w:tc>
          <w:tcPr>
            <w:tcW w:type="dxa" w:w="36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What happens</w:t>
            </w:r>
          </w:p>
        </w:tc>
      </w:tr>
      <w:tr>
        <w:tc>
          <w:tcPr>
            <w:tcW w:type="dxa" w:w="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1</w:t>
            </w:r>
          </w:p>
        </w:tc>
        <w:tc>
          <w:tcPr>
            <w:tcW w:type="dxa" w:w="30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Introduction &amp; Self-Assessment</w:t>
            </w:r>
          </w:p>
        </w:tc>
        <w:tc>
          <w:tcPr>
            <w:tcW w:type="dxa" w:w="15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~40 min</w:t>
            </w:r>
          </w:p>
        </w:tc>
        <w:tc>
          <w:tcPr>
            <w:tcW w:type="dxa" w:w="14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Personal</w:t>
            </w:r>
          </w:p>
        </w:tc>
        <w:tc>
          <w:tcPr>
            <w:tcW w:type="dxa" w:w="36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Ground rules, framing, complete the 42-item questionnaire</w:t>
            </w:r>
          </w:p>
        </w:tc>
      </w:tr>
      <w:tr>
        <w:tc>
          <w:tcPr>
            <w:tcW w:type="dxa" w:w="6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2</w:t>
            </w:r>
          </w:p>
        </w:tc>
        <w:tc>
          <w:tcPr>
            <w:tcW w:type="dxa" w:w="30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Scoring &amp; Reading Your Result</w:t>
            </w:r>
          </w:p>
        </w:tc>
        <w:tc>
          <w:tcPr>
            <w:tcW w:type="dxa" w:w="15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~40 min</w:t>
            </w:r>
          </w:p>
        </w:tc>
        <w:tc>
          <w:tcPr>
            <w:tcW w:type="dxa" w:w="14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Personal</w:t>
            </w:r>
          </w:p>
        </w:tc>
        <w:tc>
          <w:tcPr>
            <w:tcW w:type="dxa" w:w="36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Self-score using the Scoring Key and Lookup Table; read own profile pages</w:t>
            </w:r>
          </w:p>
        </w:tc>
      </w:tr>
      <w:tr>
        <w:tc>
          <w:tcPr>
            <w:tcW w:type="dxa" w:w="6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3</w:t>
            </w:r>
          </w:p>
        </w:tc>
        <w:tc>
          <w:tcPr>
            <w:tcW w:type="dxa" w:w="30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World of Work, Decisions, Pathways &amp; Working Together</w:t>
            </w:r>
          </w:p>
        </w:tc>
        <w:tc>
          <w:tcPr>
            <w:tcW w:type="dxa" w:w="15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~45–85 min</w:t>
            </w:r>
          </w:p>
        </w:tc>
        <w:tc>
          <w:tcPr>
            <w:tcW w:type="dxa" w:w="14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Vocational, Educational, Social</w:t>
            </w:r>
          </w:p>
        </w:tc>
        <w:tc>
          <w:tcPr>
            <w:tcW w:type="dxa" w:w="36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Facilitator input on realities of each orientation's work; goal-setting worksheet; pathways discussion with a teamwork reflection</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Session 1: Introduction &amp; Self-Assessment</w:t>
      </w:r>
    </w:p>
    <w:p>
      <w:pPr>
        <w:pStyle w:val="Heading3"/>
        <w:spacing w:after="80" w:before="160"/>
      </w:pPr>
      <w:r>
        <w:rPr>
          <w:rFonts w:ascii="Calibri" w:cs="Calibri" w:eastAsia="Calibri" w:hAnsi="Calibri"/>
          <w:b/>
          <w:bCs/>
          <w:i/>
          <w:iCs/>
          <w:color w:val="A8632C"/>
          <w:sz w:val="20"/>
          <w:szCs w:val="20"/>
        </w:rPr>
        <w:t xml:space="preserve">PSVE area: Personal</w:t>
      </w:r>
    </w:p>
    <w:p>
      <w:pPr>
        <w:pStyle w:val="ListParagraph"/>
        <w:numPr>
          <w:ilvl w:val="0"/>
          <w:numId w:val="2"/>
        </w:numPr>
        <w:spacing w:after="80"/>
      </w:pPr>
      <w:r>
        <w:rPr>
          <w:rFonts w:ascii="Calibri" w:cs="Calibri" w:eastAsia="Calibri" w:hAnsi="Calibri"/>
          <w:color w:val="221F1A"/>
          <w:sz w:val="21"/>
          <w:szCs w:val="21"/>
        </w:rPr>
        <w:t xml:space="preserve">Welcome learners and explain, in the facilitator's own words, what this tool is and is not.</w:t>
      </w:r>
    </w:p>
    <w:p>
      <w:pPr>
        <w:pStyle w:val="ListParagraph"/>
        <w:numPr>
          <w:ilvl w:val="0"/>
          <w:numId w:val="2"/>
        </w:numPr>
        <w:spacing w:after="80"/>
      </w:pPr>
      <w:r>
        <w:rPr>
          <w:rFonts w:ascii="Calibri" w:cs="Calibri" w:eastAsia="Calibri" w:hAnsi="Calibri"/>
          <w:color w:val="221F1A"/>
          <w:sz w:val="21"/>
          <w:szCs w:val="21"/>
        </w:rPr>
        <w:t xml:space="preserve">Set ground rules: honest answers, no right or wrong answers, no need to show anyone else your answers, and sharing your result later is always optional.</w:t>
      </w:r>
    </w:p>
    <w:p>
      <w:pPr>
        <w:pStyle w:val="ListParagraph"/>
        <w:numPr>
          <w:ilvl w:val="0"/>
          <w:numId w:val="2"/>
        </w:numPr>
        <w:spacing w:after="80"/>
      </w:pPr>
      <w:r>
        <w:rPr>
          <w:rFonts w:ascii="Calibri" w:cs="Calibri" w:eastAsia="Calibri" w:hAnsi="Calibri"/>
          <w:color w:val="221F1A"/>
          <w:sz w:val="21"/>
          <w:szCs w:val="21"/>
        </w:rPr>
        <w:t xml:space="preserve">Hand out workbooks (or arrange shared use) and read the instructions and 1–5 scale together as a class.</w:t>
      </w:r>
    </w:p>
    <w:p>
      <w:pPr>
        <w:pStyle w:val="ListParagraph"/>
        <w:numPr>
          <w:ilvl w:val="0"/>
          <w:numId w:val="2"/>
        </w:numPr>
        <w:spacing w:after="80"/>
      </w:pPr>
      <w:r>
        <w:rPr>
          <w:rFonts w:ascii="Calibri" w:cs="Calibri" w:eastAsia="Calibri" w:hAnsi="Calibri"/>
          <w:color w:val="221F1A"/>
          <w:sz w:val="21"/>
          <w:szCs w:val="21"/>
        </w:rPr>
        <w:t xml:space="preserve">Let learners work through all 42 questions individually and silently. Circulate to answer procedural questions only, not to help them decide how to answer.</w:t>
      </w:r>
    </w:p>
    <w:p>
      <w:pPr>
        <w:pStyle w:val="ListParagraph"/>
        <w:numPr>
          <w:ilvl w:val="0"/>
          <w:numId w:val="2"/>
        </w:numPr>
        <w:spacing w:after="80"/>
      </w:pPr>
      <w:r>
        <w:rPr>
          <w:rFonts w:ascii="Calibri" w:cs="Calibri" w:eastAsia="Calibri" w:hAnsi="Calibri"/>
          <w:color w:val="221F1A"/>
          <w:sz w:val="21"/>
          <w:szCs w:val="21"/>
        </w:rPr>
        <w:t xml:space="preserve">Collect workbooks if reusing them, or ask learners to keep them safe until Session 2.</w:t>
      </w:r>
    </w:p>
    <w:p>
      <w:pPr>
        <w:pStyle w:val="Heading1"/>
        <w:pBdr>
          <w:bottom w:val="single" w:color="A8632C" w:sz="6" w:space="4"/>
        </w:pBdr>
        <w:spacing w:after="140" w:before="320"/>
      </w:pPr>
      <w:r>
        <w:rPr>
          <w:rFonts w:ascii="Calibri" w:cs="Calibri" w:eastAsia="Calibri" w:hAnsi="Calibri"/>
          <w:b/>
          <w:bCs/>
          <w:color w:val="7C481E"/>
          <w:sz w:val="30"/>
          <w:szCs w:val="30"/>
        </w:rPr>
        <w:t xml:space="preserve">Session 2: Scoring &amp; Reading Your Result</w:t>
      </w:r>
    </w:p>
    <w:p>
      <w:pPr>
        <w:pStyle w:val="Heading3"/>
        <w:spacing w:after="80" w:before="160"/>
      </w:pPr>
      <w:r>
        <w:rPr>
          <w:rFonts w:ascii="Calibri" w:cs="Calibri" w:eastAsia="Calibri" w:hAnsi="Calibri"/>
          <w:b/>
          <w:bCs/>
          <w:i/>
          <w:iCs/>
          <w:color w:val="A8632C"/>
          <w:sz w:val="20"/>
          <w:szCs w:val="20"/>
        </w:rPr>
        <w:t xml:space="preserve">PSVE area: Personal</w:t>
      </w:r>
    </w:p>
    <w:p>
      <w:pPr>
        <w:pStyle w:val="ListParagraph"/>
        <w:numPr>
          <w:ilvl w:val="0"/>
          <w:numId w:val="2"/>
        </w:numPr>
        <w:spacing w:after="80"/>
      </w:pPr>
      <w:r>
        <w:rPr>
          <w:rFonts w:ascii="Calibri" w:cs="Calibri" w:eastAsia="Calibri" w:hAnsi="Calibri"/>
          <w:color w:val="221F1A"/>
          <w:sz w:val="21"/>
          <w:szCs w:val="21"/>
        </w:rPr>
        <w:t xml:space="preserve">Remind learners of the Session 1 ground rules.</w:t>
      </w:r>
    </w:p>
    <w:p>
      <w:pPr>
        <w:pStyle w:val="ListParagraph"/>
        <w:numPr>
          <w:ilvl w:val="0"/>
          <w:numId w:val="2"/>
        </w:numPr>
        <w:spacing w:after="80"/>
      </w:pPr>
      <w:r>
        <w:rPr>
          <w:rFonts w:ascii="Calibri" w:cs="Calibri" w:eastAsia="Calibri" w:hAnsi="Calibri"/>
          <w:color w:val="221F1A"/>
          <w:sz w:val="21"/>
          <w:szCs w:val="21"/>
        </w:rPr>
        <w:t xml:space="preserve">Walk through the Scoring Key as a class: which question numbers belong to which orientation.</w:t>
      </w:r>
    </w:p>
    <w:p>
      <w:pPr>
        <w:pStyle w:val="ListParagraph"/>
        <w:numPr>
          <w:ilvl w:val="0"/>
          <w:numId w:val="2"/>
        </w:numPr>
        <w:spacing w:after="80"/>
      </w:pPr>
      <w:r>
        <w:rPr>
          <w:rFonts w:ascii="Calibri" w:cs="Calibri" w:eastAsia="Calibri" w:hAnsi="Calibri"/>
          <w:color w:val="221F1A"/>
          <w:sz w:val="21"/>
          <w:szCs w:val="21"/>
        </w:rPr>
        <w:t xml:space="preserve">Let learners total their own raw score per orientation, then use the Score Lookup Table to convert each to a percentage. Working in pairs to check each other's addition speeds this up.</w:t>
      </w:r>
    </w:p>
    <w:p>
      <w:pPr>
        <w:pStyle w:val="ListParagraph"/>
        <w:numPr>
          <w:ilvl w:val="0"/>
          <w:numId w:val="2"/>
        </w:numPr>
        <w:spacing w:after="80"/>
      </w:pPr>
      <w:r>
        <w:rPr>
          <w:rFonts w:ascii="Calibri" w:cs="Calibri" w:eastAsia="Calibri" w:hAnsi="Calibri"/>
          <w:color w:val="221F1A"/>
          <w:sz w:val="21"/>
          <w:szCs w:val="21"/>
        </w:rPr>
        <w:t xml:space="preserve">Once each learner has their Dominant, Secondary and Shadow orientation, let them read their own three profile pages silently.</w:t>
      </w:r>
    </w:p>
    <w:p>
      <w:pPr>
        <w:pStyle w:val="ListParagraph"/>
        <w:numPr>
          <w:ilvl w:val="0"/>
          <w:numId w:val="2"/>
        </w:numPr>
        <w:spacing w:after="80"/>
      </w:pPr>
      <w:r>
        <w:rPr>
          <w:rFonts w:ascii="Calibri" w:cs="Calibri" w:eastAsia="Calibri" w:hAnsi="Calibri"/>
          <w:color w:val="221F1A"/>
          <w:sz w:val="21"/>
          <w:szCs w:val="21"/>
        </w:rPr>
        <w:t xml:space="preserve">Close with one private, written reflection (not collected): “What is one sentence from your Dominant profile that felt true?”</w:t>
      </w:r>
    </w:p>
    <w:p>
      <w:pPr>
        <w:pStyle w:val="Heading1"/>
        <w:pBdr>
          <w:bottom w:val="single" w:color="A8632C" w:sz="6" w:space="4"/>
        </w:pBdr>
        <w:spacing w:after="140" w:before="320"/>
      </w:pPr>
      <w:r>
        <w:rPr>
          <w:rFonts w:ascii="Calibri" w:cs="Calibri" w:eastAsia="Calibri" w:hAnsi="Calibri"/>
          <w:b/>
          <w:bCs/>
          <w:color w:val="7C481E"/>
          <w:sz w:val="30"/>
          <w:szCs w:val="30"/>
        </w:rPr>
        <w:t xml:space="preserve">Session 3: World of Work, Decisions, Pathways &amp; Working Together</w:t>
      </w:r>
    </w:p>
    <w:p>
      <w:pPr>
        <w:pStyle w:val="Heading3"/>
        <w:spacing w:after="80" w:before="160"/>
      </w:pPr>
      <w:r>
        <w:rPr>
          <w:rFonts w:ascii="Calibri" w:cs="Calibri" w:eastAsia="Calibri" w:hAnsi="Calibri"/>
          <w:b/>
          <w:bCs/>
          <w:i/>
          <w:iCs/>
          <w:color w:val="A8632C"/>
          <w:sz w:val="20"/>
          <w:szCs w:val="20"/>
        </w:rPr>
        <w:t xml:space="preserve">PSVE areas: Vocational, Educational, Social</w:t>
      </w:r>
    </w:p>
    <w:p>
      <w:pPr>
        <w:spacing w:after="120" w:before="0"/>
      </w:pPr>
      <w:r>
        <w:rPr>
          <w:rFonts w:ascii="Calibri" w:cs="Calibri" w:eastAsia="Calibri" w:hAnsi="Calibri"/>
          <w:b w:val="false"/>
          <w:bCs w:val="false"/>
          <w:i w:val="false"/>
          <w:iCs w:val="false"/>
          <w:color w:val="221F1A"/>
          <w:sz w:val="21"/>
          <w:szCs w:val="21"/>
        </w:rPr>
        <w:t xml:space="preserve">The printed workbook is strongest on self-awareness (Personal) and on naming subjects/institutions (Educational). This session supplies what the work is actually like day-to-day (Vocational), explicit decision-making (Educational), and working with people whose orientation differs from your own (Social).</w:t>
      </w:r>
    </w:p>
    <w:p>
      <w:pPr>
        <w:pStyle w:val="Heading2"/>
        <w:spacing w:after="100" w:before="220"/>
      </w:pPr>
      <w:r>
        <w:rPr>
          <w:rFonts w:ascii="Calibri" w:cs="Calibri" w:eastAsia="Calibri" w:hAnsi="Calibri"/>
          <w:b/>
          <w:bCs/>
          <w:color w:val="7C481E"/>
          <w:sz w:val="24"/>
          <w:szCs w:val="24"/>
        </w:rPr>
        <w:t xml:space="preserve">World of Work (Vocational)</w:t>
      </w:r>
    </w:p>
    <w:p>
      <w:pPr>
        <w:spacing w:after="120" w:before="0"/>
      </w:pPr>
      <w:r>
        <w:rPr>
          <w:rFonts w:ascii="Calibri" w:cs="Calibri" w:eastAsia="Calibri" w:hAnsi="Calibri"/>
          <w:b w:val="false"/>
          <w:bCs w:val="false"/>
          <w:i w:val="false"/>
          <w:iCs w:val="false"/>
          <w:color w:val="221F1A"/>
          <w:sz w:val="21"/>
          <w:szCs w:val="21"/>
        </w:rPr>
        <w:t xml:space="preserve">Read or paraphrase the note for each orientation represented in the class. Keep it honest: including the less glamorous parts named below is deliberate.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000"/>
        <w:gridCol w:w="7106"/>
      </w:tblGrid>
      <w:tr>
        <w:trPr>
          <w:tblHeader/>
        </w:trPr>
        <w:tc>
          <w:tcPr>
            <w:tcW w:type="dxa" w:w="30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Orientation</w:t>
            </w:r>
          </w:p>
        </w:tc>
        <w:tc>
          <w:tcPr>
            <w:tcW w:type="dxa" w:w="71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What the work is actually like</w:t>
            </w:r>
          </w:p>
        </w:tc>
      </w:tr>
      <w:tr>
        <w:tc>
          <w:tcPr>
            <w:tcW w:type="dxa" w:w="3000"/>
            <w:shd w:fill="E8EEF3"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B5F86"/>
                <w:sz w:val="18"/>
                <w:szCs w:val="18"/>
              </w:rPr>
              <w:t xml:space="preserve">  Order Orientation</w:t>
            </w:r>
          </w:p>
        </w:tc>
        <w:tc>
          <w:tcPr>
            <w:tcW w:type="dxa" w:w="71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People with strong Order often end up in work where a small mistake matters a lot: a wrong measurement on a building, an error in an accounts book. Much of the day is quiet and methodical: checking, planning, and following procedures precisely, sometimes for months before a project is finished.</w:t>
            </w:r>
          </w:p>
        </w:tc>
      </w:tr>
      <w:tr>
        <w:tc>
          <w:tcPr>
            <w:tcW w:type="dxa" w:w="3000"/>
            <w:shd w:fill="F3E7EF"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8C3F72"/>
                <w:sz w:val="18"/>
                <w:szCs w:val="18"/>
              </w:rPr>
              <w:t xml:space="preserve">  Form Orientation</w:t>
            </w:r>
          </w:p>
        </w:tc>
        <w:tc>
          <w:tcPr>
            <w:tcW w:type="dxa" w:w="71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Creative work often means long stretches with no fixed instructions: you decide what “good” looks like yourself. Income can be irregular, especially early on, and most people in creative fields also do other paid work alongside their craft.</w:t>
            </w:r>
          </w:p>
        </w:tc>
      </w:tr>
      <w:tr>
        <w:tc>
          <w:tcPr>
            <w:tcW w:type="dxa" w:w="3000"/>
            <w:shd w:fill="E5F0ED"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2F7D6E"/>
                <w:sz w:val="18"/>
                <w:szCs w:val="18"/>
              </w:rPr>
              <w:t xml:space="preserve">  Coordination Orientation</w:t>
            </w:r>
          </w:p>
        </w:tc>
        <w:tc>
          <w:tcPr>
            <w:tcW w:type="dxa" w:w="71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This work is mostly about people, not tasks: meetings, phone calls, and sorting out clashes between what different people want. It can be tiring because your day depends on everyone else's day going to plan, which it often does not.</w:t>
            </w:r>
          </w:p>
        </w:tc>
      </w:tr>
      <w:tr>
        <w:tc>
          <w:tcPr>
            <w:tcW w:type="dxa" w:w="3000"/>
            <w:shd w:fill="FBEADB"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C1631F"/>
                <w:sz w:val="18"/>
                <w:szCs w:val="18"/>
              </w:rPr>
              <w:t xml:space="preserve">  Discovery Orientation</w:t>
            </w:r>
          </w:p>
        </w:tc>
        <w:tc>
          <w:tcPr>
            <w:tcW w:type="dxa" w:w="71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Research and exploration work is slow. Real discoveries can take years, with many failed attempts along the way. It suits someone who can stay curious and keep trying even when most experiments or investigations do not succeed.</w:t>
            </w:r>
          </w:p>
        </w:tc>
      </w:tr>
      <w:tr>
        <w:tc>
          <w:tcPr>
            <w:tcW w:type="dxa" w:w="3000"/>
            <w:shd w:fill="F3EED9"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9C7A26"/>
                <w:sz w:val="18"/>
                <w:szCs w:val="18"/>
              </w:rPr>
              <w:t xml:space="preserve">  Integration Orientation</w:t>
            </w:r>
          </w:p>
        </w:tc>
        <w:tc>
          <w:tcPr>
            <w:tcW w:type="dxa" w:w="71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Teaching, counselling and mentoring work is emotionally demanding as well as practically demanding; you carry other people's setbacks alongside your own. It is also often paid less than its importance deserves, which is worth naming honestly.</w:t>
            </w:r>
          </w:p>
        </w:tc>
      </w:tr>
      <w:tr>
        <w:tc>
          <w:tcPr>
            <w:tcW w:type="dxa" w:w="3000"/>
            <w:shd w:fill="E6EEE7"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D6B45"/>
                <w:sz w:val="18"/>
                <w:szCs w:val="18"/>
              </w:rPr>
              <w:t xml:space="preserve">  Preservation Orientation</w:t>
            </w:r>
          </w:p>
        </w:tc>
        <w:tc>
          <w:tcPr>
            <w:tcW w:type="dxa" w:w="71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This work often means being the one who says no, holds a line, or insists on doing things properly when it would be quicker not to. It can be thankless day-to-day, and is usually only noticed when something goes wrong that it prevented.</w:t>
            </w:r>
          </w:p>
        </w:tc>
      </w:tr>
      <w:tr>
        <w:tc>
          <w:tcPr>
            <w:tcW w:type="dxa" w:w="3000"/>
            <w:shd w:fill="EBE6F2"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5B4090"/>
                <w:sz w:val="18"/>
                <w:szCs w:val="18"/>
              </w:rPr>
              <w:t xml:space="preserve">  Transformation Orientation</w:t>
            </w:r>
          </w:p>
        </w:tc>
        <w:tc>
          <w:tcPr>
            <w:tcW w:type="dxa" w:w="71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Change-focused work is unstable by nature: you may need to start over more than once, and not every idea or business will succeed. Financial security often comes later than in more traditional careers, if it comes from this path at all.</w:t>
            </w:r>
          </w:p>
        </w:tc>
      </w:tr>
    </w:tbl>
    <w:p>
      <w:pPr>
        <w:pStyle w:val="Heading2"/>
        <w:spacing w:after="100" w:before="220"/>
      </w:pPr>
      <w:r>
        <w:rPr>
          <w:rFonts w:ascii="Calibri" w:cs="Calibri" w:eastAsia="Calibri" w:hAnsi="Calibri"/>
          <w:b/>
          <w:bCs/>
          <w:color w:val="7C481E"/>
          <w:sz w:val="24"/>
          <w:szCs w:val="24"/>
        </w:rPr>
        <w:t xml:space="preserve">Decision-Making Worksheet (Educational)</w:t>
      </w:r>
    </w:p>
    <w:p>
      <w:pPr>
        <w:spacing w:after="120" w:before="0"/>
      </w:pPr>
      <w:r>
        <w:rPr>
          <w:rFonts w:ascii="Calibri" w:cs="Calibri" w:eastAsia="Calibri" w:hAnsi="Calibri"/>
          <w:b w:val="false"/>
          <w:bCs w:val="false"/>
          <w:i w:val="false"/>
          <w:iCs w:val="false"/>
          <w:color w:val="221F1A"/>
          <w:sz w:val="21"/>
          <w:szCs w:val="21"/>
        </w:rPr>
        <w:t xml:space="preserve">Give each learner a few private minutes to write short answers, in their exercise book:</w:t>
      </w:r>
    </w:p>
    <w:p>
      <w:pPr>
        <w:pStyle w:val="ListParagraph"/>
        <w:numPr>
          <w:ilvl w:val="0"/>
          <w:numId w:val="2"/>
        </w:numPr>
        <w:spacing w:after="80"/>
      </w:pPr>
      <w:r>
        <w:rPr>
          <w:rFonts w:ascii="Calibri" w:cs="Calibri" w:eastAsia="Calibri" w:hAnsi="Calibri"/>
          <w:color w:val="221F1A"/>
          <w:sz w:val="21"/>
          <w:szCs w:val="21"/>
        </w:rPr>
        <w:t xml:space="preserve">My dominant orientation is ______. One thing that surprised me about my result is ______.</w:t>
      </w:r>
    </w:p>
    <w:p>
      <w:pPr>
        <w:pStyle w:val="ListParagraph"/>
        <w:numPr>
          <w:ilvl w:val="0"/>
          <w:numId w:val="2"/>
        </w:numPr>
        <w:spacing w:after="80"/>
      </w:pPr>
      <w:r>
        <w:rPr>
          <w:rFonts w:ascii="Calibri" w:cs="Calibri" w:eastAsia="Calibri" w:hAnsi="Calibri"/>
          <w:color w:val="221F1A"/>
          <w:sz w:val="21"/>
          <w:szCs w:val="21"/>
        </w:rPr>
        <w:t xml:space="preserve">One subject I will pay more attention to this term because of today is ______.</w:t>
      </w:r>
    </w:p>
    <w:p>
      <w:pPr>
        <w:pStyle w:val="ListParagraph"/>
        <w:numPr>
          <w:ilvl w:val="0"/>
          <w:numId w:val="2"/>
        </w:numPr>
        <w:spacing w:after="80"/>
      </w:pPr>
      <w:r>
        <w:rPr>
          <w:rFonts w:ascii="Calibri" w:cs="Calibri" w:eastAsia="Calibri" w:hAnsi="Calibri"/>
          <w:color w:val="221F1A"/>
          <w:sz w:val="21"/>
          <w:szCs w:val="21"/>
        </w:rPr>
        <w:t xml:space="preserve">One career or field from my Pathways to Explore that I want to find out more about is ______.</w:t>
      </w:r>
    </w:p>
    <w:p>
      <w:pPr>
        <w:pStyle w:val="ListParagraph"/>
        <w:numPr>
          <w:ilvl w:val="0"/>
          <w:numId w:val="2"/>
        </w:numPr>
        <w:spacing w:after="80"/>
      </w:pPr>
      <w:r>
        <w:rPr>
          <w:rFonts w:ascii="Calibri" w:cs="Calibri" w:eastAsia="Calibri" w:hAnsi="Calibri"/>
          <w:color w:val="221F1A"/>
          <w:sz w:val="21"/>
          <w:szCs w:val="21"/>
        </w:rPr>
        <w:t xml:space="preserve">One person I will talk to about this before the end of term is ______.</w:t>
      </w:r>
    </w:p>
    <w:p>
      <w:pPr>
        <w:pStyle w:val="ListParagraph"/>
        <w:numPr>
          <w:ilvl w:val="0"/>
          <w:numId w:val="2"/>
        </w:numPr>
        <w:spacing w:after="80"/>
      </w:pPr>
      <w:r>
        <w:rPr>
          <w:rFonts w:ascii="Calibri" w:cs="Calibri" w:eastAsia="Calibri" w:hAnsi="Calibri"/>
          <w:color w:val="221F1A"/>
          <w:sz w:val="21"/>
          <w:szCs w:val="21"/>
        </w:rPr>
        <w:t xml:space="preserve">One thing that could get in the way of this plan, and what I will do about it, is ______.</w:t>
      </w:r>
    </w:p>
    <w:p>
      <w:pPr>
        <w:pStyle w:val="Heading2"/>
        <w:spacing w:after="100" w:before="220"/>
      </w:pPr>
      <w:r>
        <w:rPr>
          <w:rFonts w:ascii="Calibri" w:cs="Calibri" w:eastAsia="Calibri" w:hAnsi="Calibri"/>
          <w:b/>
          <w:bCs/>
          <w:color w:val="7C481E"/>
          <w:sz w:val="24"/>
          <w:szCs w:val="24"/>
        </w:rPr>
        <w:t xml:space="preserve">Pathways Discussion &amp; Working Together (Educational, Vocational, Social)</w:t>
      </w:r>
    </w:p>
    <w:p>
      <w:pPr>
        <w:spacing w:after="120" w:before="0"/>
      </w:pPr>
      <w:r>
        <w:rPr>
          <w:rFonts w:ascii="Calibri" w:cs="Calibri" w:eastAsia="Calibri" w:hAnsi="Calibri"/>
          <w:b w:val="false"/>
          <w:bCs w:val="false"/>
          <w:i w:val="false"/>
          <w:iCs w:val="false"/>
          <w:color w:val="221F1A"/>
          <w:sz w:val="21"/>
          <w:szCs w:val="21"/>
        </w:rPr>
        <w:t xml:space="preserve">In small groups (mixed dominant orientations work best), learners share one item each from their own Pathways to Explore section (a subject, institution, or career example) and why it appealed to them.</w:t>
      </w:r>
    </w:p>
    <w:p>
      <w:pPr>
        <w:spacing w:after="120" w:before="0"/>
      </w:pPr>
      <w:r>
        <w:rPr>
          <w:rFonts w:ascii="Calibri" w:cs="Calibri" w:eastAsia="Calibri" w:hAnsi="Calibri"/>
          <w:b w:val="false"/>
          <w:bCs w:val="false"/>
          <w:i w:val="false"/>
          <w:iCs w:val="false"/>
          <w:color w:val="221F1A"/>
          <w:sz w:val="21"/>
          <w:szCs w:val="21"/>
        </w:rPr>
        <w:t xml:space="preserve">The facilitator then poses this question to each group: “Imagine your group has been given one shared class project. Looking at each person's dominant orientation, what would each of you naturally be good at contributing? Is there an orientation missing from your group, and how could you cover for that gap together?” Groups get 5–8 minutes to discuss, then one or two groups share one insight with the whole class.</w:t>
      </w:r>
    </w:p>
    <w:p>
      <w:pPr>
        <w:spacing w:after="120" w:before="0"/>
      </w:pPr>
      <w:r>
        <w:rPr>
          <w:rFonts w:ascii="Calibri" w:cs="Calibri" w:eastAsia="Calibri" w:hAnsi="Calibri"/>
          <w:b w:val="false"/>
          <w:bCs w:val="false"/>
          <w:i w:val="false"/>
          <w:iCs w:val="false"/>
          <w:color w:val="221F1A"/>
          <w:sz w:val="21"/>
          <w:szCs w:val="21"/>
        </w:rPr>
        <w:t xml:space="preserve">Close with a whole-class round of one word each learner is taking away from today.</w:t>
      </w:r>
    </w:p>
    <w:p>
      <w:pPr>
        <w:pStyle w:val="Heading1"/>
        <w:pBdr>
          <w:bottom w:val="single" w:color="A8632C" w:sz="6" w:space="4"/>
        </w:pBdr>
        <w:spacing w:after="140" w:before="320"/>
      </w:pPr>
      <w:r>
        <w:rPr>
          <w:rFonts w:ascii="Calibri" w:cs="Calibri" w:eastAsia="Calibri" w:hAnsi="Calibri"/>
          <w:b/>
          <w:bCs/>
          <w:color w:val="7C481E"/>
          <w:sz w:val="30"/>
          <w:szCs w:val="30"/>
        </w:rPr>
        <w:t xml:space="preserve">Adaptations for Resource-Constrained Settings</w:t>
      </w:r>
    </w:p>
    <w:p>
      <w:pPr>
        <w:pStyle w:val="ListParagraph"/>
        <w:numPr>
          <w:ilvl w:val="0"/>
          <w:numId w:val="2"/>
        </w:numPr>
        <w:spacing w:after="80"/>
      </w:pPr>
      <w:r>
        <w:rPr>
          <w:rFonts w:ascii="Calibri" w:cs="Calibri" w:eastAsia="Calibri" w:hAnsi="Calibri"/>
          <w:color w:val="221F1A"/>
          <w:sz w:val="21"/>
          <w:szCs w:val="21"/>
        </w:rPr>
        <w:t xml:space="preserve">Not enough printed workbooks: learners copy the 1–5 scale and question numbers into an exercise book and mark their answers there instead of on the tick-box grid.</w:t>
      </w:r>
    </w:p>
    <w:p>
      <w:pPr>
        <w:pStyle w:val="ListParagraph"/>
        <w:numPr>
          <w:ilvl w:val="0"/>
          <w:numId w:val="2"/>
        </w:numPr>
        <w:spacing w:after="80"/>
      </w:pPr>
      <w:r>
        <w:rPr>
          <w:rFonts w:ascii="Calibri" w:cs="Calibri" w:eastAsia="Calibri" w:hAnsi="Calibri"/>
          <w:color w:val="221F1A"/>
          <w:sz w:val="21"/>
          <w:szCs w:val="21"/>
        </w:rPr>
        <w:t xml:space="preserve">No photocopier: read questions aloud to the whole class, with learners marking privately on a numbered sheet at their own pace.</w:t>
      </w:r>
    </w:p>
    <w:p>
      <w:pPr>
        <w:pStyle w:val="ListParagraph"/>
        <w:numPr>
          <w:ilvl w:val="0"/>
          <w:numId w:val="2"/>
        </w:numPr>
        <w:spacing w:after="80"/>
      </w:pPr>
      <w:r>
        <w:rPr>
          <w:rFonts w:ascii="Calibri" w:cs="Calibri" w:eastAsia="Calibri" w:hAnsi="Calibri"/>
          <w:color w:val="221F1A"/>
          <w:sz w:val="21"/>
          <w:szCs w:val="21"/>
        </w:rPr>
        <w:t xml:space="preserve">Large classes: learners self-score in pairs during Session 2 to keep the Scoring Key and Lookup Table step moving.</w:t>
      </w:r>
    </w:p>
    <w:p>
      <w:pPr>
        <w:pStyle w:val="ListParagraph"/>
        <w:numPr>
          <w:ilvl w:val="0"/>
          <w:numId w:val="2"/>
        </w:numPr>
        <w:spacing w:after="80"/>
      </w:pPr>
      <w:r>
        <w:rPr>
          <w:rFonts w:ascii="Calibri" w:cs="Calibri" w:eastAsia="Calibri" w:hAnsi="Calibri"/>
          <w:color w:val="221F1A"/>
          <w:sz w:val="21"/>
          <w:szCs w:val="21"/>
        </w:rPr>
        <w:t xml:space="preserve">No computers or internet are needed at any point: the workbook and this guide are both designed to work entirely on paper.</w:t>
      </w:r>
    </w:p>
    <w:p>
      <w:pPr>
        <w:pStyle w:val="Heading1"/>
        <w:pBdr>
          <w:bottom w:val="single" w:color="A8632C" w:sz="6" w:space="4"/>
        </w:pBdr>
        <w:spacing w:after="140" w:before="320"/>
      </w:pPr>
      <w:r>
        <w:rPr>
          <w:rFonts w:ascii="Calibri" w:cs="Calibri" w:eastAsia="Calibri" w:hAnsi="Calibri"/>
          <w:b/>
          <w:bCs/>
          <w:color w:val="7C481E"/>
          <w:sz w:val="30"/>
          <w:szCs w:val="30"/>
        </w:rPr>
        <w:t xml:space="preserve">Handling Sensitive Moments and Common Questions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200"/>
        <w:gridCol w:w="5906"/>
      </w:tblGrid>
      <w:tr>
        <w:trPr>
          <w:tblHeader/>
        </w:trPr>
        <w:tc>
          <w:tcPr>
            <w:tcW w:type="dxa" w:w="42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Situation</w:t>
            </w:r>
          </w:p>
        </w:tc>
        <w:tc>
          <w:tcPr>
            <w:tcW w:type="dxa" w:w="59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What to do</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A student's result doesn't match what their parents or guardians want them to study.</w:t>
            </w:r>
          </w:p>
        </w:tc>
        <w:tc>
          <w:tcPr>
            <w:tcW w:type="dxa" w:w="59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Do not treat the workbook as overriding family input. Acknowledge both: “Your result is one useful piece of information about yourself; it sits alongside what your family wants for you and what the school advises, not above them.” Offer to help the student prepare for that conversation at home rather than have it for them.</w:t>
            </w:r>
          </w:p>
        </w:tc>
      </w:tr>
      <w:tr>
        <w:tc>
          <w:tcPr>
            <w:tcW w:type="dxa" w:w="42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A student is upset or defensive about their Shadow orientation.</w:t>
            </w:r>
          </w:p>
        </w:tc>
        <w:tc>
          <w:tcPr>
            <w:tcW w:type="dxa" w:w="59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Reassure them immediately: Shadow means quietest right now, not broken, and everyone has one. Redirect attention to their Dominant and Secondary strengths. If distress continues beyond the session, refer to the school counsellor for follow-up unrelated to this activity.</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A student refuses to share their result with the class.</w:t>
            </w:r>
          </w:p>
        </w:tc>
        <w:tc>
          <w:tcPr>
            <w:tcW w:type="dxa" w:w="59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That is always their right. Completing the workbook can be a required class activity; sharing the result out loud must always stay voluntary.</w:t>
            </w:r>
          </w:p>
        </w:tc>
      </w:tr>
      <w:tr>
        <w:tc>
          <w:tcPr>
            <w:tcW w:type="dxa" w:w="42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A student asks if this is a “real” personality test.</w:t>
            </w:r>
          </w:p>
        </w:tc>
        <w:tc>
          <w:tcPr>
            <w:tcW w:type="dxa" w:w="59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Be direct: no. It is a structured self-reflection tool for discussion, not a scientifically validated psychometric instrument. Treat it as a conversation-starter, not a verdict.</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A school wants to use results to assign subject combinations or streams.</w:t>
            </w:r>
          </w:p>
        </w:tc>
        <w:tc>
          <w:tcPr>
            <w:tcW w:type="dxa" w:w="59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Do not do this. The workbook must never be used to administratively place, restrict, or stream students. It is an input into a conversation the student has with a trusted adult, not a placement test.</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Follow-Up and Referral</w:t>
      </w:r>
    </w:p>
    <w:p>
      <w:pPr>
        <w:spacing w:after="120" w:before="0"/>
      </w:pPr>
      <w:r>
        <w:rPr>
          <w:rFonts w:ascii="Calibri" w:cs="Calibri" w:eastAsia="Calibri" w:hAnsi="Calibri"/>
          <w:b w:val="false"/>
          <w:bCs w:val="false"/>
          <w:i w:val="false"/>
          <w:iCs w:val="false"/>
          <w:color w:val="221F1A"/>
          <w:sz w:val="21"/>
          <w:szCs w:val="21"/>
        </w:rPr>
        <w:t xml:space="preserve">This activity is a career-guidance conversation-starter, not a counselling intervention. Where a learner needs support beyond that scope, the facilitator uses the school's normal referral route:</w:t>
      </w:r>
    </w:p>
    <w:p>
      <w:pPr>
        <w:pStyle w:val="ListParagraph"/>
        <w:numPr>
          <w:ilvl w:val="0"/>
          <w:numId w:val="2"/>
        </w:numPr>
        <w:spacing w:after="80"/>
      </w:pPr>
      <w:r>
        <w:rPr>
          <w:rFonts w:ascii="Calibri" w:cs="Calibri" w:eastAsia="Calibri" w:hAnsi="Calibri"/>
          <w:color w:val="221F1A"/>
          <w:sz w:val="21"/>
          <w:szCs w:val="21"/>
        </w:rPr>
        <w:t xml:space="preserve">Emotional or personal distress unrelated to careers: refer to the school counsellor as normal.</w:t>
      </w:r>
    </w:p>
    <w:p>
      <w:pPr>
        <w:pStyle w:val="ListParagraph"/>
        <w:numPr>
          <w:ilvl w:val="0"/>
          <w:numId w:val="2"/>
        </w:numPr>
        <w:spacing w:after="80"/>
      </w:pPr>
      <w:r>
        <w:rPr>
          <w:rFonts w:ascii="Calibri" w:cs="Calibri" w:eastAsia="Calibri" w:hAnsi="Calibri"/>
          <w:color w:val="221F1A"/>
          <w:sz w:val="21"/>
          <w:szCs w:val="21"/>
        </w:rPr>
        <w:t xml:space="preserve">Subject-specific questions: refer to the relevant subject teacher (e.g. a learner interested in Additional Mathematics pathways speaks to the Mathematics department).</w:t>
      </w:r>
    </w:p>
    <w:p>
      <w:pPr>
        <w:pStyle w:val="ListParagraph"/>
        <w:numPr>
          <w:ilvl w:val="0"/>
          <w:numId w:val="2"/>
        </w:numPr>
        <w:spacing w:after="80"/>
      </w:pPr>
      <w:r>
        <w:rPr>
          <w:rFonts w:ascii="Calibri" w:cs="Calibri" w:eastAsia="Calibri" w:hAnsi="Calibri"/>
          <w:color w:val="221F1A"/>
          <w:sz w:val="21"/>
          <w:szCs w:val="21"/>
        </w:rPr>
        <w:t xml:space="preserve">Family disagreement about subject or career choice: offer to help the learner prepare for that conversation, or be present for it if the family and learner both want that.</w:t>
      </w:r>
    </w:p>
    <w:p>
      <w:pPr>
        <w:pStyle w:val="ListParagraph"/>
        <w:numPr>
          <w:ilvl w:val="0"/>
          <w:numId w:val="2"/>
        </w:numPr>
        <w:spacing w:after="80"/>
      </w:pPr>
      <w:r>
        <w:rPr>
          <w:rFonts w:ascii="Calibri" w:cs="Calibri" w:eastAsia="Calibri" w:hAnsi="Calibri"/>
          <w:color w:val="221F1A"/>
          <w:sz w:val="21"/>
          <w:szCs w:val="21"/>
        </w:rPr>
        <w:t xml:space="preserve">Wanting to know more about a specific institution: direct learners to that institution's own admissions office, since entry requirements change.</w:t>
      </w:r>
    </w:p>
    <w:p>
      <w:pPr>
        <w:pStyle w:val="Heading1"/>
        <w:pBdr>
          <w:bottom w:val="single" w:color="A8632C" w:sz="6" w:space="4"/>
        </w:pBdr>
        <w:spacing w:after="140" w:before="320"/>
      </w:pPr>
      <w:r>
        <w:rPr>
          <w:rFonts w:ascii="Calibri" w:cs="Calibri" w:eastAsia="Calibri" w:hAnsi="Calibri"/>
          <w:b/>
          <w:bCs/>
          <w:color w:val="7C481E"/>
          <w:sz w:val="30"/>
          <w:szCs w:val="30"/>
        </w:rPr>
        <w:t xml:space="preserve">Quick Reference: The Seven Orientations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600"/>
        <w:gridCol w:w="6506"/>
      </w:tblGrid>
      <w:tr>
        <w:trPr>
          <w:tblHeader/>
        </w:trPr>
        <w:tc>
          <w:tcPr>
            <w:tcW w:type="dxa" w:w="36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Orientation</w:t>
            </w:r>
          </w:p>
        </w:tc>
        <w:tc>
          <w:tcPr>
            <w:tcW w:type="dxa" w:w="65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In one line</w:t>
            </w:r>
          </w:p>
        </w:tc>
      </w:tr>
      <w:tr>
        <w:tc>
          <w:tcPr>
            <w:tcW w:type="dxa" w:w="3600"/>
            <w:shd w:fill="E8EEF3"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B5F86"/>
                <w:sz w:val="18"/>
                <w:szCs w:val="18"/>
              </w:rPr>
              <w:t xml:space="preserve">  Order Orientation</w:t>
            </w:r>
          </w:p>
          <w:p>
            <w:r>
              <w:rPr>
                <w:rFonts w:ascii="Calibri" w:cs="Calibri" w:eastAsia="Calibri" w:hAnsi="Calibri"/>
                <w:i/>
                <w:iCs/>
                <w:color w:val="6E6858"/>
                <w:sz w:val="16"/>
                <w:szCs w:val="16"/>
              </w:rPr>
              <w:t xml:space="preserve">The Builder</w:t>
            </w:r>
          </w:p>
        </w:tc>
        <w:tc>
          <w:tcPr>
            <w:tcW w:type="dxa" w:w="6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You find peace and purpose in structure, planning and building things that last.</w:t>
            </w:r>
          </w:p>
        </w:tc>
      </w:tr>
      <w:tr>
        <w:tc>
          <w:tcPr>
            <w:tcW w:type="dxa" w:w="3600"/>
            <w:shd w:fill="F3E7EF"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8C3F72"/>
                <w:sz w:val="18"/>
                <w:szCs w:val="18"/>
              </w:rPr>
              <w:t xml:space="preserve">  Form Orientation</w:t>
            </w:r>
          </w:p>
          <w:p>
            <w:r>
              <w:rPr>
                <w:rFonts w:ascii="Calibri" w:cs="Calibri" w:eastAsia="Calibri" w:hAnsi="Calibri"/>
                <w:i/>
                <w:iCs/>
                <w:color w:val="6E6858"/>
                <w:sz w:val="16"/>
                <w:szCs w:val="16"/>
              </w:rPr>
              <w:t xml:space="preserve">The Creator</w:t>
            </w:r>
          </w:p>
        </w:tc>
        <w:tc>
          <w:tcPr>
            <w:tcW w:type="dxa" w:w="6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You find meaning in imagining new things and giving them shape through art, words, sound or design.</w:t>
            </w:r>
          </w:p>
        </w:tc>
      </w:tr>
      <w:tr>
        <w:tc>
          <w:tcPr>
            <w:tcW w:type="dxa" w:w="3600"/>
            <w:shd w:fill="E5F0ED"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2F7D6E"/>
                <w:sz w:val="18"/>
                <w:szCs w:val="18"/>
              </w:rPr>
              <w:t xml:space="preserve">  Coordination Orientation</w:t>
            </w:r>
          </w:p>
          <w:p>
            <w:r>
              <w:rPr>
                <w:rFonts w:ascii="Calibri" w:cs="Calibri" w:eastAsia="Calibri" w:hAnsi="Calibri"/>
                <w:i/>
                <w:iCs/>
                <w:color w:val="6E6858"/>
                <w:sz w:val="16"/>
                <w:szCs w:val="16"/>
              </w:rPr>
              <w:t xml:space="preserve">The Orchestrator</w:t>
            </w:r>
          </w:p>
        </w:tc>
        <w:tc>
          <w:tcPr>
            <w:tcW w:type="dxa" w:w="6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You find satisfaction in bringing different people, ideas or tasks together so that they work as one.</w:t>
            </w:r>
          </w:p>
        </w:tc>
      </w:tr>
      <w:tr>
        <w:tc>
          <w:tcPr>
            <w:tcW w:type="dxa" w:w="3600"/>
            <w:shd w:fill="FBEADB"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C1631F"/>
                <w:sz w:val="18"/>
                <w:szCs w:val="18"/>
              </w:rPr>
              <w:t xml:space="preserve">  Discovery Orientation</w:t>
            </w:r>
          </w:p>
          <w:p>
            <w:r>
              <w:rPr>
                <w:rFonts w:ascii="Calibri" w:cs="Calibri" w:eastAsia="Calibri" w:hAnsi="Calibri"/>
                <w:i/>
                <w:iCs/>
                <w:color w:val="6E6858"/>
                <w:sz w:val="16"/>
                <w:szCs w:val="16"/>
              </w:rPr>
              <w:t xml:space="preserve">The Explorer</w:t>
            </w:r>
          </w:p>
        </w:tc>
        <w:tc>
          <w:tcPr>
            <w:tcW w:type="dxa" w:w="6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You find meaning in asking questions, trying new things and finding out how the world works.</w:t>
            </w:r>
          </w:p>
        </w:tc>
      </w:tr>
      <w:tr>
        <w:tc>
          <w:tcPr>
            <w:tcW w:type="dxa" w:w="3600"/>
            <w:shd w:fill="F3EED9"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9C7A26"/>
                <w:sz w:val="18"/>
                <w:szCs w:val="18"/>
              </w:rPr>
              <w:t xml:space="preserve">  Integration Orientation</w:t>
            </w:r>
          </w:p>
          <w:p>
            <w:r>
              <w:rPr>
                <w:rFonts w:ascii="Calibri" w:cs="Calibri" w:eastAsia="Calibri" w:hAnsi="Calibri"/>
                <w:i/>
                <w:iCs/>
                <w:color w:val="6E6858"/>
                <w:sz w:val="16"/>
                <w:szCs w:val="16"/>
              </w:rPr>
              <w:t xml:space="preserve">The Guide</w:t>
            </w:r>
          </w:p>
        </w:tc>
        <w:tc>
          <w:tcPr>
            <w:tcW w:type="dxa" w:w="6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You find meaning in helping other people understand themselves and grow into their potential.</w:t>
            </w:r>
          </w:p>
        </w:tc>
      </w:tr>
      <w:tr>
        <w:tc>
          <w:tcPr>
            <w:tcW w:type="dxa" w:w="3600"/>
            <w:shd w:fill="E6EEE7"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3D6B45"/>
                <w:sz w:val="18"/>
                <w:szCs w:val="18"/>
              </w:rPr>
              <w:t xml:space="preserve">  Preservation Orientation</w:t>
            </w:r>
          </w:p>
          <w:p>
            <w:r>
              <w:rPr>
                <w:rFonts w:ascii="Calibri" w:cs="Calibri" w:eastAsia="Calibri" w:hAnsi="Calibri"/>
                <w:i/>
                <w:iCs/>
                <w:color w:val="6E6858"/>
                <w:sz w:val="16"/>
                <w:szCs w:val="16"/>
              </w:rPr>
              <w:t xml:space="preserve">The Guardian</w:t>
            </w:r>
          </w:p>
        </w:tc>
        <w:tc>
          <w:tcPr>
            <w:tcW w:type="dxa" w:w="6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You find meaning in protecting, maintaining and caring for what already has value.</w:t>
            </w:r>
          </w:p>
        </w:tc>
      </w:tr>
      <w:tr>
        <w:tc>
          <w:tcPr>
            <w:tcW w:type="dxa" w:w="3600"/>
            <w:shd w:fill="EBE6F2" w:color="auto" w:val="clear"/>
            <w:tcMar>
              <w:top w:type="dxa" w:w="90"/>
              <w:left w:type="dxa" w:w="110"/>
              <w:bottom w:type="dxa" w:w="90"/>
              <w:right w:type="dxa" w:w="110"/>
            </w:tcMar>
            <w:vAlign w:val="center"/>
          </w:tcPr>
          <w:p>
            <w:pPr>
              <w:spacing w:after="2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Calibri" w:cs="Calibri" w:eastAsia="Calibri" w:hAnsi="Calibri"/>
                <w:b/>
                <w:bCs/>
                <w:color w:val="5B4090"/>
                <w:sz w:val="18"/>
                <w:szCs w:val="18"/>
              </w:rPr>
              <w:t xml:space="preserve">  Transformation Orientation</w:t>
            </w:r>
          </w:p>
          <w:p>
            <w:r>
              <w:rPr>
                <w:rFonts w:ascii="Calibri" w:cs="Calibri" w:eastAsia="Calibri" w:hAnsi="Calibri"/>
                <w:i/>
                <w:iCs/>
                <w:color w:val="6E6858"/>
                <w:sz w:val="16"/>
                <w:szCs w:val="16"/>
              </w:rPr>
              <w:t xml:space="preserve">The Transmuter</w:t>
            </w:r>
          </w:p>
        </w:tc>
        <w:tc>
          <w:tcPr>
            <w:tcW w:type="dxa" w:w="6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You find meaning in turning difficulty into strength and in changing things that no longer work.</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Completion Record</w:t>
      </w:r>
    </w:p>
    <w:p>
      <w:pPr>
        <w:spacing w:after="120" w:before="0"/>
      </w:pPr>
      <w:r>
        <w:rPr>
          <w:rFonts w:ascii="Calibri" w:cs="Calibri" w:eastAsia="Calibri" w:hAnsi="Calibri"/>
          <w:b w:val="false"/>
          <w:bCs w:val="false"/>
          <w:i w:val="false"/>
          <w:iCs w:val="false"/>
          <w:color w:val="221F1A"/>
          <w:sz w:val="21"/>
          <w:szCs w:val="21"/>
        </w:rPr>
        <w:t xml:space="preserve">Used only to track who has completed the activity; never to record a learner's Dominant/Secondary/Shadow result. Personal results belong to the learner.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506"/>
      </w:tblGrid>
      <w:tr>
        <w:trPr>
          <w:tblHeader/>
        </w:trPr>
        <w:tc>
          <w:tcPr>
            <w:tcW w:type="dxa" w:w="32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Learner name</w:t>
            </w:r>
          </w:p>
        </w:tc>
        <w:tc>
          <w:tcPr>
            <w:tcW w:type="dxa" w:w="22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Date completed</w:t>
            </w:r>
          </w:p>
        </w:tc>
        <w:tc>
          <w:tcPr>
            <w:tcW w:type="dxa" w:w="22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Sessions 1–3 done?</w:t>
            </w:r>
          </w:p>
        </w:tc>
        <w:tc>
          <w:tcPr>
            <w:tcW w:type="dxa" w:w="25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Facilitator notes</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bl>
    <w:p>
      <w:r>
        <w:br w:type="page"/>
      </w:r>
    </w:p>
    <w:tbl>
      <w:tblPr>
        <w:tblW w:type="dxa" w:w="10106"/>
        <w:tblBorders>
          <w:top w:val="none"/>
          <w:left w:val="none"/>
          <w:bottom w:val="none"/>
          <w:right w:val="none"/>
          <w:insideH w:val="single" w:color="auto" w:sz="4"/>
          <w:insideV w:val="single" w:color="auto" w:sz="4"/>
        </w:tblBorders>
      </w:tblPr>
      <w:tblGrid>
        <w:gridCol w:w="10106"/>
      </w:tblGrid>
      <w:tr>
        <w:tc>
          <w:tcPr>
            <w:tcW w:type="dxa" w:w="10106"/>
            <w:shd w:fill="A8632C" w:color="auto" w:val="clear"/>
            <w:tcMar>
              <w:top w:type="dxa" w:w="360"/>
              <w:left w:type="dxa" w:w="280"/>
              <w:bottom w:type="dxa" w:w="360"/>
              <w:right w:type="dxa" w:w="280"/>
            </w:tcMar>
          </w:tcPr>
          <w:p>
            <w:pPr>
              <w:spacing w:after="60"/>
            </w:pPr>
            <w:r>
              <w:rPr>
                <w:rFonts w:ascii="Calibri" w:cs="Calibri" w:eastAsia="Calibri" w:hAnsi="Calibri"/>
                <w:b/>
                <w:bCs/>
                <w:color w:val="F3E3CE"/>
                <w:spacing w:val="30"/>
                <w:sz w:val="18"/>
                <w:szCs w:val="18"/>
              </w:rPr>
              <w:t xml:space="preserve">PART THREE</w:t>
            </w:r>
          </w:p>
          <w:p>
            <w:pPr>
              <w:spacing w:after="100"/>
            </w:pPr>
            <w:r>
              <w:rPr>
                <w:rFonts w:ascii="Calibri" w:cs="Calibri" w:eastAsia="Calibri" w:hAnsi="Calibri"/>
                <w:b/>
                <w:bCs/>
                <w:color w:val="FFFFFF"/>
                <w:sz w:val="36"/>
                <w:szCs w:val="36"/>
              </w:rPr>
              <w:t xml:space="preserve">Pilot Plan &amp; Feedback Toolkit</w:t>
            </w:r>
          </w:p>
          <w:p>
            <w:r>
              <w:rPr>
                <w:rFonts w:ascii="Calibri" w:cs="Calibri" w:eastAsia="Calibri" w:hAnsi="Calibri"/>
                <w:i/>
                <w:iCs/>
                <w:color w:val="F6E9D8"/>
                <w:sz w:val="20"/>
                <w:szCs w:val="20"/>
              </w:rPr>
              <w:t xml:space="preserve">Testing the material with real Form 3/4 learners before rollout</w:t>
            </w:r>
          </w:p>
        </w:tc>
      </w:tr>
    </w:tbl>
    <w:p>
      <w:pPr>
        <w:spacing w:after="60" w:before="0"/>
      </w:pPr>
      <w:r>
        <w:rPr>
          <w:rFonts w:ascii="Calibri" w:cs="Calibri" w:eastAsia="Calibri" w:hAnsi="Calibri"/>
          <w:b w:val="false"/>
          <w:bCs w:val="false"/>
          <w:i w:val="false"/>
          <w:iCs w:val="false"/>
          <w:color w:val="221F1A"/>
          <w:sz w:val="21"/>
          <w:szCs w:val="21"/>
        </w:rPr>
        <w:t xml:space="preserve"> </w:t>
      </w:r>
    </w:p>
    <w:p>
      <w:pPr>
        <w:spacing w:after="120" w:before="0"/>
      </w:pPr>
      <w:r>
        <w:rPr>
          <w:rFonts w:ascii="Calibri" w:cs="Calibri" w:eastAsia="Calibri" w:hAnsi="Calibri"/>
          <w:b w:val="false"/>
          <w:bCs w:val="false"/>
          <w:i w:val="false"/>
          <w:iCs w:val="false"/>
          <w:color w:val="221F1A"/>
          <w:sz w:val="21"/>
          <w:szCs w:val="21"/>
        </w:rPr>
        <w:t xml:space="preserve">This toolkit plans and records a real-classroom pilot of the material set out in Parts One and Two, and produces the evidence attached to the CDC submission package.</w:t>
      </w:r>
    </w:p>
    <w:p>
      <w:pPr>
        <w:pStyle w:val="Heading1"/>
        <w:pBdr>
          <w:bottom w:val="single" w:color="A8632C" w:sz="6" w:space="4"/>
        </w:pBdr>
        <w:spacing w:after="140" w:before="320"/>
      </w:pPr>
      <w:r>
        <w:rPr>
          <w:rFonts w:ascii="Calibri" w:cs="Calibri" w:eastAsia="Calibri" w:hAnsi="Calibri"/>
          <w:b/>
          <w:bCs/>
          <w:color w:val="7C481E"/>
          <w:sz w:val="30"/>
          <w:szCs w:val="30"/>
        </w:rPr>
        <w:t xml:space="preserve">Why Pilot This First</w:t>
      </w:r>
    </w:p>
    <w:p>
      <w:pPr>
        <w:spacing w:after="120" w:before="0"/>
      </w:pPr>
      <w:r>
        <w:rPr>
          <w:rFonts w:ascii="Calibri" w:cs="Calibri" w:eastAsia="Calibri" w:hAnsi="Calibri"/>
          <w:b w:val="false"/>
          <w:bCs w:val="false"/>
          <w:i w:val="false"/>
          <w:iCs w:val="false"/>
          <w:color w:val="221F1A"/>
          <w:sz w:val="21"/>
          <w:szCs w:val="21"/>
        </w:rPr>
        <w:t xml:space="preserve">A pilot turns careful design into evidence: real Form 3/4 learners working through the material, with the timing, wording and facilitation checked against what actually happens in a classroom, not only against the plan on paper. This toolkit exists so that the pilot produces useful, honest evidence rather than an unstructured impression.</w:t>
      </w:r>
    </w:p>
    <w:p>
      <w:pPr>
        <w:pStyle w:val="Heading1"/>
        <w:pBdr>
          <w:bottom w:val="single" w:color="A8632C" w:sz="6" w:space="4"/>
        </w:pBdr>
        <w:spacing w:after="140" w:before="320"/>
      </w:pPr>
      <w:r>
        <w:rPr>
          <w:rFonts w:ascii="Calibri" w:cs="Calibri" w:eastAsia="Calibri" w:hAnsi="Calibri"/>
          <w:b/>
          <w:bCs/>
          <w:color w:val="7C481E"/>
          <w:sz w:val="30"/>
          <w:szCs w:val="30"/>
        </w:rPr>
        <w:t xml:space="preserve">Before You Begin: Permissions and Ethics</w:t>
      </w:r>
    </w:p>
    <w:p>
      <w:pPr>
        <w:pStyle w:val="ListParagraph"/>
        <w:numPr>
          <w:ilvl w:val="0"/>
          <w:numId w:val="2"/>
        </w:numPr>
        <w:spacing w:after="80"/>
      </w:pPr>
      <w:r>
        <w:rPr>
          <w:rFonts w:ascii="Calibri" w:cs="Calibri" w:eastAsia="Calibri" w:hAnsi="Calibri"/>
          <w:color w:val="221F1A"/>
          <w:sz w:val="21"/>
          <w:szCs w:val="21"/>
        </w:rPr>
        <w:t xml:space="preserve">Get written authorisation from the school's Head Teacher before running any session; the material has not yet received CDC endorsement at the point of piloting.</w:t>
      </w:r>
    </w:p>
    <w:p>
      <w:pPr>
        <w:pStyle w:val="ListParagraph"/>
        <w:numPr>
          <w:ilvl w:val="0"/>
          <w:numId w:val="2"/>
        </w:numPr>
        <w:spacing w:after="80"/>
      </w:pPr>
      <w:r>
        <w:rPr>
          <w:rFonts w:ascii="Calibri" w:cs="Calibri" w:eastAsia="Calibri" w:hAnsi="Calibri"/>
          <w:color w:val="221F1A"/>
          <w:sz w:val="21"/>
          <w:szCs w:val="21"/>
        </w:rPr>
        <w:t xml:space="preserve">Notify parents/guardians in advance, in simple terms: a career-guidance self-reflection activity will run during Guidance and Counselling / Civic Education / co-curricular time; it is not a graded test.</w:t>
      </w:r>
    </w:p>
    <w:p>
      <w:pPr>
        <w:pStyle w:val="ListParagraph"/>
        <w:numPr>
          <w:ilvl w:val="0"/>
          <w:numId w:val="2"/>
        </w:numPr>
        <w:spacing w:after="80"/>
      </w:pPr>
      <w:r>
        <w:rPr>
          <w:rFonts w:ascii="Calibri" w:cs="Calibri" w:eastAsia="Calibri" w:hAnsi="Calibri"/>
          <w:color w:val="221F1A"/>
          <w:sz w:val="21"/>
          <w:szCs w:val="21"/>
        </w:rPr>
        <w:t xml:space="preserve">Tell learners plainly that this is a trial version and their honest feedback, including criticism, is wanted and will be used to improve it.</w:t>
      </w:r>
    </w:p>
    <w:p>
      <w:pPr>
        <w:pStyle w:val="ListParagraph"/>
        <w:numPr>
          <w:ilvl w:val="0"/>
          <w:numId w:val="2"/>
        </w:numPr>
        <w:spacing w:after="80"/>
      </w:pPr>
      <w:r>
        <w:rPr>
          <w:rFonts w:ascii="Calibri" w:cs="Calibri" w:eastAsia="Calibri" w:hAnsi="Calibri"/>
          <w:color w:val="221F1A"/>
          <w:sz w:val="21"/>
          <w:szCs w:val="21"/>
        </w:rPr>
        <w:t xml:space="preserve">Follow the facilitator's guide's own ground rules throughout: participation in the activity can be required as normal classwork, but sharing a personal result out loud is always voluntary.</w:t>
      </w:r>
    </w:p>
    <w:p>
      <w:pPr>
        <w:pStyle w:val="ListParagraph"/>
        <w:numPr>
          <w:ilvl w:val="0"/>
          <w:numId w:val="2"/>
        </w:numPr>
        <w:spacing w:after="80"/>
      </w:pPr>
      <w:r>
        <w:rPr>
          <w:rFonts w:ascii="Calibri" w:cs="Calibri" w:eastAsia="Calibri" w:hAnsi="Calibri"/>
          <w:color w:val="221F1A"/>
          <w:sz w:val="21"/>
          <w:szCs w:val="21"/>
        </w:rPr>
        <w:t xml:space="preserve">Do not record any learner's actual Dominant/Secondary/Shadow result as pilot data. Collect only the anonymous, aggregate feedback described below.</w:t>
      </w:r>
    </w:p>
    <w:p>
      <w:pPr>
        <w:pStyle w:val="Heading1"/>
        <w:pBdr>
          <w:bottom w:val="single" w:color="A8632C" w:sz="6" w:space="4"/>
        </w:pBdr>
        <w:spacing w:after="140" w:before="320"/>
      </w:pPr>
      <w:r>
        <w:rPr>
          <w:rFonts w:ascii="Calibri" w:cs="Calibri" w:eastAsia="Calibri" w:hAnsi="Calibri"/>
          <w:b/>
          <w:bCs/>
          <w:color w:val="7C481E"/>
          <w:sz w:val="30"/>
          <w:szCs w:val="30"/>
        </w:rPr>
        <w:t xml:space="preserve">Pilot Scope</w:t>
      </w:r>
    </w:p>
    <w:p>
      <w:pPr>
        <w:pStyle w:val="ListParagraph"/>
        <w:numPr>
          <w:ilvl w:val="0"/>
          <w:numId w:val="2"/>
        </w:numPr>
        <w:spacing w:after="80"/>
      </w:pPr>
      <w:r>
        <w:rPr>
          <w:rFonts w:ascii="Calibri" w:cs="Calibri" w:eastAsia="Calibri" w:hAnsi="Calibri"/>
          <w:color w:val="221F1A"/>
          <w:sz w:val="21"/>
          <w:szCs w:val="21"/>
        </w:rPr>
        <w:t xml:space="preserve">Two to three schools, chosen to vary rather than to flatter the workbook: at least one under-resourced setting, to genuinely test the facilitator's guide's adaptations for schools without enough printed copies or a photocopier.</w:t>
      </w:r>
    </w:p>
    <w:p>
      <w:pPr>
        <w:pStyle w:val="ListParagraph"/>
        <w:numPr>
          <w:ilvl w:val="0"/>
          <w:numId w:val="2"/>
        </w:numPr>
        <w:spacing w:after="80"/>
      </w:pPr>
      <w:r>
        <w:rPr>
          <w:rFonts w:ascii="Calibri" w:cs="Calibri" w:eastAsia="Calibri" w:hAnsi="Calibri"/>
          <w:color w:val="221F1A"/>
          <w:sz w:val="21"/>
          <w:szCs w:val="21"/>
        </w:rPr>
        <w:t xml:space="preserve">At least two classes; roughly 40–100 learners in total is enough to surface real patterns without needing a large-scale trial.</w:t>
      </w:r>
    </w:p>
    <w:p>
      <w:pPr>
        <w:pStyle w:val="ListParagraph"/>
        <w:numPr>
          <w:ilvl w:val="0"/>
          <w:numId w:val="2"/>
        </w:numPr>
        <w:spacing w:after="80"/>
      </w:pPr>
      <w:r>
        <w:rPr>
          <w:rFonts w:ascii="Calibri" w:cs="Calibri" w:eastAsia="Calibri" w:hAnsi="Calibri"/>
          <w:color w:val="221F1A"/>
          <w:sz w:val="21"/>
          <w:szCs w:val="21"/>
        </w:rPr>
        <w:t xml:space="preserve">One facilitator per class, each having read the facilitator's guide in full beforehand.</w:t>
      </w:r>
    </w:p>
    <w:p>
      <w:pPr>
        <w:pStyle w:val="Heading1"/>
        <w:pBdr>
          <w:bottom w:val="single" w:color="A8632C" w:sz="6" w:space="4"/>
        </w:pBdr>
        <w:spacing w:after="140" w:before="320"/>
      </w:pPr>
      <w:r>
        <w:rPr>
          <w:rFonts w:ascii="Calibri" w:cs="Calibri" w:eastAsia="Calibri" w:hAnsi="Calibri"/>
          <w:b/>
          <w:bCs/>
          <w:color w:val="7C481E"/>
          <w:sz w:val="30"/>
          <w:szCs w:val="30"/>
        </w:rPr>
        <w:t xml:space="preserve">Timeline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8306"/>
      </w:tblGrid>
      <w:tr>
        <w:trPr>
          <w:tblHeader/>
        </w:trPr>
        <w:tc>
          <w:tcPr>
            <w:tcW w:type="dxa" w:w="18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When</w:t>
            </w:r>
          </w:p>
        </w:tc>
        <w:tc>
          <w:tcPr>
            <w:tcW w:type="dxa" w:w="83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What happens</w:t>
            </w:r>
          </w:p>
        </w:tc>
      </w:tr>
      <w:tr>
        <w:tc>
          <w:tcPr>
            <w:tcW w:type="dxa" w:w="18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Week 1</w:t>
            </w:r>
          </w:p>
        </w:tc>
        <w:tc>
          <w:tcPr>
            <w:tcW w:type="dxa" w:w="8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Get school authorisation; notify parents/guardians; facilitator reads the full facilitator's guide</w:t>
            </w:r>
          </w:p>
        </w:tc>
      </w:tr>
      <w:tr>
        <w:tc>
          <w:tcPr>
            <w:tcW w:type="dxa" w:w="18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Week 2</w:t>
            </w:r>
          </w:p>
        </w:tc>
        <w:tc>
          <w:tcPr>
            <w:tcW w:type="dxa" w:w="8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Run Session 1 (Introduction &amp; Self-Assessment) and Session 2 (Scoring &amp; Reading Your Result)</w:t>
            </w:r>
          </w:p>
        </w:tc>
      </w:tr>
      <w:tr>
        <w:tc>
          <w:tcPr>
            <w:tcW w:type="dxa" w:w="1800"/>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Week 3</w:t>
            </w:r>
          </w:p>
        </w:tc>
        <w:tc>
          <w:tcPr>
            <w:tcW w:type="dxa" w:w="83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Run Session 3 (World of Work, Decisions, Pathways &amp; Working Together); collect student and facilitator feedback immediately after</w:t>
            </w:r>
          </w:p>
        </w:tc>
      </w:tr>
      <w:tr>
        <w:tc>
          <w:tcPr>
            <w:tcW w:type="dxa" w:w="18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Week 4</w:t>
            </w:r>
          </w:p>
        </w:tc>
        <w:tc>
          <w:tcPr>
            <w:tcW w:type="dxa" w:w="83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Compile findings into the Pilot Summary Report; decide what, if anything, changes before submission</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Facilitator Observation Log</w:t>
      </w:r>
    </w:p>
    <w:p>
      <w:pPr>
        <w:spacing w:after="120" w:before="0"/>
      </w:pPr>
      <w:r>
        <w:rPr>
          <w:rFonts w:ascii="Calibri" w:cs="Calibri" w:eastAsia="Calibri" w:hAnsi="Calibri"/>
          <w:b w:val="false"/>
          <w:bCs w:val="false"/>
          <w:i w:val="false"/>
          <w:iCs w:val="false"/>
          <w:color w:val="221F1A"/>
          <w:sz w:val="21"/>
          <w:szCs w:val="21"/>
        </w:rPr>
        <w:t xml:space="preserve">One row per session, completed during or immediately after running it.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3800"/>
        <w:gridCol w:w="2406"/>
      </w:tblGrid>
      <w:tr>
        <w:trPr>
          <w:tblHeader/>
        </w:trPr>
        <w:tc>
          <w:tcPr>
            <w:tcW w:type="dxa" w:w="13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Session</w:t>
            </w:r>
          </w:p>
        </w:tc>
        <w:tc>
          <w:tcPr>
            <w:tcW w:type="dxa" w:w="13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Planned time</w:t>
            </w:r>
          </w:p>
        </w:tc>
        <w:tc>
          <w:tcPr>
            <w:tcW w:type="dxa" w:w="13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Actual time</w:t>
            </w:r>
          </w:p>
        </w:tc>
        <w:tc>
          <w:tcPr>
            <w:tcW w:type="dxa" w:w="38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What worked / what needed rephrasing</w:t>
            </w:r>
          </w:p>
        </w:tc>
        <w:tc>
          <w:tcPr>
            <w:tcW w:type="dxa" w:w="24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Sensitive situations?</w:t>
            </w:r>
          </w:p>
        </w:tc>
      </w:tr>
      <w:tr>
        <w:tc>
          <w:tcPr>
            <w:tcW w:type="dxa" w:w="13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1</w:t>
            </w:r>
          </w:p>
        </w:tc>
        <w:tc>
          <w:tcPr>
            <w:tcW w:type="dxa" w:w="13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13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38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4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13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2</w:t>
            </w:r>
          </w:p>
        </w:tc>
        <w:tc>
          <w:tcPr>
            <w:tcW w:type="dxa" w:w="13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13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38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406"/>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13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3</w:t>
            </w:r>
          </w:p>
        </w:tc>
        <w:tc>
          <w:tcPr>
            <w:tcW w:type="dxa" w:w="13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13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38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4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bl>
    <w:p>
      <w:pPr>
        <w:pStyle w:val="Heading1"/>
        <w:pBdr>
          <w:bottom w:val="single" w:color="A8632C" w:sz="6" w:space="4"/>
        </w:pBdr>
        <w:spacing w:after="140" w:before="320"/>
      </w:pPr>
      <w:r>
        <w:rPr>
          <w:rFonts w:ascii="Calibri" w:cs="Calibri" w:eastAsia="Calibri" w:hAnsi="Calibri"/>
          <w:b/>
          <w:bCs/>
          <w:color w:val="7C481E"/>
          <w:sz w:val="30"/>
          <w:szCs w:val="30"/>
        </w:rPr>
        <w:t xml:space="preserve">Student Feedback Form (anonymous)</w:t>
      </w:r>
    </w:p>
    <w:p>
      <w:pPr>
        <w:spacing w:after="120" w:before="0"/>
      </w:pPr>
      <w:r>
        <w:rPr>
          <w:rFonts w:ascii="Calibri" w:cs="Calibri" w:eastAsia="Calibri" w:hAnsi="Calibri"/>
          <w:b w:val="false"/>
          <w:bCs w:val="false"/>
          <w:i w:val="false"/>
          <w:iCs w:val="false"/>
          <w:color w:val="221F1A"/>
          <w:sz w:val="21"/>
          <w:szCs w:val="21"/>
        </w:rPr>
        <w:t xml:space="preserve">No name field. Handed out after Session 3. Read each statement aloud if literacy varies, and remind learners this is about the workbook, not about them.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200"/>
        <w:gridCol w:w="981"/>
        <w:gridCol w:w="981"/>
        <w:gridCol w:w="981"/>
        <w:gridCol w:w="981"/>
        <w:gridCol w:w="981"/>
      </w:tblGrid>
      <w:tr>
        <w:trPr>
          <w:tblHeader/>
        </w:trPr>
        <w:tc>
          <w:tcPr>
            <w:tcW w:type="dxa" w:w="52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Statement</w:t>
            </w:r>
          </w:p>
        </w:tc>
        <w:tc>
          <w:tcPr>
            <w:tcW w:type="dxa" w:w="981"/>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1
No</w:t>
            </w:r>
          </w:p>
        </w:tc>
        <w:tc>
          <w:tcPr>
            <w:tcW w:type="dxa" w:w="981"/>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2</w:t>
            </w:r>
          </w:p>
        </w:tc>
        <w:tc>
          <w:tcPr>
            <w:tcW w:type="dxa" w:w="981"/>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3
Not sure</w:t>
            </w:r>
          </w:p>
        </w:tc>
        <w:tc>
          <w:tcPr>
            <w:tcW w:type="dxa" w:w="981"/>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4</w:t>
            </w:r>
          </w:p>
        </w:tc>
        <w:tc>
          <w:tcPr>
            <w:tcW w:type="dxa" w:w="981"/>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5
Yes</w:t>
            </w:r>
          </w:p>
        </w:tc>
      </w:tr>
      <w:tr>
        <w:tc>
          <w:tcPr>
            <w:tcW w:type="dxa" w:w="5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The instructions were easy to understand.</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r>
      <w:tr>
        <w:tc>
          <w:tcPr>
            <w:tcW w:type="dxa" w:w="52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The questions made sense to me.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r>
      <w:tr>
        <w:tc>
          <w:tcPr>
            <w:tcW w:type="dxa" w:w="5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My result felt like it described me, at least partly.</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r>
      <w:tr>
        <w:tc>
          <w:tcPr>
            <w:tcW w:type="dxa" w:w="5200"/>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I found out about a subject, institution or career I hadn't thought about before.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shd w:fill="F6EFE1" w:color="auto" w:val="clear"/>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r>
      <w:tr>
        <w:tc>
          <w:tcPr>
            <w:tcW w:type="dxa" w:w="52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I would recommend this activity to a friend in another class.</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c>
          <w:tcPr>
            <w:tcW w:type="dxa" w:w="981"/>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20"/>
                <w:szCs w:val="20"/>
              </w:rPr>
              <w:t xml:space="preserve">☐</w:t>
            </w:r>
          </w:p>
        </w:tc>
      </w:tr>
    </w:tbl>
    <w:p>
      <w:pPr>
        <w:spacing w:after="120" w:before="0"/>
      </w:pPr>
      <w:r>
        <w:rPr>
          <w:rFonts w:ascii="Calibri" w:cs="Calibri" w:eastAsia="Calibri" w:hAnsi="Calibri"/>
          <w:b w:val="false"/>
          <w:bCs w:val="false"/>
          <w:i w:val="false"/>
          <w:iCs w:val="false"/>
          <w:color w:val="221F1A"/>
          <w:sz w:val="21"/>
          <w:szCs w:val="21"/>
        </w:rPr>
        <w:t xml:space="preserve">Was anything in this workbook confusing, upsetting, or something you think should change? (write freely below)</w:t>
      </w:r>
    </w:p>
    <w:p>
      <w:pPr>
        <w:pStyle w:val="Heading1"/>
        <w:pBdr>
          <w:bottom w:val="single" w:color="A8632C" w:sz="6" w:space="4"/>
        </w:pBdr>
        <w:spacing w:after="140" w:before="320"/>
      </w:pPr>
      <w:r>
        <w:rPr>
          <w:rFonts w:ascii="Calibri" w:cs="Calibri" w:eastAsia="Calibri" w:hAnsi="Calibri"/>
          <w:b/>
          <w:bCs/>
          <w:color w:val="7C481E"/>
          <w:sz w:val="30"/>
          <w:szCs w:val="30"/>
        </w:rPr>
        <w:t xml:space="preserve">Facilitator Feedback Form</w:t>
      </w:r>
    </w:p>
    <w:p>
      <w:pPr>
        <w:spacing w:after="120" w:before="0"/>
      </w:pPr>
      <w:r>
        <w:rPr>
          <w:rFonts w:ascii="Calibri" w:cs="Calibri" w:eastAsia="Calibri" w:hAnsi="Calibri"/>
          <w:b w:val="false"/>
          <w:bCs w:val="false"/>
          <w:i w:val="false"/>
          <w:iCs w:val="false"/>
          <w:color w:val="221F1A"/>
          <w:sz w:val="21"/>
          <w:szCs w:val="21"/>
        </w:rPr>
        <w:t xml:space="preserve">Completed by the facilitator after all three sessions, in their own words:</w:t>
      </w:r>
    </w:p>
    <w:p>
      <w:pPr>
        <w:pStyle w:val="ListParagraph"/>
        <w:numPr>
          <w:ilvl w:val="0"/>
          <w:numId w:val="2"/>
        </w:numPr>
        <w:spacing w:after="80"/>
      </w:pPr>
      <w:r>
        <w:rPr>
          <w:rFonts w:ascii="Calibri" w:cs="Calibri" w:eastAsia="Calibri" w:hAnsi="Calibri"/>
          <w:color w:val="221F1A"/>
          <w:sz w:val="21"/>
          <w:szCs w:val="21"/>
        </w:rPr>
        <w:t xml:space="preserve">How long did each session actually take, compared with the guide's estimate?</w:t>
      </w:r>
    </w:p>
    <w:p>
      <w:pPr>
        <w:pStyle w:val="ListParagraph"/>
        <w:numPr>
          <w:ilvl w:val="0"/>
          <w:numId w:val="2"/>
        </w:numPr>
        <w:spacing w:after="80"/>
      </w:pPr>
      <w:r>
        <w:rPr>
          <w:rFonts w:ascii="Calibri" w:cs="Calibri" w:eastAsia="Calibri" w:hAnsi="Calibri"/>
          <w:color w:val="221F1A"/>
          <w:sz w:val="21"/>
          <w:szCs w:val="21"/>
        </w:rPr>
        <w:t xml:space="preserve">Which parts of the facilitator's script needed rephrasing or extra explanation?</w:t>
      </w:r>
    </w:p>
    <w:p>
      <w:pPr>
        <w:pStyle w:val="ListParagraph"/>
        <w:numPr>
          <w:ilvl w:val="0"/>
          <w:numId w:val="2"/>
        </w:numPr>
        <w:spacing w:after="80"/>
      </w:pPr>
      <w:r>
        <w:rPr>
          <w:rFonts w:ascii="Calibri" w:cs="Calibri" w:eastAsia="Calibri" w:hAnsi="Calibri"/>
          <w:color w:val="221F1A"/>
          <w:sz w:val="21"/>
          <w:szCs w:val="21"/>
        </w:rPr>
        <w:t xml:space="preserve">Did any sensitive situations or common questions come up? How were they handled, and did the guide's suggested response work?</w:t>
      </w:r>
    </w:p>
    <w:p>
      <w:pPr>
        <w:pStyle w:val="ListParagraph"/>
        <w:numPr>
          <w:ilvl w:val="0"/>
          <w:numId w:val="2"/>
        </w:numPr>
        <w:spacing w:after="80"/>
      </w:pPr>
      <w:r>
        <w:rPr>
          <w:rFonts w:ascii="Calibri" w:cs="Calibri" w:eastAsia="Calibri" w:hAnsi="Calibri"/>
          <w:color w:val="221F1A"/>
          <w:sz w:val="21"/>
          <w:szCs w:val="21"/>
        </w:rPr>
        <w:t xml:space="preserve">Did the Working Together activity work as written? Did groups need more or less than 5–8 minutes?</w:t>
      </w:r>
    </w:p>
    <w:p>
      <w:pPr>
        <w:pStyle w:val="ListParagraph"/>
        <w:numPr>
          <w:ilvl w:val="0"/>
          <w:numId w:val="2"/>
        </w:numPr>
        <w:spacing w:after="80"/>
      </w:pPr>
      <w:r>
        <w:rPr>
          <w:rFonts w:ascii="Calibri" w:cs="Calibri" w:eastAsia="Calibri" w:hAnsi="Calibri"/>
          <w:color w:val="221F1A"/>
          <w:sz w:val="21"/>
          <w:szCs w:val="21"/>
        </w:rPr>
        <w:t xml:space="preserve">Would you recommend this workbook for full rollout in Form 3/4 Guidance and Counselling? Why or why not?</w:t>
      </w:r>
    </w:p>
    <w:p>
      <w:pPr>
        <w:pStyle w:val="ListParagraph"/>
        <w:numPr>
          <w:ilvl w:val="0"/>
          <w:numId w:val="2"/>
        </w:numPr>
        <w:spacing w:after="80"/>
      </w:pPr>
      <w:r>
        <w:rPr>
          <w:rFonts w:ascii="Calibri" w:cs="Calibri" w:eastAsia="Calibri" w:hAnsi="Calibri"/>
          <w:color w:val="221F1A"/>
          <w:sz w:val="21"/>
          <w:szCs w:val="21"/>
        </w:rPr>
        <w:t xml:space="preserve">Any other comments, corrections, or suggestions?</w:t>
      </w:r>
    </w:p>
    <w:p>
      <w:pPr>
        <w:pStyle w:val="Heading1"/>
        <w:pBdr>
          <w:bottom w:val="single" w:color="A8632C" w:sz="6" w:space="4"/>
        </w:pBdr>
        <w:spacing w:after="140" w:before="320"/>
      </w:pPr>
      <w:r>
        <w:rPr>
          <w:rFonts w:ascii="Calibri" w:cs="Calibri" w:eastAsia="Calibri" w:hAnsi="Calibri"/>
          <w:b/>
          <w:bCs/>
          <w:color w:val="7C481E"/>
          <w:sz w:val="30"/>
          <w:szCs w:val="30"/>
        </w:rPr>
        <w:t xml:space="preserve">Pilot Summary Report</w:t>
      </w:r>
    </w:p>
    <w:p>
      <w:pPr>
        <w:spacing w:after="120" w:before="0"/>
      </w:pPr>
      <w:r>
        <w:rPr>
          <w:rFonts w:ascii="Calibri" w:cs="Calibri" w:eastAsia="Calibri" w:hAnsi="Calibri"/>
          <w:b w:val="false"/>
          <w:bCs w:val="false"/>
          <w:i w:val="false"/>
          <w:iCs w:val="false"/>
          <w:color w:val="221F1A"/>
          <w:sz w:val="21"/>
          <w:szCs w:val="21"/>
        </w:rPr>
        <w:t xml:space="preserve">Completed once the pilot has taken place. This is the page attached to the CDC submission package as evidence.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400"/>
        <w:gridCol w:w="6706"/>
      </w:tblGrid>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School(s) involved</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Dates piloted</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Number of learners</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Number of facilitators</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Key findings: timing</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Key findings: comprehension issues found and fixed</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Key findings: sensitive situations encountered and how handled</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Overall learner reception</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Overall facilitator reception</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r>
        <w:tc>
          <w:tcPr>
            <w:tcW w:type="dxa" w:w="3400"/>
            <w:shd w:fill="F6EFE1"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221F1A"/>
                <w:sz w:val="18"/>
                <w:szCs w:val="18"/>
              </w:rPr>
              <w:t xml:space="preserve">Changes made to the workbook or facilitator's guide as a result</w:t>
            </w:r>
          </w:p>
        </w:tc>
        <w:tc>
          <w:tcPr>
            <w:tcW w:type="dxa" w:w="67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bl>
    <w:p>
      <w:pPr>
        <w:pStyle w:val="Heading2"/>
        <w:spacing w:after="100" w:before="220"/>
      </w:pPr>
      <w:r>
        <w:rPr>
          <w:rFonts w:ascii="Calibri" w:cs="Calibri" w:eastAsia="Calibri" w:hAnsi="Calibri"/>
          <w:b/>
          <w:bCs/>
          <w:color w:val="7C481E"/>
          <w:sz w:val="24"/>
          <w:szCs w:val="24"/>
        </w:rPr>
        <w:t xml:space="preserve">Sign-Off</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506"/>
      </w:tblGrid>
      <w:tr>
        <w:trPr>
          <w:tblHeader/>
        </w:trPr>
        <w:tc>
          <w:tcPr>
            <w:tcW w:type="dxa" w:w="38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Name &amp; position</w:t>
            </w:r>
          </w:p>
        </w:tc>
        <w:tc>
          <w:tcPr>
            <w:tcW w:type="dxa" w:w="3800"/>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Signature</w:t>
            </w:r>
          </w:p>
        </w:tc>
        <w:tc>
          <w:tcPr>
            <w:tcW w:type="dxa" w:w="2506"/>
            <w:shd w:fill="A8632C" w:color="auto" w:val="clear"/>
            <w:tcMar>
              <w:top w:type="dxa" w:w="90"/>
              <w:left w:type="dxa" w:w="110"/>
              <w:bottom w:type="dxa" w:w="90"/>
              <w:right w:type="dxa" w:w="110"/>
            </w:tcMar>
            <w:vAlign w:val="center"/>
          </w:tcPr>
          <w:p>
            <w:pPr>
              <w:spacing w:after="40"/>
            </w:pPr>
            <w:r>
              <w:rPr>
                <w:rFonts w:ascii="Calibri" w:cs="Calibri" w:eastAsia="Calibri" w:hAnsi="Calibri"/>
                <w:b/>
                <w:bCs/>
                <w:i w:val="false"/>
                <w:iCs w:val="false"/>
                <w:color w:val="FFFFFF"/>
                <w:sz w:val="18"/>
                <w:szCs w:val="18"/>
              </w:rPr>
              <w:t xml:space="preserve">Date</w:t>
            </w:r>
          </w:p>
        </w:tc>
      </w:tr>
      <w:tr>
        <w:tc>
          <w:tcPr>
            <w:tcW w:type="dxa" w:w="38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3800"/>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c>
          <w:tcPr>
            <w:tcW w:type="dxa" w:w="2506"/>
            <w:tcMar>
              <w:top w:type="dxa" w:w="90"/>
              <w:left w:type="dxa" w:w="110"/>
              <w:bottom w:type="dxa" w:w="90"/>
              <w:right w:type="dxa" w:w="110"/>
            </w:tcMar>
            <w:vAlign w:val="center"/>
          </w:tcPr>
          <w:p>
            <w:pPr>
              <w:spacing w:after="40"/>
            </w:pPr>
            <w:r>
              <w:rPr>
                <w:rFonts w:ascii="Calibri" w:cs="Calibri" w:eastAsia="Calibri" w:hAnsi="Calibri"/>
                <w:b w:val="false"/>
                <w:bCs w:val="false"/>
                <w:i w:val="false"/>
                <w:iCs w:val="false"/>
                <w:color w:val="221F1A"/>
                <w:sz w:val="18"/>
                <w:szCs w:val="18"/>
              </w:rPr>
              <w:t xml:space="preserve"> </w:t>
            </w:r>
          </w:p>
        </w:tc>
      </w:tr>
    </w:tbl>
    <w:p>
      <w:r>
        <w:br w:type="page"/>
      </w:r>
    </w:p>
    <w:p>
      <w:pPr>
        <w:pStyle w:val="Heading1"/>
        <w:pBdr>
          <w:bottom w:val="single" w:color="A8632C" w:sz="6" w:space="4"/>
        </w:pBdr>
        <w:spacing w:after="140" w:before="320"/>
      </w:pPr>
      <w:r>
        <w:rPr>
          <w:rFonts w:ascii="Calibri" w:cs="Calibri" w:eastAsia="Calibri" w:hAnsi="Calibri"/>
          <w:b/>
          <w:bCs/>
          <w:color w:val="7C481E"/>
          <w:sz w:val="30"/>
          <w:szCs w:val="30"/>
        </w:rPr>
        <w:t xml:space="preserve">Implementation Status</w:t>
      </w:r>
    </w:p>
    <w:p>
      <w:pPr>
        <w:spacing w:after="120" w:before="0"/>
      </w:pPr>
      <w:r>
        <w:rPr>
          <w:rFonts w:ascii="Calibri" w:cs="Calibri" w:eastAsia="Calibri" w:hAnsi="Calibri"/>
          <w:b w:val="false"/>
          <w:bCs w:val="false"/>
          <w:i w:val="false"/>
          <w:iCs w:val="false"/>
          <w:color w:val="221F1A"/>
          <w:sz w:val="21"/>
          <w:szCs w:val="21"/>
        </w:rPr>
        <w:t xml:space="preserve">Two items remain open ahead of full CDC endorsement, recorded here for transparency:</w:t>
      </w:r>
    </w:p>
    <w:p>
      <w:pPr>
        <w:pStyle w:val="ListParagraph"/>
        <w:numPr>
          <w:ilvl w:val="0"/>
          <w:numId w:val="2"/>
        </w:numPr>
        <w:spacing w:after="80"/>
      </w:pPr>
      <w:r>
        <w:rPr>
          <w:rFonts w:ascii="Calibri" w:cs="Calibri" w:eastAsia="Calibri" w:hAnsi="Calibri"/>
          <w:color w:val="221F1A"/>
          <w:sz w:val="21"/>
          <w:szCs w:val="21"/>
        </w:rPr>
        <w:t xml:space="preserve">Syllabus verification: this mapping (Part One) is grounded in the 2023 Zambia Education Curriculum Framework, which sets out the PSVE structure and the pathway system with page-cited authority, but does not itself contain a separate, numbered Guidance and Counselling syllabus of the kind subjects like English or Biology have. Whether a more granular syllabus document exists beyond this Framework is a question for CDC or a serving Guidance and Counselling teacher to confirm.</w:t>
      </w:r>
    </w:p>
    <w:p>
      <w:pPr>
        <w:pStyle w:val="ListParagraph"/>
        <w:numPr>
          <w:ilvl w:val="0"/>
          <w:numId w:val="2"/>
        </w:numPr>
        <w:spacing w:after="80"/>
      </w:pPr>
      <w:r>
        <w:rPr>
          <w:rFonts w:ascii="Calibri" w:cs="Calibri" w:eastAsia="Calibri" w:hAnsi="Calibri"/>
          <w:color w:val="221F1A"/>
          <w:sz w:val="21"/>
          <w:szCs w:val="21"/>
        </w:rPr>
        <w:t xml:space="preserve">Classroom pilot: the Pilot Summary Report (Part Three) is the evidence a curriculum body expects to see alongside a submission of this kind. It is included here as a toolkit, ready to be completed once a real-classroom pilot has been run; the pilot itself has not yet taken place.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858"/>
        <w:sz w:val="16"/>
        <w:szCs w:val="16"/>
      </w:rPr>
      <w:t xml:space="preserve">Page </w:t>
    </w:r>
    <w:r>
      <w:rPr>
        <w:rFonts w:ascii="Calibri" w:cs="Calibri" w:eastAsia="Calibri" w:hAnsi="Calibri"/>
        <w:color w:val="6E6858"/>
        <w:sz w:val="16"/>
        <w:szCs w:val="16"/>
      </w:rPr>
      <w:fldChar w:fldCharType="begin"/>
      <w:instrText xml:space="preserve">PAGE</w:instrText>
      <w:fldChar w:fldCharType="separate"/>
      <w:fldChar w:fldCharType="end"/>
    </w:r>
    <w:r>
      <w:rPr>
        <w:rFonts w:ascii="Calibri" w:cs="Calibri" w:eastAsia="Calibri" w:hAnsi="Calibri"/>
        <w:color w:val="6E6858"/>
        <w:sz w:val="16"/>
        <w:szCs w:val="16"/>
      </w:rPr>
      <w:t xml:space="preserve"> of </w:t>
    </w:r>
    <w:r>
      <w:rPr>
        <w:rFonts w:ascii="Calibri" w:cs="Calibri" w:eastAsia="Calibri" w:hAnsi="Calibri"/>
        <w:color w:val="6E68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4" w:space="4"/>
      </w:pBdr>
      <w:jc w:val="right"/>
    </w:pPr>
    <w:r>
      <w:rPr>
        <w:rFonts w:ascii="Calibri" w:cs="Calibri" w:eastAsia="Calibri" w:hAnsi="Calibri"/>
        <w:color w:val="6E6858"/>
        <w:sz w:val="16"/>
        <w:szCs w:val="16"/>
      </w:rPr>
      <w:t xml:space="preserve">Pathway Orientation: Master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a6a922039e4cb579fa64c3f3c1a45595f7e4de.png"/><Relationship Id="rId10" Type="http://schemas.openxmlformats.org/officeDocument/2006/relationships/image" Target="media/8f4a57992f8f20899007863988580cc258c46031.png"/><Relationship Id="rId11" Type="http://schemas.openxmlformats.org/officeDocument/2006/relationships/image" Target="media/730a27b3740342061feb01d52d14e237697c7d7a.png"/><Relationship Id="rId12" Type="http://schemas.openxmlformats.org/officeDocument/2006/relationships/image" Target="media/39f410b37dad222a3ec5aefa908c8d1890603904.png"/><Relationship Id="rId13" Type="http://schemas.openxmlformats.org/officeDocument/2006/relationships/image" Target="media/89ad8dcaa2151c83d8366e634a4bb8901e1aae94.png"/><Relationship Id="rId14" Type="http://schemas.openxmlformats.org/officeDocument/2006/relationships/image" Target="media/b19597c09da174a7474d8c0bf7e3245cea231d71.png"/><Relationship Id="rId15" Type="http://schemas.openxmlformats.org/officeDocument/2006/relationships/image" Target="media/2ae40f1fe13e21c3e345fd825393118bbe897fe7.png"/><Relationship Id="rId16" Type="http://schemas.openxmlformats.org/officeDocument/2006/relationships/image" Target="media/576321d16e2de12f628fd26fbd44c0d92622a3a8.png"/><Relationship Id="rId17" Type="http://schemas.openxmlformats.org/officeDocument/2006/relationships/image" Target="media/256374189b17c8f2515d5ac350121eeda7586eb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2026-09-16T07:35:36.731Z</dcterms:created>
  <dcterms:modified xsi:type="dcterms:W3CDTF">2026-09-16T07:35:36.731Z</dcterms:modified>
</cp:coreProperties>
</file>

<file path=docProps/custom.xml><?xml version="1.0" encoding="utf-8"?>
<Properties xmlns="http://schemas.openxmlformats.org/officeDocument/2006/custom-properties" xmlns:vt="http://schemas.openxmlformats.org/officeDocument/2006/docPropsVTypes"/>
</file>