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632C"/>
          <w:sz w:val="40"/>
          <w:szCs w:val="40"/>
        </w:rPr>
        <w:t xml:space="preserve">Facilitator's Guide</w:t>
      </w:r>
    </w:p>
    <w:p>
      <w:pPr>
        <w:spacing w:after="300"/>
      </w:pPr>
      <w:r>
        <w:rPr>
          <w:rFonts w:ascii="Calibri" w:cs="Calibri" w:eastAsia="Calibri" w:hAnsi="Calibri"/>
          <w:i/>
          <w:iCs/>
          <w:color w:val="6E6858"/>
          <w:sz w:val="22"/>
          <w:szCs w:val="22"/>
        </w:rPr>
        <w:t xml:space="preserve">Pathway Orientation — for Guidance and Counselling teachers running the workbook with Form 3 and Form 4 learners</w:t>
      </w:r>
    </w:p>
    <w:tbl>
      <w:tblPr>
        <w:tblW w:type="dxa" w:w="10106"/>
        <w:tblBorders>
          <w:top w:val="single" w:color="D9D2C2" w:sz="4"/>
          <w:left w:val="single" w:color="D9D2C2" w:sz="4"/>
          <w:bottom w:val="single" w:color="D9D2C2" w:sz="4"/>
          <w:right w:val="single" w:color="D9D2C2" w:sz="4"/>
          <w:insideH w:val="single" w:color="D9D2C2" w:sz="4"/>
          <w:insideV w:val="single" w:color="D9D2C2" w:sz="4"/>
        </w:tblBorders>
      </w:tblPr>
      <w:tblGrid>
        <w:gridCol w:w="3200"/>
        <w:gridCol w:w="6906"/>
      </w:tblGrid>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Document title</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Facilitator's Guide — Pathway Orientation</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Audience</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Guidance and Counselling teachers / class teachers administering the workbook to Form 3 and Form 4 learners</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Companion documents</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Pathway Orientation Workbook (PDF); docs/syllabus-mapping.docx</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Status</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DRAFT — has not yet been piloted in a real classroom; review before use (see Section 1)</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Version</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0.1</w:t>
            </w:r>
          </w:p>
        </w:tc>
      </w:tr>
      <w:tr>
        <w:tc>
          <w:tcPr>
            <w:tcW w:type="dxa" w:w="3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Date</w:t>
            </w:r>
          </w:p>
        </w:tc>
        <w:tc>
          <w:tcPr>
            <w:tcW w:type="dxa" w:w="6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15 September 2026</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1. Before You Start</w:t>
      </w:r>
    </w:p>
    <w:p>
      <w:pPr>
        <w:spacing w:after="120" w:before="0"/>
      </w:pPr>
      <w:r>
        <w:rPr>
          <w:rFonts w:ascii="Calibri" w:cs="Calibri" w:eastAsia="Calibri" w:hAnsi="Calibri"/>
          <w:b w:val="false"/>
          <w:bCs w:val="false"/>
          <w:i w:val="false"/>
          <w:iCs w:val="false"/>
          <w:color w:val="221F1A"/>
          <w:sz w:val="21"/>
          <w:szCs w:val="21"/>
        </w:rPr>
        <w:t xml:space="preserve">This guide has not yet been piloted in a real classroom. Read it fully before your first session, adapt the timings to your own periods, and — if possible — have a second Guidance teacher or school counsellor review it with you first. Please also read docs/syllabus-mapping.docx alongside this guide: it grounds the same four official Careers Guidance and Counselling areas — Personal, Social, Vocational, Educational (PSVE) — used throughout this document in the 2023 Zambia Education Curriculum Framework, and names one item still worth confirming with CDC (its Section 2.4).</w:t>
      </w:r>
    </w:p>
    <w:p>
      <w:pPr>
        <w:pStyle w:val="Heading1"/>
        <w:pBdr>
          <w:bottom w:val="single" w:color="A8632C" w:sz="6" w:space="4"/>
        </w:pBdr>
        <w:spacing w:after="140" w:before="320"/>
      </w:pPr>
      <w:r>
        <w:rPr>
          <w:rFonts w:ascii="Calibri" w:cs="Calibri" w:eastAsia="Calibri" w:hAnsi="Calibri"/>
          <w:b/>
          <w:bCs/>
          <w:color w:val="7C481E"/>
          <w:sz w:val="30"/>
          <w:szCs w:val="30"/>
        </w:rPr>
        <w:t xml:space="preserve">2. What This Tool Is — and Is Not</w:t>
      </w:r>
    </w:p>
    <w:tbl>
      <w:tblPr>
        <w:tblW w:type="dxa" w:w="10106"/>
        <w:tblBorders>
          <w:top w:val="single" w:color="C1631F" w:sz="12"/>
          <w:left w:val="single" w:color="C1631F" w:sz="12"/>
          <w:bottom w:val="single" w:color="C1631F" w:sz="12"/>
          <w:right w:val="single" w:color="C1631F" w:sz="12"/>
          <w:insideH w:val="none"/>
          <w:insideV w:val="none"/>
        </w:tblBorders>
      </w:tblPr>
      <w:tblGrid>
        <w:gridCol w:w="10106"/>
      </w:tblGrid>
      <w:tr>
        <w:tc>
          <w:tcPr>
            <w:tcW w:type="dxa" w:w="10106"/>
            <w:shd w:fill="FBEFD9" w:color="auto" w:val="clear"/>
            <w:tcMar>
              <w:top w:type="dxa" w:w="160"/>
              <w:left w:type="dxa" w:w="200"/>
              <w:bottom w:type="dxa" w:w="160"/>
              <w:right w:type="dxa" w:w="200"/>
            </w:tcMar>
          </w:tcPr>
          <w:p>
            <w:pPr>
              <w:spacing w:after="100"/>
            </w:pPr>
            <w:r>
              <w:rPr>
                <w:rFonts w:ascii="Calibri" w:cs="Calibri" w:eastAsia="Calibri" w:hAnsi="Calibri"/>
                <w:b/>
                <w:bCs/>
                <w:color w:val="7C481E"/>
                <w:sz w:val="21"/>
                <w:szCs w:val="21"/>
              </w:rPr>
              <w:t xml:space="preserve">Say this to learners, and hold to it yourself</w:t>
            </w:r>
          </w:p>
          <w:p>
            <w:pPr>
              <w:spacing w:after="80"/>
            </w:pPr>
            <w:r>
              <w:rPr>
                <w:rFonts w:ascii="Calibri" w:cs="Calibri" w:eastAsia="Calibri" w:hAnsi="Calibri"/>
                <w:color w:val="221F1A"/>
                <w:sz w:val="20"/>
                <w:szCs w:val="20"/>
              </w:rPr>
              <w:t xml:space="preserve">This IS a structured way to reflect on how you naturally like to work, and a starting point for a conversation about subjects and careers.</w:t>
            </w:r>
          </w:p>
          <w:p>
            <w:pPr>
              <w:spacing w:after="80"/>
            </w:pPr>
            <w:r>
              <w:rPr>
                <w:rFonts w:ascii="Calibri" w:cs="Calibri" w:eastAsia="Calibri" w:hAnsi="Calibri"/>
                <w:color w:val="221F1A"/>
                <w:sz w:val="20"/>
                <w:szCs w:val="20"/>
              </w:rPr>
              <w:t xml:space="preserve">This is NOT a scientifically validated personality or aptitude test. It has not been piloted or statistically checked, so treat every result as a prompt for discussion, never as a verdict.</w:t>
            </w:r>
          </w:p>
          <w:p>
            <w:pPr>
              <w:spacing w:after="80"/>
            </w:pPr>
            <w:r>
              <w:rPr>
                <w:rFonts w:ascii="Calibri" w:cs="Calibri" w:eastAsia="Calibri" w:hAnsi="Calibri"/>
                <w:color w:val="221F1A"/>
                <w:sz w:val="20"/>
                <w:szCs w:val="20"/>
              </w:rPr>
              <w:t xml:space="preserve">This is NOT a placement tool. No school should use a learner's result to assign, restrict, or override their subject choices. The learner and their family make that decision, with your support.</w:t>
            </w:r>
          </w:p>
          <w:p>
            <w:pPr>
              <w:spacing w:after="80"/>
            </w:pPr>
            <w:r>
              <w:rPr>
                <w:rFonts w:ascii="Calibri" w:cs="Calibri" w:eastAsia="Calibri" w:hAnsi="Calibri"/>
                <w:color w:val="221F1A"/>
                <w:sz w:val="20"/>
                <w:szCs w:val="20"/>
              </w:rPr>
              <w:t xml:space="preserve">Participation in the activity can be required as normal classwork. Sharing a personal result out loud must always be voluntary.</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3. Learning Objectives</w:t>
      </w:r>
    </w:p>
    <w:p>
      <w:pPr>
        <w:spacing w:after="120" w:before="0"/>
      </w:pPr>
      <w:r>
        <w:rPr>
          <w:rFonts w:ascii="Calibri" w:cs="Calibri" w:eastAsia="Calibri" w:hAnsi="Calibri"/>
          <w:b w:val="false"/>
          <w:bCs w:val="false"/>
          <w:i w:val="false"/>
          <w:iCs w:val="false"/>
          <w:color w:val="221F1A"/>
          <w:sz w:val="21"/>
          <w:szCs w:val="21"/>
        </w:rPr>
        <w:t xml:space="preserve">By the end of all three sessions, a learner should be able to:</w:t>
      </w:r>
    </w:p>
    <w:p>
      <w:pPr>
        <w:pStyle w:val="ListParagraph"/>
        <w:numPr>
          <w:ilvl w:val="0"/>
          <w:numId w:val="2"/>
        </w:numPr>
        <w:spacing w:after="80"/>
      </w:pPr>
      <w:r>
        <w:rPr>
          <w:rFonts w:ascii="Calibri" w:cs="Calibri" w:eastAsia="Calibri" w:hAnsi="Calibri"/>
          <w:color w:val="221F1A"/>
          <w:sz w:val="21"/>
          <w:szCs w:val="21"/>
        </w:rPr>
        <w:t xml:space="preserve">Describe their own dominant and secondary working style in their own words (Personal).</w:t>
      </w:r>
    </w:p>
    <w:p>
      <w:pPr>
        <w:pStyle w:val="ListParagraph"/>
        <w:numPr>
          <w:ilvl w:val="0"/>
          <w:numId w:val="2"/>
        </w:numPr>
        <w:spacing w:after="80"/>
      </w:pPr>
      <w:r>
        <w:rPr>
          <w:rFonts w:ascii="Calibri" w:cs="Calibri" w:eastAsia="Calibri" w:hAnsi="Calibri"/>
          <w:color w:val="221F1A"/>
          <w:sz w:val="21"/>
          <w:szCs w:val="21"/>
        </w:rPr>
        <w:t xml:space="preserve">Explain at least one realistic feature of what day-to-day work is like in a field connected to their result (Vocational).</w:t>
      </w:r>
    </w:p>
    <w:p>
      <w:pPr>
        <w:pStyle w:val="ListParagraph"/>
        <w:numPr>
          <w:ilvl w:val="0"/>
          <w:numId w:val="2"/>
        </w:numPr>
        <w:spacing w:after="80"/>
      </w:pPr>
      <w:r>
        <w:rPr>
          <w:rFonts w:ascii="Calibri" w:cs="Calibri" w:eastAsia="Calibri" w:hAnsi="Calibri"/>
          <w:color w:val="221F1A"/>
          <w:sz w:val="21"/>
          <w:szCs w:val="21"/>
        </w:rPr>
        <w:t xml:space="preserve">State one concrete decision or next step they intend to take before the end of term, and one person they will discuss it with (Educational).</w:t>
      </w:r>
    </w:p>
    <w:p>
      <w:pPr>
        <w:pStyle w:val="ListParagraph"/>
        <w:numPr>
          <w:ilvl w:val="0"/>
          <w:numId w:val="2"/>
        </w:numPr>
        <w:spacing w:after="80"/>
      </w:pPr>
      <w:r>
        <w:rPr>
          <w:rFonts w:ascii="Calibri" w:cs="Calibri" w:eastAsia="Calibri" w:hAnsi="Calibri"/>
          <w:color w:val="221F1A"/>
          <w:sz w:val="21"/>
          <w:szCs w:val="21"/>
        </w:rPr>
        <w:t xml:space="preserve">Name at least one subject, institution, or career example from their own Pathways to Explore section (Vocational, Educational).</w:t>
      </w:r>
    </w:p>
    <w:p>
      <w:pPr>
        <w:pStyle w:val="ListParagraph"/>
        <w:numPr>
          <w:ilvl w:val="0"/>
          <w:numId w:val="2"/>
        </w:numPr>
        <w:spacing w:after="80"/>
      </w:pPr>
      <w:r>
        <w:rPr>
          <w:rFonts w:ascii="Calibri" w:cs="Calibri" w:eastAsia="Calibri" w:hAnsi="Calibri"/>
          <w:color w:val="221F1A"/>
          <w:sz w:val="21"/>
          <w:szCs w:val="21"/>
        </w:rPr>
        <w:t xml:space="preserve">Identify one way their own working style could complement a classmate's different working style on a shared task (Social).</w:t>
      </w:r>
    </w:p>
    <w:p>
      <w:pPr>
        <w:pStyle w:val="Heading1"/>
        <w:pBdr>
          <w:bottom w:val="single" w:color="A8632C" w:sz="6" w:space="4"/>
        </w:pBdr>
        <w:spacing w:after="140" w:before="320"/>
      </w:pPr>
      <w:r>
        <w:rPr>
          <w:rFonts w:ascii="Calibri" w:cs="Calibri" w:eastAsia="Calibri" w:hAnsi="Calibri"/>
          <w:b/>
          <w:bCs/>
          <w:color w:val="7C481E"/>
          <w:sz w:val="30"/>
          <w:szCs w:val="30"/>
        </w:rPr>
        <w:t xml:space="preserve">4. Preparation Checklist</w:t>
      </w:r>
    </w:p>
    <w:p>
      <w:pPr>
        <w:pStyle w:val="ListParagraph"/>
        <w:numPr>
          <w:ilvl w:val="0"/>
          <w:numId w:val="2"/>
        </w:numPr>
        <w:spacing w:after="80"/>
      </w:pPr>
      <w:r>
        <w:rPr>
          <w:rFonts w:ascii="Calibri" w:cs="Calibri" w:eastAsia="Calibri" w:hAnsi="Calibri"/>
          <w:color w:val="221F1A"/>
          <w:sz w:val="21"/>
          <w:szCs w:val="21"/>
        </w:rPr>
        <w:t xml:space="preserve">Enough copies of the Pathway Orientation workbook for every learner, or a plan for shared/photocopied use (see Section 9).</w:t>
      </w:r>
    </w:p>
    <w:p>
      <w:pPr>
        <w:pStyle w:val="ListParagraph"/>
        <w:numPr>
          <w:ilvl w:val="0"/>
          <w:numId w:val="2"/>
        </w:numPr>
        <w:spacing w:after="80"/>
      </w:pPr>
      <w:r>
        <w:rPr>
          <w:rFonts w:ascii="Calibri" w:cs="Calibri" w:eastAsia="Calibri" w:hAnsi="Calibri"/>
          <w:color w:val="221F1A"/>
          <w:sz w:val="21"/>
          <w:szCs w:val="21"/>
        </w:rPr>
        <w:t xml:space="preserve">Pens or pencils.</w:t>
      </w:r>
    </w:p>
    <w:p>
      <w:pPr>
        <w:pStyle w:val="ListParagraph"/>
        <w:numPr>
          <w:ilvl w:val="0"/>
          <w:numId w:val="2"/>
        </w:numPr>
        <w:spacing w:after="80"/>
      </w:pPr>
      <w:r>
        <w:rPr>
          <w:rFonts w:ascii="Calibri" w:cs="Calibri" w:eastAsia="Calibri" w:hAnsi="Calibri"/>
          <w:color w:val="221F1A"/>
          <w:sz w:val="21"/>
          <w:szCs w:val="21"/>
        </w:rPr>
        <w:t xml:space="preserve">This guide, read in full, with Section 7's world-of-work notes marked up in your own words.</w:t>
      </w:r>
    </w:p>
    <w:p>
      <w:pPr>
        <w:pStyle w:val="ListParagraph"/>
        <w:numPr>
          <w:ilvl w:val="0"/>
          <w:numId w:val="2"/>
        </w:numPr>
        <w:spacing w:after="80"/>
      </w:pPr>
      <w:r>
        <w:rPr>
          <w:rFonts w:ascii="Calibri" w:cs="Calibri" w:eastAsia="Calibri" w:hAnsi="Calibri"/>
          <w:color w:val="221F1A"/>
          <w:sz w:val="21"/>
          <w:szCs w:val="21"/>
        </w:rPr>
        <w:t xml:space="preserve">A copy of docs/syllabus-mapping.docx for your own reference, not for learners.</w:t>
      </w:r>
    </w:p>
    <w:p>
      <w:pPr>
        <w:pStyle w:val="ListParagraph"/>
        <w:numPr>
          <w:ilvl w:val="0"/>
          <w:numId w:val="2"/>
        </w:numPr>
        <w:spacing w:after="80"/>
      </w:pPr>
      <w:r>
        <w:rPr>
          <w:rFonts w:ascii="Calibri" w:cs="Calibri" w:eastAsia="Calibri" w:hAnsi="Calibri"/>
          <w:color w:val="221F1A"/>
          <w:sz w:val="21"/>
          <w:szCs w:val="21"/>
        </w:rPr>
        <w:t xml:space="preserve">Awareness of your school's normal safeguarding/referral route, in case Session 3 surfaces a learner who needs individual follow-up (Section 8).</w:t>
      </w:r>
    </w:p>
    <w:p>
      <w:pPr>
        <w:pStyle w:val="Heading1"/>
        <w:pBdr>
          <w:bottom w:val="single" w:color="A8632C" w:sz="6" w:space="4"/>
        </w:pBdr>
        <w:spacing w:after="140" w:before="320"/>
      </w:pPr>
      <w:r>
        <w:rPr>
          <w:rFonts w:ascii="Calibri" w:cs="Calibri" w:eastAsia="Calibri" w:hAnsi="Calibri"/>
          <w:b/>
          <w:bCs/>
          <w:color w:val="7C481E"/>
          <w:sz w:val="30"/>
          <w:szCs w:val="30"/>
        </w:rPr>
        <w:t xml:space="preserve">5. Suggested Session Plan</w:t>
      </w:r>
    </w:p>
    <w:p>
      <w:pPr>
        <w:spacing w:after="120" w:before="0"/>
      </w:pPr>
      <w:r>
        <w:rPr>
          <w:rFonts w:ascii="Calibri" w:cs="Calibri" w:eastAsia="Calibri" w:hAnsi="Calibri"/>
          <w:b w:val="false"/>
          <w:bCs w:val="false"/>
          <w:i w:val="false"/>
          <w:iCs w:val="false"/>
          <w:color w:val="221F1A"/>
          <w:sz w:val="21"/>
          <w:szCs w:val="21"/>
        </w:rPr>
        <w:t xml:space="preserve">Three single periods work well. If your school only has double periods available, Sessions 1 and 2 can be combined; keep Session 3 separate, since it needs unhurried discussion time.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500"/>
        <w:gridCol w:w="1400"/>
        <w:gridCol w:w="3606"/>
      </w:tblGrid>
      <w:tr>
        <w:trPr>
          <w:tblHeader/>
        </w:trPr>
        <w:tc>
          <w:tcPr>
            <w:tcW w:type="dxa" w:w="6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w:t>
            </w:r>
          </w:p>
        </w:tc>
        <w:tc>
          <w:tcPr>
            <w:tcW w:type="dxa" w:w="30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Session focus</w:t>
            </w:r>
          </w:p>
        </w:tc>
        <w:tc>
          <w:tcPr>
            <w:tcW w:type="dxa" w:w="15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Time</w:t>
            </w:r>
          </w:p>
        </w:tc>
        <w:tc>
          <w:tcPr>
            <w:tcW w:type="dxa" w:w="14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Domain(s)</w:t>
            </w:r>
          </w:p>
        </w:tc>
        <w:tc>
          <w:tcPr>
            <w:tcW w:type="dxa" w:w="3606"/>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What happens</w:t>
            </w:r>
          </w:p>
        </w:tc>
      </w:tr>
      <w:tr>
        <w:tc>
          <w:tcPr>
            <w:tcW w:type="dxa" w:w="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1</w:t>
            </w:r>
          </w:p>
        </w:tc>
        <w:tc>
          <w:tcPr>
            <w:tcW w:type="dxa" w:w="30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Introduction &amp; Self-Assessment</w:t>
            </w:r>
          </w:p>
        </w:tc>
        <w:tc>
          <w:tcPr>
            <w:tcW w:type="dxa" w:w="15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~40 min</w:t>
            </w:r>
          </w:p>
        </w:tc>
        <w:tc>
          <w:tcPr>
            <w:tcW w:type="dxa" w:w="14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Personal</w:t>
            </w:r>
          </w:p>
        </w:tc>
        <w:tc>
          <w:tcPr>
            <w:tcW w:type="dxa" w:w="36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Ground rules, framing, complete the 42-item questionnaire</w:t>
            </w:r>
          </w:p>
        </w:tc>
      </w:tr>
      <w:tr>
        <w:tc>
          <w:tcPr>
            <w:tcW w:type="dxa" w:w="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2</w:t>
            </w:r>
          </w:p>
        </w:tc>
        <w:tc>
          <w:tcPr>
            <w:tcW w:type="dxa" w:w="30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Scoring &amp; Reading Your Result</w:t>
            </w:r>
          </w:p>
        </w:tc>
        <w:tc>
          <w:tcPr>
            <w:tcW w:type="dxa" w:w="15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~40 min</w:t>
            </w:r>
          </w:p>
        </w:tc>
        <w:tc>
          <w:tcPr>
            <w:tcW w:type="dxa" w:w="14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Personal</w:t>
            </w:r>
          </w:p>
        </w:tc>
        <w:tc>
          <w:tcPr>
            <w:tcW w:type="dxa" w:w="36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Self-score using the Scoring Key and Lookup Table; read own profile pages</w:t>
            </w:r>
          </w:p>
        </w:tc>
      </w:tr>
      <w:tr>
        <w:tc>
          <w:tcPr>
            <w:tcW w:type="dxa" w:w="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3</w:t>
            </w:r>
          </w:p>
        </w:tc>
        <w:tc>
          <w:tcPr>
            <w:tcW w:type="dxa" w:w="30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World of Work, Decisions, Pathways &amp; Working Together</w:t>
            </w:r>
          </w:p>
        </w:tc>
        <w:tc>
          <w:tcPr>
            <w:tcW w:type="dxa" w:w="15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~45–85 min</w:t>
            </w:r>
          </w:p>
        </w:tc>
        <w:tc>
          <w:tcPr>
            <w:tcW w:type="dxa" w:w="14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Vocational, Educational, Social</w:t>
            </w:r>
          </w:p>
        </w:tc>
        <w:tc>
          <w:tcPr>
            <w:tcW w:type="dxa" w:w="36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Facilitator input on realities of each orientation's work; goal-setting worksheet; pathways discussion with a short teamwork reflection</w:t>
            </w:r>
          </w:p>
        </w:tc>
      </w:tr>
    </w:tbl>
    <w:p>
      <w:r>
        <w:br w:type="page"/>
      </w:r>
    </w:p>
    <w:p>
      <w:pPr>
        <w:pStyle w:val="Heading1"/>
        <w:pBdr>
          <w:bottom w:val="single" w:color="A8632C" w:sz="6" w:space="4"/>
        </w:pBdr>
        <w:spacing w:after="140" w:before="320"/>
      </w:pPr>
      <w:r>
        <w:rPr>
          <w:rFonts w:ascii="Calibri" w:cs="Calibri" w:eastAsia="Calibri" w:hAnsi="Calibri"/>
          <w:b/>
          <w:bCs/>
          <w:color w:val="7C481E"/>
          <w:sz w:val="30"/>
          <w:szCs w:val="30"/>
        </w:rPr>
        <w:t xml:space="preserve">6. Session 1 — Introduction &amp; Self-Assessment</w:t>
      </w:r>
    </w:p>
    <w:p>
      <w:pPr>
        <w:pStyle w:val="Heading3"/>
        <w:spacing w:after="80" w:before="160"/>
      </w:pPr>
      <w:r>
        <w:rPr>
          <w:rFonts w:ascii="Calibri" w:cs="Calibri" w:eastAsia="Calibri" w:hAnsi="Calibri"/>
          <w:b/>
          <w:bCs/>
          <w:color w:val="A8632C"/>
          <w:sz w:val="21"/>
          <w:szCs w:val="21"/>
        </w:rPr>
        <w:t xml:space="preserve">PSVE area: Personal</w:t>
      </w:r>
    </w:p>
    <w:p>
      <w:pPr>
        <w:pStyle w:val="ListParagraph"/>
        <w:numPr>
          <w:ilvl w:val="0"/>
          <w:numId w:val="3"/>
        </w:numPr>
        <w:spacing w:after="100"/>
      </w:pPr>
      <w:r>
        <w:rPr>
          <w:rFonts w:ascii="Calibri" w:cs="Calibri" w:eastAsia="Calibri" w:hAnsi="Calibri"/>
          <w:color w:val="221F1A"/>
          <w:sz w:val="21"/>
          <w:szCs w:val="21"/>
        </w:rPr>
        <w:t xml:space="preserve">Welcome learners and explain, in your own words, the Section 2 framing above (what this is, and is not).</w:t>
      </w:r>
    </w:p>
    <w:p>
      <w:pPr>
        <w:pStyle w:val="ListParagraph"/>
        <w:numPr>
          <w:ilvl w:val="0"/>
          <w:numId w:val="3"/>
        </w:numPr>
        <w:spacing w:after="100"/>
      </w:pPr>
      <w:r>
        <w:rPr>
          <w:rFonts w:ascii="Calibri" w:cs="Calibri" w:eastAsia="Calibri" w:hAnsi="Calibri"/>
          <w:color w:val="221F1A"/>
          <w:sz w:val="21"/>
          <w:szCs w:val="21"/>
        </w:rPr>
        <w:t xml:space="preserve">Set ground rules: honest answers, no right or wrong answers, no need to show anyone else your answers, and sharing your result later is always optional.</w:t>
      </w:r>
    </w:p>
    <w:p>
      <w:pPr>
        <w:pStyle w:val="ListParagraph"/>
        <w:numPr>
          <w:ilvl w:val="0"/>
          <w:numId w:val="3"/>
        </w:numPr>
        <w:spacing w:after="100"/>
      </w:pPr>
      <w:r>
        <w:rPr>
          <w:rFonts w:ascii="Calibri" w:cs="Calibri" w:eastAsia="Calibri" w:hAnsi="Calibri"/>
          <w:color w:val="221F1A"/>
          <w:sz w:val="21"/>
          <w:szCs w:val="21"/>
        </w:rPr>
        <w:t xml:space="preserve">Hand out workbooks (or arrange shared use — see Section 9) and read the instructions and 1–5 scale together as a class.</w:t>
      </w:r>
    </w:p>
    <w:p>
      <w:pPr>
        <w:pStyle w:val="ListParagraph"/>
        <w:numPr>
          <w:ilvl w:val="0"/>
          <w:numId w:val="3"/>
        </w:numPr>
        <w:spacing w:after="100"/>
      </w:pPr>
      <w:r>
        <w:rPr>
          <w:rFonts w:ascii="Calibri" w:cs="Calibri" w:eastAsia="Calibri" w:hAnsi="Calibri"/>
          <w:color w:val="221F1A"/>
          <w:sz w:val="21"/>
          <w:szCs w:val="21"/>
        </w:rPr>
        <w:t xml:space="preserve">Let learners work through all 42 questions individually and silently. Circulate to answer procedural questions only (e.g. “what does this word mean”) — do not help them decide how to answer.</w:t>
      </w:r>
    </w:p>
    <w:p>
      <w:pPr>
        <w:pStyle w:val="ListParagraph"/>
        <w:numPr>
          <w:ilvl w:val="0"/>
          <w:numId w:val="3"/>
        </w:numPr>
        <w:spacing w:after="100"/>
      </w:pPr>
      <w:r>
        <w:rPr>
          <w:rFonts w:ascii="Calibri" w:cs="Calibri" w:eastAsia="Calibri" w:hAnsi="Calibri"/>
          <w:color w:val="221F1A"/>
          <w:sz w:val="21"/>
          <w:szCs w:val="21"/>
        </w:rPr>
        <w:t xml:space="preserve">Collect workbooks if you are re-using them, or ask learners to keep them safe until Session 2.</w:t>
      </w:r>
    </w:p>
    <w:p>
      <w:pPr>
        <w:pStyle w:val="Heading1"/>
        <w:pBdr>
          <w:bottom w:val="single" w:color="A8632C" w:sz="6" w:space="4"/>
        </w:pBdr>
        <w:spacing w:after="140" w:before="320"/>
      </w:pPr>
      <w:r>
        <w:rPr>
          <w:rFonts w:ascii="Calibri" w:cs="Calibri" w:eastAsia="Calibri" w:hAnsi="Calibri"/>
          <w:b/>
          <w:bCs/>
          <w:color w:val="7C481E"/>
          <w:sz w:val="30"/>
          <w:szCs w:val="30"/>
        </w:rPr>
        <w:t xml:space="preserve">7. Session 2 — Scoring &amp; Reading Your Result</w:t>
      </w:r>
    </w:p>
    <w:p>
      <w:pPr>
        <w:pStyle w:val="Heading3"/>
        <w:spacing w:after="80" w:before="160"/>
      </w:pPr>
      <w:r>
        <w:rPr>
          <w:rFonts w:ascii="Calibri" w:cs="Calibri" w:eastAsia="Calibri" w:hAnsi="Calibri"/>
          <w:b/>
          <w:bCs/>
          <w:color w:val="A8632C"/>
          <w:sz w:val="21"/>
          <w:szCs w:val="21"/>
        </w:rPr>
        <w:t xml:space="preserve">PSVE area: Personal</w:t>
      </w:r>
    </w:p>
    <w:p>
      <w:pPr>
        <w:pStyle w:val="ListParagraph"/>
        <w:numPr>
          <w:ilvl w:val="0"/>
          <w:numId w:val="3"/>
        </w:numPr>
        <w:spacing w:after="100"/>
      </w:pPr>
      <w:r>
        <w:rPr>
          <w:rFonts w:ascii="Calibri" w:cs="Calibri" w:eastAsia="Calibri" w:hAnsi="Calibri"/>
          <w:color w:val="221F1A"/>
          <w:sz w:val="21"/>
          <w:szCs w:val="21"/>
        </w:rPr>
        <w:t xml:space="preserve">Remind learners of the ground rules from Session 1.</w:t>
      </w:r>
    </w:p>
    <w:p>
      <w:pPr>
        <w:pStyle w:val="ListParagraph"/>
        <w:numPr>
          <w:ilvl w:val="0"/>
          <w:numId w:val="3"/>
        </w:numPr>
        <w:spacing w:after="100"/>
      </w:pPr>
      <w:r>
        <w:rPr>
          <w:rFonts w:ascii="Calibri" w:cs="Calibri" w:eastAsia="Calibri" w:hAnsi="Calibri"/>
          <w:color w:val="221F1A"/>
          <w:sz w:val="21"/>
          <w:szCs w:val="21"/>
        </w:rPr>
        <w:t xml:space="preserve">Walk through the Scoring Key as a class: which question numbers belong to which orientation.</w:t>
      </w:r>
    </w:p>
    <w:p>
      <w:pPr>
        <w:pStyle w:val="ListParagraph"/>
        <w:numPr>
          <w:ilvl w:val="0"/>
          <w:numId w:val="3"/>
        </w:numPr>
        <w:spacing w:after="100"/>
      </w:pPr>
      <w:r>
        <w:rPr>
          <w:rFonts w:ascii="Calibri" w:cs="Calibri" w:eastAsia="Calibri" w:hAnsi="Calibri"/>
          <w:color w:val="221F1A"/>
          <w:sz w:val="21"/>
          <w:szCs w:val="21"/>
        </w:rPr>
        <w:t xml:space="preserve">Let learners total their own raw score per orientation, then use the Score Lookup Table to convert each to a percentage. Working in pairs to check each other's addition speeds this up.</w:t>
      </w:r>
    </w:p>
    <w:p>
      <w:pPr>
        <w:pStyle w:val="ListParagraph"/>
        <w:numPr>
          <w:ilvl w:val="0"/>
          <w:numId w:val="3"/>
        </w:numPr>
        <w:spacing w:after="100"/>
      </w:pPr>
      <w:r>
        <w:rPr>
          <w:rFonts w:ascii="Calibri" w:cs="Calibri" w:eastAsia="Calibri" w:hAnsi="Calibri"/>
          <w:color w:val="221F1A"/>
          <w:sz w:val="21"/>
          <w:szCs w:val="21"/>
        </w:rPr>
        <w:t xml:space="preserve">Once each learner has their Dominant, Secondary and Shadow orientation, let them read their own three profile pages silently.</w:t>
      </w:r>
    </w:p>
    <w:p>
      <w:pPr>
        <w:pStyle w:val="ListParagraph"/>
        <w:numPr>
          <w:ilvl w:val="0"/>
          <w:numId w:val="3"/>
        </w:numPr>
        <w:spacing w:after="100"/>
      </w:pPr>
      <w:r>
        <w:rPr>
          <w:rFonts w:ascii="Calibri" w:cs="Calibri" w:eastAsia="Calibri" w:hAnsi="Calibri"/>
          <w:color w:val="221F1A"/>
          <w:sz w:val="21"/>
          <w:szCs w:val="21"/>
        </w:rPr>
        <w:t xml:space="preserve">Close with one private, written reflection (not collected): “What is one sentence from your Dominant profile that felt true?”</w:t>
      </w:r>
    </w:p>
    <w:p>
      <w:r>
        <w:br w:type="page"/>
      </w:r>
    </w:p>
    <w:p>
      <w:pPr>
        <w:pStyle w:val="Heading1"/>
        <w:pBdr>
          <w:bottom w:val="single" w:color="A8632C" w:sz="6" w:space="4"/>
        </w:pBdr>
        <w:spacing w:after="140" w:before="320"/>
      </w:pPr>
      <w:r>
        <w:rPr>
          <w:rFonts w:ascii="Calibri" w:cs="Calibri" w:eastAsia="Calibri" w:hAnsi="Calibri"/>
          <w:b/>
          <w:bCs/>
          <w:color w:val="7C481E"/>
          <w:sz w:val="30"/>
          <w:szCs w:val="30"/>
        </w:rPr>
        <w:t xml:space="preserve">8. Session 3 — World of Work, Decisions, Pathways &amp; Working Together</w:t>
      </w:r>
    </w:p>
    <w:p>
      <w:pPr>
        <w:pStyle w:val="Heading3"/>
        <w:spacing w:after="80" w:before="160"/>
      </w:pPr>
      <w:r>
        <w:rPr>
          <w:rFonts w:ascii="Calibri" w:cs="Calibri" w:eastAsia="Calibri" w:hAnsi="Calibri"/>
          <w:b/>
          <w:bCs/>
          <w:color w:val="A8632C"/>
          <w:sz w:val="21"/>
          <w:szCs w:val="21"/>
        </w:rPr>
        <w:t xml:space="preserve">PSVE areas: Vocational, Educational, Social</w:t>
      </w:r>
    </w:p>
    <w:p>
      <w:pPr>
        <w:spacing w:after="120" w:before="0"/>
      </w:pPr>
      <w:r>
        <w:rPr>
          <w:rFonts w:ascii="Calibri" w:cs="Calibri" w:eastAsia="Calibri" w:hAnsi="Calibri"/>
          <w:b w:val="false"/>
          <w:bCs w:val="false"/>
          <w:i w:val="false"/>
          <w:iCs w:val="false"/>
          <w:color w:val="221F1A"/>
          <w:sz w:val="21"/>
          <w:szCs w:val="21"/>
        </w:rPr>
        <w:t xml:space="preserve">The printed workbook is strongest on self-awareness (Personal) and on naming subjects/institutions (Educational), and weaker on what the work is actually like day-to-day (Vocational), on explicit decision-making (Educational), and on working with people whose orientation differs from your own (Social). This session is where you supply all three, live.</w:t>
      </w:r>
    </w:p>
    <w:p>
      <w:pPr>
        <w:pStyle w:val="Heading2"/>
        <w:spacing w:after="100" w:before="220"/>
      </w:pPr>
      <w:r>
        <w:rPr>
          <w:rFonts w:ascii="Calibri" w:cs="Calibri" w:eastAsia="Calibri" w:hAnsi="Calibri"/>
          <w:b/>
          <w:bCs/>
          <w:color w:val="7C481E"/>
          <w:sz w:val="24"/>
          <w:szCs w:val="24"/>
        </w:rPr>
        <w:t xml:space="preserve">8.1 World of Work (Vocational)</w:t>
      </w:r>
    </w:p>
    <w:p>
      <w:pPr>
        <w:spacing w:after="120" w:before="0"/>
      </w:pPr>
      <w:r>
        <w:rPr>
          <w:rFonts w:ascii="Calibri" w:cs="Calibri" w:eastAsia="Calibri" w:hAnsi="Calibri"/>
          <w:b w:val="false"/>
          <w:bCs w:val="false"/>
          <w:i w:val="false"/>
          <w:iCs w:val="false"/>
          <w:color w:val="221F1A"/>
          <w:sz w:val="21"/>
          <w:szCs w:val="21"/>
        </w:rPr>
        <w:t xml:space="preserve">Read or paraphrase the note for each orientation represented in your class. Keep it honest — including the less glamorous parts named below is deliberate.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tblHeader/>
        </w:trPr>
        <w:tc>
          <w:tcPr>
            <w:tcW w:type="dxa" w:w="26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Orientation</w:t>
            </w:r>
          </w:p>
        </w:tc>
        <w:tc>
          <w:tcPr>
            <w:tcW w:type="dxa" w:w="7506"/>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What the work is actually like (read aloud or paraphrase)</w:t>
            </w:r>
          </w:p>
        </w:tc>
      </w:tr>
      <w:tr>
        <w:tc>
          <w:tcPr>
            <w:tcW w:type="dxa" w:w="2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Order Orientation — The Builder</w:t>
            </w:r>
          </w:p>
        </w:tc>
        <w:tc>
          <w:tcPr>
            <w:tcW w:type="dxa" w:w="7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People with strong Order often end up in work where a small mistake matters a lot — a wrong measurement on a building, an error in an accounts book. Much of the day is quiet and methodical: checking, planning, and following procedures precisely, sometimes for months before a project is finished.</w:t>
            </w:r>
          </w:p>
        </w:tc>
      </w:tr>
      <w:tr>
        <w:tc>
          <w:tcPr>
            <w:tcW w:type="dxa" w:w="2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Form Orientation — The Creator</w:t>
            </w:r>
          </w:p>
        </w:tc>
        <w:tc>
          <w:tcPr>
            <w:tcW w:type="dxa" w:w="75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Creative work often means long stretches with no fixed instructions — you decide what “good” looks like yourself. Income can be irregular, especially early on, and most people in creative fields also do other paid work alongside their craft.</w:t>
            </w:r>
          </w:p>
        </w:tc>
      </w:tr>
      <w:tr>
        <w:tc>
          <w:tcPr>
            <w:tcW w:type="dxa" w:w="2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Coordination Orientation — The Orchestrator</w:t>
            </w:r>
          </w:p>
        </w:tc>
        <w:tc>
          <w:tcPr>
            <w:tcW w:type="dxa" w:w="7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This work is mostly about people, not tasks — meetings, phone calls, and sorting out clashes between what different people want. It can be tiring because your day depends on everyone else's day going to plan, which it often does not.</w:t>
            </w:r>
          </w:p>
        </w:tc>
      </w:tr>
      <w:tr>
        <w:tc>
          <w:tcPr>
            <w:tcW w:type="dxa" w:w="2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Discovery Orientation — The Explorer</w:t>
            </w:r>
          </w:p>
        </w:tc>
        <w:tc>
          <w:tcPr>
            <w:tcW w:type="dxa" w:w="75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Research and exploration work is slow. Real discoveries can take years, with many failed attempts along the way. It suits someone who can stay curious and keep trying even when most experiments or investigations do not succeed.</w:t>
            </w:r>
          </w:p>
        </w:tc>
      </w:tr>
      <w:tr>
        <w:tc>
          <w:tcPr>
            <w:tcW w:type="dxa" w:w="2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Integration Orientation — The Guide</w:t>
            </w:r>
          </w:p>
        </w:tc>
        <w:tc>
          <w:tcPr>
            <w:tcW w:type="dxa" w:w="7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Teaching, counselling and mentoring work is emotionally demanding as well as practically demanding — you carry other people's setbacks alongside your own. It is also often paid less than its importance deserves, which is worth naming honestly.</w:t>
            </w:r>
          </w:p>
        </w:tc>
      </w:tr>
      <w:tr>
        <w:tc>
          <w:tcPr>
            <w:tcW w:type="dxa" w:w="26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Preservation Orientation — The Guardian</w:t>
            </w:r>
          </w:p>
        </w:tc>
        <w:tc>
          <w:tcPr>
            <w:tcW w:type="dxa" w:w="75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This work often means being the one who says no, holds a line, or insists on doing things properly when it would be quicker not to. It can be thankless day-to-day, and is usually only noticed when something goes wrong that it prevented.</w:t>
            </w:r>
          </w:p>
        </w:tc>
      </w:tr>
      <w:tr>
        <w:tc>
          <w:tcPr>
            <w:tcW w:type="dxa" w:w="26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Transformation Orientation — The Transmuter</w:t>
            </w:r>
          </w:p>
        </w:tc>
        <w:tc>
          <w:tcPr>
            <w:tcW w:type="dxa" w:w="7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Change-focused work is unstable by nature — you may need to start over more than once, and not every idea or business will succeed. Financial security often comes later than in more traditional careers, if it comes from this path at all.</w:t>
            </w:r>
          </w:p>
        </w:tc>
      </w:tr>
    </w:tbl>
    <w:p>
      <w:pPr>
        <w:pStyle w:val="Heading2"/>
        <w:spacing w:after="100" w:before="220"/>
      </w:pPr>
      <w:r>
        <w:rPr>
          <w:rFonts w:ascii="Calibri" w:cs="Calibri" w:eastAsia="Calibri" w:hAnsi="Calibri"/>
          <w:b/>
          <w:bCs/>
          <w:color w:val="7C481E"/>
          <w:sz w:val="24"/>
          <w:szCs w:val="24"/>
        </w:rPr>
        <w:t xml:space="preserve">8.2 Decision-Making Worksheet (Educational)</w:t>
      </w:r>
    </w:p>
    <w:p>
      <w:pPr>
        <w:spacing w:after="120" w:before="0"/>
      </w:pPr>
      <w:r>
        <w:rPr>
          <w:rFonts w:ascii="Calibri" w:cs="Calibri" w:eastAsia="Calibri" w:hAnsi="Calibri"/>
          <w:b w:val="false"/>
          <w:bCs w:val="false"/>
          <w:i w:val="false"/>
          <w:iCs w:val="false"/>
          <w:color w:val="221F1A"/>
          <w:sz w:val="21"/>
          <w:szCs w:val="21"/>
        </w:rPr>
        <w:t xml:space="preserve">Give each learner a few private minutes to write short answers (in their exercise book, not the workbook) to:</w:t>
      </w:r>
    </w:p>
    <w:p>
      <w:pPr>
        <w:pStyle w:val="ListParagraph"/>
        <w:numPr>
          <w:ilvl w:val="0"/>
          <w:numId w:val="2"/>
        </w:numPr>
        <w:spacing w:after="80"/>
      </w:pPr>
      <w:r>
        <w:rPr>
          <w:rFonts w:ascii="Calibri" w:cs="Calibri" w:eastAsia="Calibri" w:hAnsi="Calibri"/>
          <w:color w:val="221F1A"/>
          <w:sz w:val="21"/>
          <w:szCs w:val="21"/>
        </w:rPr>
        <w:t xml:space="preserve">My dominant orientation is ______. One thing that surprised me about my result is ______.</w:t>
      </w:r>
    </w:p>
    <w:p>
      <w:pPr>
        <w:pStyle w:val="ListParagraph"/>
        <w:numPr>
          <w:ilvl w:val="0"/>
          <w:numId w:val="2"/>
        </w:numPr>
        <w:spacing w:after="80"/>
      </w:pPr>
      <w:r>
        <w:rPr>
          <w:rFonts w:ascii="Calibri" w:cs="Calibri" w:eastAsia="Calibri" w:hAnsi="Calibri"/>
          <w:color w:val="221F1A"/>
          <w:sz w:val="21"/>
          <w:szCs w:val="21"/>
        </w:rPr>
        <w:t xml:space="preserve">One subject I will pay more attention to this term because of today is ______.</w:t>
      </w:r>
    </w:p>
    <w:p>
      <w:pPr>
        <w:pStyle w:val="ListParagraph"/>
        <w:numPr>
          <w:ilvl w:val="0"/>
          <w:numId w:val="2"/>
        </w:numPr>
        <w:spacing w:after="80"/>
      </w:pPr>
      <w:r>
        <w:rPr>
          <w:rFonts w:ascii="Calibri" w:cs="Calibri" w:eastAsia="Calibri" w:hAnsi="Calibri"/>
          <w:color w:val="221F1A"/>
          <w:sz w:val="21"/>
          <w:szCs w:val="21"/>
        </w:rPr>
        <w:t xml:space="preserve">One career or field from my Pathways to Explore that I want to find out more about is ______.</w:t>
      </w:r>
    </w:p>
    <w:p>
      <w:pPr>
        <w:pStyle w:val="ListParagraph"/>
        <w:numPr>
          <w:ilvl w:val="0"/>
          <w:numId w:val="2"/>
        </w:numPr>
        <w:spacing w:after="80"/>
      </w:pPr>
      <w:r>
        <w:rPr>
          <w:rFonts w:ascii="Calibri" w:cs="Calibri" w:eastAsia="Calibri" w:hAnsi="Calibri"/>
          <w:color w:val="221F1A"/>
          <w:sz w:val="21"/>
          <w:szCs w:val="21"/>
        </w:rPr>
        <w:t xml:space="preserve">One person I will talk to about this before the end of term is ______.</w:t>
      </w:r>
    </w:p>
    <w:p>
      <w:pPr>
        <w:pStyle w:val="ListParagraph"/>
        <w:numPr>
          <w:ilvl w:val="0"/>
          <w:numId w:val="2"/>
        </w:numPr>
        <w:spacing w:after="80"/>
      </w:pPr>
      <w:r>
        <w:rPr>
          <w:rFonts w:ascii="Calibri" w:cs="Calibri" w:eastAsia="Calibri" w:hAnsi="Calibri"/>
          <w:color w:val="221F1A"/>
          <w:sz w:val="21"/>
          <w:szCs w:val="21"/>
        </w:rPr>
        <w:t xml:space="preserve">One thing that could get in the way of this plan, and what I will do about it, is ______.</w:t>
      </w:r>
    </w:p>
    <w:p>
      <w:pPr>
        <w:pStyle w:val="Heading2"/>
        <w:spacing w:after="100" w:before="220"/>
      </w:pPr>
      <w:r>
        <w:rPr>
          <w:rFonts w:ascii="Calibri" w:cs="Calibri" w:eastAsia="Calibri" w:hAnsi="Calibri"/>
          <w:b/>
          <w:bCs/>
          <w:color w:val="7C481E"/>
          <w:sz w:val="24"/>
          <w:szCs w:val="24"/>
        </w:rPr>
        <w:t xml:space="preserve">8.3 Pathways Discussion &amp; Working Together (Educational, Vocational, Social)</w:t>
      </w:r>
    </w:p>
    <w:p>
      <w:pPr>
        <w:spacing w:after="120" w:before="0"/>
      </w:pPr>
      <w:r>
        <w:rPr>
          <w:rFonts w:ascii="Calibri" w:cs="Calibri" w:eastAsia="Calibri" w:hAnsi="Calibri"/>
          <w:b w:val="false"/>
          <w:bCs w:val="false"/>
          <w:i w:val="false"/>
          <w:iCs w:val="false"/>
          <w:color w:val="221F1A"/>
          <w:sz w:val="21"/>
          <w:szCs w:val="21"/>
        </w:rPr>
        <w:t xml:space="preserve">In small groups (mixed dominant orientations work best), let learners share one item each from their own Pathways to Explore section — a subject, institution, or career example — and why it appealed to them.</w:t>
      </w:r>
    </w:p>
    <w:p>
      <w:pPr>
        <w:spacing w:after="120" w:before="0"/>
      </w:pPr>
      <w:r>
        <w:rPr>
          <w:rFonts w:ascii="Calibri" w:cs="Calibri" w:eastAsia="Calibri" w:hAnsi="Calibri"/>
          <w:b w:val="false"/>
          <w:bCs w:val="false"/>
          <w:i w:val="false"/>
          <w:iCs w:val="false"/>
          <w:color w:val="221F1A"/>
          <w:sz w:val="21"/>
          <w:szCs w:val="21"/>
        </w:rPr>
        <w:t xml:space="preserve">Then, in the same small group, pose this question: “Imagine your group has been given one shared class project. Looking at each person's dominant orientation, what would each of you naturally be good at contributing? Is there an orientation missing from your group, and how could you cover for that gap together?” Give groups 5–8 minutes to discuss, then invite one or two groups to share one insight with the whole class.</w:t>
      </w:r>
    </w:p>
    <w:p>
      <w:pPr>
        <w:spacing w:after="120" w:before="0"/>
      </w:pPr>
      <w:r>
        <w:rPr>
          <w:rFonts w:ascii="Calibri" w:cs="Calibri" w:eastAsia="Calibri" w:hAnsi="Calibri"/>
          <w:b w:val="false"/>
          <w:bCs w:val="false"/>
          <w:i w:val="false"/>
          <w:iCs w:val="false"/>
          <w:color w:val="221F1A"/>
          <w:sz w:val="21"/>
          <w:szCs w:val="21"/>
        </w:rPr>
        <w:t xml:space="preserve">Close with a whole-class round of one word each learner is taking away from today.</w:t>
      </w:r>
    </w:p>
    <w:p>
      <w:pPr>
        <w:pStyle w:val="Heading1"/>
        <w:pBdr>
          <w:bottom w:val="single" w:color="A8632C" w:sz="6" w:space="4"/>
        </w:pBdr>
        <w:spacing w:after="140" w:before="320"/>
      </w:pPr>
      <w:r>
        <w:rPr>
          <w:rFonts w:ascii="Calibri" w:cs="Calibri" w:eastAsia="Calibri" w:hAnsi="Calibri"/>
          <w:b/>
          <w:bCs/>
          <w:color w:val="7C481E"/>
          <w:sz w:val="30"/>
          <w:szCs w:val="30"/>
        </w:rPr>
        <w:t xml:space="preserve">9. Adaptations for Resource-Constrained Settings</w:t>
      </w:r>
    </w:p>
    <w:p>
      <w:pPr>
        <w:pStyle w:val="ListParagraph"/>
        <w:numPr>
          <w:ilvl w:val="0"/>
          <w:numId w:val="2"/>
        </w:numPr>
        <w:spacing w:after="80"/>
      </w:pPr>
      <w:r>
        <w:rPr>
          <w:rFonts w:ascii="Calibri" w:cs="Calibri" w:eastAsia="Calibri" w:hAnsi="Calibri"/>
          <w:color w:val="221F1A"/>
          <w:sz w:val="21"/>
          <w:szCs w:val="21"/>
        </w:rPr>
        <w:t xml:space="preserve">Not enough printed workbooks: learners can copy the 1–5 scale and question numbers into an exercise book and mark their answers there instead of on the tick-box grid.</w:t>
      </w:r>
    </w:p>
    <w:p>
      <w:pPr>
        <w:pStyle w:val="ListParagraph"/>
        <w:numPr>
          <w:ilvl w:val="0"/>
          <w:numId w:val="2"/>
        </w:numPr>
        <w:spacing w:after="80"/>
      </w:pPr>
      <w:r>
        <w:rPr>
          <w:rFonts w:ascii="Calibri" w:cs="Calibri" w:eastAsia="Calibri" w:hAnsi="Calibri"/>
          <w:color w:val="221F1A"/>
          <w:sz w:val="21"/>
          <w:szCs w:val="21"/>
        </w:rPr>
        <w:t xml:space="preserve">No photocopier: read questions aloud to the whole class, with learners marking privately on a numbered sheet at their own pace.</w:t>
      </w:r>
    </w:p>
    <w:p>
      <w:pPr>
        <w:pStyle w:val="ListParagraph"/>
        <w:numPr>
          <w:ilvl w:val="0"/>
          <w:numId w:val="2"/>
        </w:numPr>
        <w:spacing w:after="80"/>
      </w:pPr>
      <w:r>
        <w:rPr>
          <w:rFonts w:ascii="Calibri" w:cs="Calibri" w:eastAsia="Calibri" w:hAnsi="Calibri"/>
          <w:color w:val="221F1A"/>
          <w:sz w:val="21"/>
          <w:szCs w:val="21"/>
        </w:rPr>
        <w:t xml:space="preserve">Large classes: have learners self-score in pairs during Session 2 to keep the Scoring Key and Lookup Table step moving.</w:t>
      </w:r>
    </w:p>
    <w:p>
      <w:pPr>
        <w:pStyle w:val="ListParagraph"/>
        <w:numPr>
          <w:ilvl w:val="0"/>
          <w:numId w:val="2"/>
        </w:numPr>
        <w:spacing w:after="80"/>
      </w:pPr>
      <w:r>
        <w:rPr>
          <w:rFonts w:ascii="Calibri" w:cs="Calibri" w:eastAsia="Calibri" w:hAnsi="Calibri"/>
          <w:color w:val="221F1A"/>
          <w:sz w:val="21"/>
          <w:szCs w:val="21"/>
        </w:rPr>
        <w:t xml:space="preserve">No computers or internet are needed at any point — the workbook and this guide are both designed to work entirely on paper.</w:t>
      </w:r>
    </w:p>
    <w:p>
      <w:pPr>
        <w:pStyle w:val="Heading1"/>
        <w:pBdr>
          <w:bottom w:val="single" w:color="A8632C" w:sz="6" w:space="4"/>
        </w:pBdr>
        <w:spacing w:after="140" w:before="320"/>
      </w:pPr>
      <w:r>
        <w:rPr>
          <w:rFonts w:ascii="Calibri" w:cs="Calibri" w:eastAsia="Calibri" w:hAnsi="Calibri"/>
          <w:b/>
          <w:bCs/>
          <w:color w:val="7C481E"/>
          <w:sz w:val="30"/>
          <w:szCs w:val="30"/>
        </w:rPr>
        <w:t xml:space="preserve">10. Handling Sensitive Moments and Common Questions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200"/>
        <w:gridCol w:w="5906"/>
      </w:tblGrid>
      <w:tr>
        <w:trPr>
          <w:tblHeader/>
        </w:trPr>
        <w:tc>
          <w:tcPr>
            <w:tcW w:type="dxa" w:w="42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Situation</w:t>
            </w:r>
          </w:p>
        </w:tc>
        <w:tc>
          <w:tcPr>
            <w:tcW w:type="dxa" w:w="5906"/>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What to do</w:t>
            </w:r>
          </w:p>
        </w:tc>
      </w:tr>
      <w:tr>
        <w:tc>
          <w:tcPr>
            <w:tcW w:type="dxa" w:w="4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A student's result doesn't match what their parents or guardians want them to study.</w:t>
            </w:r>
          </w:p>
        </w:tc>
        <w:tc>
          <w:tcPr>
            <w:tcW w:type="dxa" w:w="5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Do not treat the workbook as overriding family input. Acknowledge both: “Your result is one useful piece of information about yourself — it sits alongside what your family wants for you and what the school advises, not above them.” Offer to help the student prepare for that conversation at home rather than have it for them.</w:t>
            </w:r>
          </w:p>
        </w:tc>
      </w:tr>
      <w:tr>
        <w:tc>
          <w:tcPr>
            <w:tcW w:type="dxa" w:w="42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A student is upset or defensive about their Shadow orientation.</w:t>
            </w:r>
          </w:p>
        </w:tc>
        <w:tc>
          <w:tcPr>
            <w:tcW w:type="dxa" w:w="59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Reassure them immediately: Shadow means quietest right now, not broken, and everyone has one. Redirect attention to their Dominant and Secondary strengths. If distress continues beyond the session, refer to the school counsellor for follow-up unrelated to this activity.</w:t>
            </w:r>
          </w:p>
        </w:tc>
      </w:tr>
      <w:tr>
        <w:tc>
          <w:tcPr>
            <w:tcW w:type="dxa" w:w="4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A student refuses to share their result with the class.</w:t>
            </w:r>
          </w:p>
        </w:tc>
        <w:tc>
          <w:tcPr>
            <w:tcW w:type="dxa" w:w="5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That is always their right. Completing the workbook can be a required class activity; sharing the result out loud must always stay voluntary.</w:t>
            </w:r>
          </w:p>
        </w:tc>
      </w:tr>
      <w:tr>
        <w:tc>
          <w:tcPr>
            <w:tcW w:type="dxa" w:w="42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A student asks if this is a “real” personality test.</w:t>
            </w:r>
          </w:p>
        </w:tc>
        <w:tc>
          <w:tcPr>
            <w:tcW w:type="dxa" w:w="59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Be direct: no. It is a structured self-reflection tool for discussion, not a scientifically validated psychometric instrument. It has not been through the kind of testing that instruments like that require. Treat it as a conversation-starter, not a verdict.</w:t>
            </w:r>
          </w:p>
        </w:tc>
      </w:tr>
      <w:tr>
        <w:tc>
          <w:tcPr>
            <w:tcW w:type="dxa" w:w="4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A school wants to use results to assign subject combinations or streams.</w:t>
            </w:r>
          </w:p>
        </w:tc>
        <w:tc>
          <w:tcPr>
            <w:tcW w:type="dxa" w:w="59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Do not do this. The workbook must never be used to administratively place, restrict, or stream students. It is an input into a conversation the student has with a trusted adult, not a placement test.</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11. Follow-Up and Referral</w:t>
      </w:r>
    </w:p>
    <w:p>
      <w:pPr>
        <w:spacing w:after="120" w:before="0"/>
      </w:pPr>
      <w:r>
        <w:rPr>
          <w:rFonts w:ascii="Calibri" w:cs="Calibri" w:eastAsia="Calibri" w:hAnsi="Calibri"/>
          <w:b w:val="false"/>
          <w:bCs w:val="false"/>
          <w:i w:val="false"/>
          <w:iCs w:val="false"/>
          <w:color w:val="221F1A"/>
          <w:sz w:val="21"/>
          <w:szCs w:val="21"/>
        </w:rPr>
        <w:t xml:space="preserve">This activity is a career-guidance conversation-starter, not a counselling intervention. If a learner needs support beyond that scope, use your school's normal referral route:</w:t>
      </w:r>
    </w:p>
    <w:p>
      <w:pPr>
        <w:pStyle w:val="ListParagraph"/>
        <w:numPr>
          <w:ilvl w:val="0"/>
          <w:numId w:val="2"/>
        </w:numPr>
        <w:spacing w:after="80"/>
      </w:pPr>
      <w:r>
        <w:rPr>
          <w:rFonts w:ascii="Calibri" w:cs="Calibri" w:eastAsia="Calibri" w:hAnsi="Calibri"/>
          <w:color w:val="221F1A"/>
          <w:sz w:val="21"/>
          <w:szCs w:val="21"/>
        </w:rPr>
        <w:t xml:space="preserve">Emotional or personal distress unrelated to careers: refer to the school counsellor as you normally would.</w:t>
      </w:r>
    </w:p>
    <w:p>
      <w:pPr>
        <w:pStyle w:val="ListParagraph"/>
        <w:numPr>
          <w:ilvl w:val="0"/>
          <w:numId w:val="2"/>
        </w:numPr>
        <w:spacing w:after="80"/>
      </w:pPr>
      <w:r>
        <w:rPr>
          <w:rFonts w:ascii="Calibri" w:cs="Calibri" w:eastAsia="Calibri" w:hAnsi="Calibri"/>
          <w:color w:val="221F1A"/>
          <w:sz w:val="21"/>
          <w:szCs w:val="21"/>
        </w:rPr>
        <w:t xml:space="preserve">Subject-specific questions: refer to the relevant subject teacher (e.g. a learner interested in Additional Mathematics pathways should speak to the Mathematics department).</w:t>
      </w:r>
    </w:p>
    <w:p>
      <w:pPr>
        <w:pStyle w:val="ListParagraph"/>
        <w:numPr>
          <w:ilvl w:val="0"/>
          <w:numId w:val="2"/>
        </w:numPr>
        <w:spacing w:after="80"/>
      </w:pPr>
      <w:r>
        <w:rPr>
          <w:rFonts w:ascii="Calibri" w:cs="Calibri" w:eastAsia="Calibri" w:hAnsi="Calibri"/>
          <w:color w:val="221F1A"/>
          <w:sz w:val="21"/>
          <w:szCs w:val="21"/>
        </w:rPr>
        <w:t xml:space="preserve">Family disagreement about subject or career choice: offer to help the learner prepare for that conversation, or to be present for it if the family and learner both want that.</w:t>
      </w:r>
    </w:p>
    <w:p>
      <w:pPr>
        <w:pStyle w:val="ListParagraph"/>
        <w:numPr>
          <w:ilvl w:val="0"/>
          <w:numId w:val="2"/>
        </w:numPr>
        <w:spacing w:after="80"/>
      </w:pPr>
      <w:r>
        <w:rPr>
          <w:rFonts w:ascii="Calibri" w:cs="Calibri" w:eastAsia="Calibri" w:hAnsi="Calibri"/>
          <w:color w:val="221F1A"/>
          <w:sz w:val="21"/>
          <w:szCs w:val="21"/>
        </w:rPr>
        <w:t xml:space="preserve">Wanting to know more about a specific institution: direct learners to that institution's own admissions office where possible, since entry requirements change.</w:t>
      </w:r>
    </w:p>
    <w:p>
      <w:pPr>
        <w:pStyle w:val="Heading1"/>
        <w:pBdr>
          <w:bottom w:val="single" w:color="A8632C" w:sz="6" w:space="4"/>
        </w:pBdr>
        <w:spacing w:after="140" w:before="320"/>
      </w:pPr>
      <w:r>
        <w:rPr>
          <w:rFonts w:ascii="Calibri" w:cs="Calibri" w:eastAsia="Calibri" w:hAnsi="Calibri"/>
          <w:b/>
          <w:bCs/>
          <w:color w:val="7C481E"/>
          <w:sz w:val="30"/>
          <w:szCs w:val="30"/>
        </w:rPr>
        <w:t xml:space="preserve">12. Quick Reference — The Seven Orientations</w:t>
      </w:r>
    </w:p>
    <w:p>
      <w:pPr>
        <w:spacing w:after="120" w:before="0"/>
      </w:pPr>
      <w:r>
        <w:rPr>
          <w:rFonts w:ascii="Calibri" w:cs="Calibri" w:eastAsia="Calibri" w:hAnsi="Calibri"/>
          <w:b w:val="false"/>
          <w:bCs w:val="false"/>
          <w:i w:val="false"/>
          <w:iCs w:val="false"/>
          <w:color w:val="221F1A"/>
          <w:sz w:val="21"/>
          <w:szCs w:val="21"/>
        </w:rPr>
        <w:t xml:space="preserve">For your own use while facilitating discussion; this mirrors the “At a Glance” page in the workbook.</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306"/>
      </w:tblGrid>
      <w:tr>
        <w:trPr>
          <w:tblHeader/>
        </w:trPr>
        <w:tc>
          <w:tcPr>
            <w:tcW w:type="dxa" w:w="22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Orientation</w:t>
            </w:r>
          </w:p>
        </w:tc>
        <w:tc>
          <w:tcPr>
            <w:tcW w:type="dxa" w:w="16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Archetype</w:t>
            </w:r>
          </w:p>
        </w:tc>
        <w:tc>
          <w:tcPr>
            <w:tcW w:type="dxa" w:w="6306"/>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In one line</w:t>
            </w:r>
          </w:p>
        </w:tc>
      </w:tr>
      <w:tr>
        <w:tc>
          <w:tcPr>
            <w:tcW w:type="dxa" w:w="22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Order Orientation</w:t>
            </w:r>
          </w:p>
        </w:tc>
        <w:tc>
          <w:tcPr>
            <w:tcW w:type="dxa" w:w="16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The Builder</w:t>
            </w:r>
          </w:p>
        </w:tc>
        <w:tc>
          <w:tcPr>
            <w:tcW w:type="dxa" w:w="63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You find peace and purpose in structure, planning and building things that last.</w:t>
            </w:r>
          </w:p>
        </w:tc>
      </w:tr>
      <w:tr>
        <w:tc>
          <w:tcPr>
            <w:tcW w:type="dxa" w:w="2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Form Orientation</w:t>
            </w:r>
          </w:p>
        </w:tc>
        <w:tc>
          <w:tcPr>
            <w:tcW w:type="dxa" w:w="16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The Creator</w:t>
            </w:r>
          </w:p>
        </w:tc>
        <w:tc>
          <w:tcPr>
            <w:tcW w:type="dxa" w:w="63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You find meaning in imagining new things and giving them shape through art, words, sound or design.</w:t>
            </w:r>
          </w:p>
        </w:tc>
      </w:tr>
      <w:tr>
        <w:tc>
          <w:tcPr>
            <w:tcW w:type="dxa" w:w="22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Coordination Orientation</w:t>
            </w:r>
          </w:p>
        </w:tc>
        <w:tc>
          <w:tcPr>
            <w:tcW w:type="dxa" w:w="16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The Orchestrator</w:t>
            </w:r>
          </w:p>
        </w:tc>
        <w:tc>
          <w:tcPr>
            <w:tcW w:type="dxa" w:w="63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You find satisfaction in bringing different people, ideas or tasks together so that they work as one.</w:t>
            </w:r>
          </w:p>
        </w:tc>
      </w:tr>
      <w:tr>
        <w:tc>
          <w:tcPr>
            <w:tcW w:type="dxa" w:w="2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Discovery Orientation</w:t>
            </w:r>
          </w:p>
        </w:tc>
        <w:tc>
          <w:tcPr>
            <w:tcW w:type="dxa" w:w="16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The Explorer</w:t>
            </w:r>
          </w:p>
        </w:tc>
        <w:tc>
          <w:tcPr>
            <w:tcW w:type="dxa" w:w="63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You find meaning in asking questions, trying new things and finding out how the world works.</w:t>
            </w:r>
          </w:p>
        </w:tc>
      </w:tr>
      <w:tr>
        <w:tc>
          <w:tcPr>
            <w:tcW w:type="dxa" w:w="22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Integration Orientation</w:t>
            </w:r>
          </w:p>
        </w:tc>
        <w:tc>
          <w:tcPr>
            <w:tcW w:type="dxa" w:w="16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The Guide</w:t>
            </w:r>
          </w:p>
        </w:tc>
        <w:tc>
          <w:tcPr>
            <w:tcW w:type="dxa" w:w="63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You find meaning in helping other people understand themselves and grow into their potential.</w:t>
            </w:r>
          </w:p>
        </w:tc>
      </w:tr>
      <w:tr>
        <w:tc>
          <w:tcPr>
            <w:tcW w:type="dxa" w:w="2200"/>
            <w:shd w:fill="F6EFE1"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Preservation Orientation</w:t>
            </w:r>
          </w:p>
        </w:tc>
        <w:tc>
          <w:tcPr>
            <w:tcW w:type="dxa" w:w="1600"/>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The Guardian</w:t>
            </w:r>
          </w:p>
        </w:tc>
        <w:tc>
          <w:tcPr>
            <w:tcW w:type="dxa" w:w="6306"/>
            <w:shd w:fill="F6EFE1" w:color="auto" w:val="clear"/>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You find meaning in protecting, maintaining and caring for what already has value.</w:t>
            </w:r>
          </w:p>
        </w:tc>
      </w:tr>
      <w:tr>
        <w:tc>
          <w:tcPr>
            <w:tcW w:type="dxa" w:w="2200"/>
            <w:tcMar>
              <w:top w:type="dxa" w:w="90"/>
              <w:left w:type="dxa" w:w="110"/>
              <w:bottom w:type="dxa" w:w="90"/>
              <w:right w:type="dxa" w:w="110"/>
            </w:tcMar>
            <w:vAlign w:val="top"/>
          </w:tcPr>
          <w:p>
            <w:pPr>
              <w:spacing w:after="40"/>
            </w:pPr>
            <w:r>
              <w:rPr>
                <w:rFonts w:ascii="Calibri" w:cs="Calibri" w:eastAsia="Calibri" w:hAnsi="Calibri"/>
                <w:b/>
                <w:bCs/>
                <w:i w:val="false"/>
                <w:iCs w:val="false"/>
                <w:color w:val="221F1A"/>
                <w:sz w:val="19"/>
                <w:szCs w:val="19"/>
              </w:rPr>
              <w:t xml:space="preserve">Transformation Orientation</w:t>
            </w:r>
          </w:p>
        </w:tc>
        <w:tc>
          <w:tcPr>
            <w:tcW w:type="dxa" w:w="16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The Transmuter</w:t>
            </w:r>
          </w:p>
        </w:tc>
        <w:tc>
          <w:tcPr>
            <w:tcW w:type="dxa" w:w="63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You find meaning in turning difficulty into strength and in changing things that no longer work.</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13. Completion Record (Optional)</w:t>
      </w:r>
    </w:p>
    <w:p>
      <w:pPr>
        <w:spacing w:after="120" w:before="0"/>
      </w:pPr>
      <w:r>
        <w:rPr>
          <w:rFonts w:ascii="Calibri" w:cs="Calibri" w:eastAsia="Calibri" w:hAnsi="Calibri"/>
          <w:b w:val="false"/>
          <w:bCs w:val="false"/>
          <w:i w:val="false"/>
          <w:iCs w:val="false"/>
          <w:color w:val="221F1A"/>
          <w:sz w:val="21"/>
          <w:szCs w:val="21"/>
        </w:rPr>
        <w:t xml:space="preserve">Use this only to track who has completed the activity — never record a learner's Dominant/Secondary/Shadow result here or in any register your school cannot keep confidential. Personal results belong to the learner.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506"/>
      </w:tblGrid>
      <w:tr>
        <w:trPr>
          <w:tblHeader/>
        </w:trPr>
        <w:tc>
          <w:tcPr>
            <w:tcW w:type="dxa" w:w="32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Learner name</w:t>
            </w:r>
          </w:p>
        </w:tc>
        <w:tc>
          <w:tcPr>
            <w:tcW w:type="dxa" w:w="22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Date completed</w:t>
            </w:r>
          </w:p>
        </w:tc>
        <w:tc>
          <w:tcPr>
            <w:tcW w:type="dxa" w:w="2200"/>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Sessions 1–3 done?</w:t>
            </w:r>
          </w:p>
        </w:tc>
        <w:tc>
          <w:tcPr>
            <w:tcW w:type="dxa" w:w="2506"/>
            <w:shd w:fill="A8632C" w:color="auto" w:val="clear"/>
            <w:tcMar>
              <w:top w:type="dxa" w:w="90"/>
              <w:left w:type="dxa" w:w="110"/>
              <w:bottom w:type="dxa" w:w="90"/>
              <w:right w:type="dxa" w:w="110"/>
            </w:tcMar>
            <w:vAlign w:val="top"/>
          </w:tcPr>
          <w:p>
            <w:pPr>
              <w:spacing w:after="40"/>
            </w:pPr>
            <w:r>
              <w:rPr>
                <w:rFonts w:ascii="Calibri" w:cs="Calibri" w:eastAsia="Calibri" w:hAnsi="Calibri"/>
                <w:b/>
                <w:bCs/>
                <w:i w:val="false"/>
                <w:iCs w:val="false"/>
                <w:color w:val="FFFFFF"/>
                <w:sz w:val="19"/>
                <w:szCs w:val="19"/>
              </w:rPr>
              <w:t xml:space="preserve">Facilitator notes (optional)</w:t>
            </w:r>
          </w:p>
        </w:tc>
      </w:tr>
      <w:tr>
        <w:tc>
          <w:tcPr>
            <w:tcW w:type="dxa" w:w="3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r>
      <w:tr>
        <w:tc>
          <w:tcPr>
            <w:tcW w:type="dxa" w:w="3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r>
      <w:tr>
        <w:tc>
          <w:tcPr>
            <w:tcW w:type="dxa" w:w="3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r>
      <w:tr>
        <w:tc>
          <w:tcPr>
            <w:tcW w:type="dxa" w:w="3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r>
      <w:tr>
        <w:tc>
          <w:tcPr>
            <w:tcW w:type="dxa" w:w="3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r>
      <w:tr>
        <w:tc>
          <w:tcPr>
            <w:tcW w:type="dxa" w:w="3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200"/>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c>
          <w:tcPr>
            <w:tcW w:type="dxa" w:w="2506"/>
            <w:tcMar>
              <w:top w:type="dxa" w:w="90"/>
              <w:left w:type="dxa" w:w="110"/>
              <w:bottom w:type="dxa" w:w="90"/>
              <w:right w:type="dxa" w:w="110"/>
            </w:tcMar>
            <w:vAlign w:val="top"/>
          </w:tcPr>
          <w:p>
            <w:pPr>
              <w:spacing w:after="40"/>
            </w:pPr>
            <w:r>
              <w:rPr>
                <w:rFonts w:ascii="Calibri" w:cs="Calibri" w:eastAsia="Calibri" w:hAnsi="Calibri"/>
                <w:b w:val="false"/>
                <w:bCs w:val="false"/>
                <w:i w:val="false"/>
                <w:iCs w:val="false"/>
                <w:color w:val="221F1A"/>
                <w:sz w:val="19"/>
                <w:szCs w:val="19"/>
              </w:rPr>
              <w:t xml:space="preserve"> </w:t>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858"/>
        <w:sz w:val="16"/>
        <w:szCs w:val="16"/>
      </w:rPr>
      <w:t xml:space="preserve">Page </w:t>
    </w:r>
    <w:r>
      <w:rPr>
        <w:rFonts w:ascii="Calibri" w:cs="Calibri" w:eastAsia="Calibri" w:hAnsi="Calibri"/>
        <w:color w:val="6E6858"/>
        <w:sz w:val="16"/>
        <w:szCs w:val="16"/>
      </w:rPr>
      <w:fldChar w:fldCharType="begin"/>
      <w:instrText xml:space="preserve">PAGE</w:instrText>
      <w:fldChar w:fldCharType="separate"/>
      <w:fldChar w:fldCharType="end"/>
    </w:r>
    <w:r>
      <w:rPr>
        <w:rFonts w:ascii="Calibri" w:cs="Calibri" w:eastAsia="Calibri" w:hAnsi="Calibri"/>
        <w:color w:val="6E6858"/>
        <w:sz w:val="16"/>
        <w:szCs w:val="16"/>
      </w:rPr>
      <w:t xml:space="preserve"> of </w:t>
    </w:r>
    <w:r>
      <w:rPr>
        <w:rFonts w:ascii="Calibri" w:cs="Calibri" w:eastAsia="Calibri" w:hAnsi="Calibri"/>
        <w:color w:val="6E685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2" w:sz="4" w:space="4"/>
      </w:pBdr>
      <w:jc w:val="right"/>
    </w:pPr>
    <w:r>
      <w:rPr>
        <w:rFonts w:ascii="Calibri" w:cs="Calibri" w:eastAsia="Calibri" w:hAnsi="Calibri"/>
        <w:color w:val="6E6858"/>
        <w:sz w:val="16"/>
        <w:szCs w:val="16"/>
      </w:rPr>
      <w:t xml:space="preserve">Pathway Orientation — Facilitator's Guide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2026-09-15T13:48:59.100Z</dcterms:created>
  <dcterms:modified xsi:type="dcterms:W3CDTF">2026-09-15T13:48:59.100Z</dcterms:modified>
</cp:coreProperties>
</file>

<file path=docProps/custom.xml><?xml version="1.0" encoding="utf-8"?>
<Properties xmlns="http://schemas.openxmlformats.org/officeDocument/2006/custom-properties" xmlns:vt="http://schemas.openxmlformats.org/officeDocument/2006/docPropsVTypes"/>
</file>