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632C"/>
          <w:sz w:val="40"/>
          <w:szCs w:val="40"/>
        </w:rPr>
        <w:t xml:space="preserve">Syllabus Mapping Document</w:t>
      </w:r>
    </w:p>
    <w:p>
      <w:pPr>
        <w:spacing w:after="300"/>
      </w:pPr>
      <w:r>
        <w:rPr>
          <w:rFonts w:ascii="Calibri" w:cs="Calibri" w:eastAsia="Calibri" w:hAnsi="Calibri"/>
          <w:i/>
          <w:iCs/>
          <w:color w:val="6E6858"/>
          <w:sz w:val="22"/>
          <w:szCs w:val="22"/>
        </w:rPr>
        <w:t xml:space="preserve">Pathway Orientation — alignment with the 2023 Zambia Education Curriculum Framework</w:t>
      </w:r>
    </w:p>
    <w:tbl>
      <w:tblPr>
        <w:tblW w:type="dxa" w:w="10106"/>
        <w:tblBorders>
          <w:top w:val="single" w:color="D9D2C2" w:sz="4"/>
          <w:left w:val="single" w:color="D9D2C2" w:sz="4"/>
          <w:bottom w:val="single" w:color="D9D2C2" w:sz="4"/>
          <w:right w:val="single" w:color="D9D2C2" w:sz="4"/>
          <w:insideH w:val="single" w:color="D9D2C2" w:sz="4"/>
          <w:insideV w:val="single" w:color="D9D2C2" w:sz="4"/>
        </w:tblBorders>
      </w:tblPr>
      <w:tblGrid>
        <w:gridCol w:w="3200"/>
        <w:gridCol w:w="6906"/>
      </w:tblGrid>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Document title</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Syllabus Mapping Document — Pathway Orientation</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Subject / component</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Careers Guidance and Counselling (Form 3–4, Ordinary Level)</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Prepared for</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Internal use — the author's own planning and reference document while preparing the CDC submission package</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Primary source</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2023 Zambia Education Curriculum Framework, Republic of Zambia Ministry of Education, Curriculum Development Centre (First Published 2023)</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Status</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DRAFT — grounded in the official Framework (see Section 2); one verification item remains (Section 2.4)</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Version</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0.6</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Date</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15 September 2026</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1. Purpose</w:t>
      </w:r>
    </w:p>
    <w:p>
      <w:pPr>
        <w:spacing w:after="120" w:before="0"/>
      </w:pPr>
      <w:r>
        <w:rPr>
          <w:rFonts w:ascii="Calibri" w:cs="Calibri" w:eastAsia="Calibri" w:hAnsi="Calibri"/>
          <w:b w:val="false"/>
          <w:bCs w:val="false"/>
          <w:i w:val="false"/>
          <w:iCs w:val="false"/>
          <w:color w:val="221F1A"/>
          <w:sz w:val="21"/>
          <w:szCs w:val="21"/>
        </w:rPr>
        <w:t xml:space="preserve">This document maps the Pathway Orientation self-scoring workbook to the official Zambian secondary curriculum, as supporting evidence for its submission to the Curriculum Development Centre (CDC) for approval as a reader for use by the Guidance department in Form 3 and Form 4.</w:t>
      </w:r>
    </w:p>
    <w:p>
      <w:pPr>
        <w:spacing w:after="120" w:before="0"/>
      </w:pPr>
      <w:r>
        <w:rPr>
          <w:rFonts w:ascii="Calibri" w:cs="Calibri" w:eastAsia="Calibri" w:hAnsi="Calibri"/>
          <w:b w:val="false"/>
          <w:bCs w:val="false"/>
          <w:i w:val="false"/>
          <w:iCs w:val="false"/>
          <w:color w:val="221F1A"/>
          <w:sz w:val="21"/>
          <w:szCs w:val="21"/>
        </w:rPr>
        <w:t xml:space="preserve">Version 0.2 replaced the placeholder competency-domain framework used in version 0.1 with the actual structure set out in the 2023 Zambia Education Curriculum Framework (Republic of Zambia, Ministry of Education, Curriculum Development Centre). Version 0.3 recorded that the Social-domain activity and the three data-accuracy fixes recommended in v0.2 had both been completed. Version 0.4 added docs/pilot-plan.docx — a protocol and feedback toolkit for piloting the workbook in a real school, still outstanding (Section 8). Version 0.5 corrected this document's own audience: it is the author's internal planning and reference document, not a document addressed to CDC. Version 0.6 fixes a mislabelled cross-reference: the one open verification item was being cited as “Section 2.3”, which is actually solid, page-cited content about the Advanced Level pathways and needs no clarification. The verification item is the callout box that follows it, which had no heading of its own — it is now Section 2.4.</w:t>
      </w:r>
    </w:p>
    <w:p>
      <w:pPr>
        <w:pStyle w:val="Heading1"/>
        <w:pBdr>
          <w:bottom w:val="single" w:color="A8632C" w:sz="6" w:space="4"/>
        </w:pBdr>
        <w:spacing w:after="140" w:before="320"/>
      </w:pPr>
      <w:r>
        <w:rPr>
          <w:rFonts w:ascii="Calibri" w:cs="Calibri" w:eastAsia="Calibri" w:hAnsi="Calibri"/>
          <w:b/>
          <w:bCs/>
          <w:color w:val="7C481E"/>
          <w:sz w:val="30"/>
          <w:szCs w:val="30"/>
        </w:rPr>
        <w:t xml:space="preserve">2. Source Document and What It Confirms</w:t>
      </w:r>
    </w:p>
    <w:p>
      <w:pPr>
        <w:spacing w:after="120" w:before="0"/>
      </w:pPr>
      <w:r>
        <w:rPr>
          <w:rFonts w:ascii="Calibri" w:cs="Calibri" w:eastAsia="Calibri" w:hAnsi="Calibri"/>
          <w:b w:val="false"/>
          <w:bCs w:val="false"/>
          <w:i w:val="false"/>
          <w:iCs w:val="false"/>
          <w:color w:val="221F1A"/>
          <w:sz w:val="21"/>
          <w:szCs w:val="21"/>
        </w:rPr>
        <w:t xml:space="preserve">The 2023 Zambia Education Curriculum Framework establishes three things this mapping relies on directly:</w:t>
      </w:r>
    </w:p>
    <w:p>
      <w:pPr>
        <w:pStyle w:val="Heading2"/>
        <w:spacing w:after="100" w:before="220"/>
      </w:pPr>
      <w:r>
        <w:rPr>
          <w:rFonts w:ascii="Calibri" w:cs="Calibri" w:eastAsia="Calibri" w:hAnsi="Calibri"/>
          <w:b/>
          <w:bCs/>
          <w:color w:val="7C481E"/>
          <w:sz w:val="24"/>
          <w:szCs w:val="24"/>
        </w:rPr>
        <w:t xml:space="preserve">2.1 Careers Guidance and Counselling is a cross-cutting theme, with four named areas</w:t>
      </w:r>
    </w:p>
    <w:tbl>
      <w:tblPr>
        <w:tblW w:type="dxa" w:w="10106"/>
        <w:tblBorders>
          <w:top w:val="none"/>
          <w:left w:val="single" w:color="A8632C" w:sz="18"/>
          <w:bottom w:val="none"/>
          <w:right w:val="none"/>
          <w:insideH w:val="single" w:color="auto" w:sz="4"/>
          <w:insideV w:val="single" w:color="auto" w:sz="4"/>
        </w:tblBorders>
      </w:tblPr>
      <w:tblGrid>
        <w:gridCol w:w="10106"/>
      </w:tblGrid>
      <w:tr>
        <w:tc>
          <w:tcPr>
            <w:tcW w:type="dxa" w:w="10106"/>
            <w:shd w:fill="F1E9D8" w:color="auto" w:val="clear"/>
            <w:tcMar>
              <w:top w:type="dxa" w:w="140"/>
              <w:left w:type="dxa" w:w="220"/>
              <w:bottom w:type="dxa" w:w="140"/>
              <w:right w:type="dxa" w:w="220"/>
            </w:tcMar>
          </w:tcPr>
          <w:p>
            <w:pPr>
              <w:spacing w:after="60"/>
            </w:pPr>
            <w:r>
              <w:rPr>
                <w:rFonts w:ascii="Calibri" w:cs="Calibri" w:eastAsia="Calibri" w:hAnsi="Calibri"/>
                <w:i/>
                <w:iCs/>
                <w:color w:val="221F1A"/>
                <w:sz w:val="20"/>
                <w:szCs w:val="20"/>
              </w:rPr>
              <w:t xml:space="preserve">“Careers Guidance and Counselling are vital in the development of a well-balanced learner who is expected to fit in society and contribute positively to society. The four areas of Careers Guidance and Counselling of: Personal, Social, Vocational and Educational have been integrated in the curriculum so as to produce a well-balanced learner at all levels of education.”</w:t>
            </w:r>
          </w:p>
          <w:p>
            <w:r>
              <w:rPr>
                <w:rFonts w:ascii="Calibri" w:cs="Calibri" w:eastAsia="Calibri" w:hAnsi="Calibri"/>
                <w:color w:val="6E6858"/>
                <w:sz w:val="17"/>
                <w:szCs w:val="17"/>
              </w:rPr>
              <w:t xml:space="preserve">— Section 5.10, p.42</w:t>
            </w:r>
          </w:p>
        </w:tc>
      </w:tr>
    </w:tbl>
    <w:p>
      <w:pPr>
        <w:spacing w:after="120" w:before="0"/>
      </w:pPr>
      <w:r>
        <w:rPr>
          <w:rFonts w:ascii="Calibri" w:cs="Calibri" w:eastAsia="Calibri" w:hAnsi="Calibri"/>
          <w:b w:val="false"/>
          <w:bCs w:val="false"/>
          <w:i w:val="false"/>
          <w:iCs w:val="false"/>
          <w:color w:val="221F1A"/>
          <w:sz w:val="21"/>
          <w:szCs w:val="21"/>
        </w:rPr>
        <w:t xml:space="preserve">No dedicated weekly timetable period for Guidance and Counselling was found for Form 1–4 learners in this Framework (unlike core examinable subjects, or Guidance and Counselling as a teacher-training foundation course). This is consistent with its status as a cross-cutting theme rather than an examined subject. In practice this means the workbook is best delivered during Civic Education periods, co-curricular time, or a dedicated Guidance department session arranged outside the formal timetable — see the facilitator's guide, Section 4.</w:t>
      </w:r>
    </w:p>
    <w:p>
      <w:pPr>
        <w:pStyle w:val="Heading2"/>
        <w:spacing w:after="100" w:before="220"/>
      </w:pPr>
      <w:r>
        <w:rPr>
          <w:rFonts w:ascii="Calibri" w:cs="Calibri" w:eastAsia="Calibri" w:hAnsi="Calibri"/>
          <w:b/>
          <w:bCs/>
          <w:color w:val="7C481E"/>
          <w:sz w:val="24"/>
          <w:szCs w:val="24"/>
        </w:rPr>
        <w:t xml:space="preserve">2.2 Secondary structure and the Ordinary Level Pathways</w:t>
      </w:r>
    </w:p>
    <w:tbl>
      <w:tblPr>
        <w:tblW w:type="dxa" w:w="10106"/>
        <w:tblBorders>
          <w:top w:val="none"/>
          <w:left w:val="single" w:color="A8632C" w:sz="18"/>
          <w:bottom w:val="none"/>
          <w:right w:val="none"/>
          <w:insideH w:val="single" w:color="auto" w:sz="4"/>
          <w:insideV w:val="single" w:color="auto" w:sz="4"/>
        </w:tblBorders>
      </w:tblPr>
      <w:tblGrid>
        <w:gridCol w:w="10106"/>
      </w:tblGrid>
      <w:tr>
        <w:tc>
          <w:tcPr>
            <w:tcW w:type="dxa" w:w="10106"/>
            <w:shd w:fill="F1E9D8" w:color="auto" w:val="clear"/>
            <w:tcMar>
              <w:top w:type="dxa" w:w="140"/>
              <w:left w:type="dxa" w:w="220"/>
              <w:bottom w:type="dxa" w:w="140"/>
              <w:right w:type="dxa" w:w="220"/>
            </w:tcMar>
          </w:tcPr>
          <w:p>
            <w:pPr>
              <w:spacing w:after="60"/>
            </w:pPr>
            <w:r>
              <w:rPr>
                <w:rFonts w:ascii="Calibri" w:cs="Calibri" w:eastAsia="Calibri" w:hAnsi="Calibri"/>
                <w:i/>
                <w:iCs/>
                <w:color w:val="221F1A"/>
                <w:sz w:val="20"/>
                <w:szCs w:val="20"/>
              </w:rPr>
              <w:t xml:space="preserve">“Ordinary Level shall run for four (4) years from Forms 1 to 4 whilst Advanced Level shall run for two years from Forms 5 to 6.”</w:t>
            </w:r>
          </w:p>
          <w:p>
            <w:r>
              <w:rPr>
                <w:rFonts w:ascii="Calibri" w:cs="Calibri" w:eastAsia="Calibri" w:hAnsi="Calibri"/>
                <w:color w:val="6E6858"/>
                <w:sz w:val="17"/>
                <w:szCs w:val="17"/>
              </w:rPr>
              <w:t xml:space="preserve">— Section 4.3, p.21</w:t>
            </w:r>
          </w:p>
        </w:tc>
      </w:tr>
    </w:tbl>
    <w:p>
      <w:pPr>
        <w:spacing w:after="120" w:before="0"/>
      </w:pPr>
      <w:r>
        <w:rPr>
          <w:rFonts w:ascii="Calibri" w:cs="Calibri" w:eastAsia="Calibri" w:hAnsi="Calibri"/>
          <w:b w:val="false"/>
          <w:bCs w:val="false"/>
          <w:i w:val="false"/>
          <w:iCs w:val="false"/>
          <w:color w:val="221F1A"/>
          <w:sz w:val="21"/>
          <w:szCs w:val="21"/>
        </w:rPr>
        <w:t xml:space="preserve">Form 3 and Form 4 — this workbook's audience — sit inside Ordinary Level, in the second half of a pathway learners were placed into at the start of Form 1. There are eight Ordinary Level Pathways: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306"/>
      </w:tblGrid>
      <w:tr>
        <w:trPr>
          <w:tblHeader/>
        </w:trPr>
        <w:tc>
          <w:tcPr>
            <w:tcW w:type="dxa" w:w="28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Ordinary Level Pathway</w:t>
            </w:r>
          </w:p>
        </w:tc>
        <w:tc>
          <w:tcPr>
            <w:tcW w:type="dxa" w:w="73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Compulsory / core subjects (paraphrased from the Framework)</w:t>
            </w:r>
          </w:p>
        </w:tc>
      </w:tr>
      <w:tr>
        <w:tc>
          <w:tcPr>
            <w:tcW w:type="dxa" w:w="28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Social Sciences</w:t>
            </w:r>
          </w:p>
        </w:tc>
        <w:tc>
          <w:tcPr>
            <w:tcW w:type="dxa" w:w="73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English Language, Mathematics, Civic Education, Computer Studies + 1 core (Literature, Geography, History or Religious Education) + 2 others</w:t>
            </w:r>
          </w:p>
        </w:tc>
      </w:tr>
      <w:tr>
        <w:tc>
          <w:tcPr>
            <w:tcW w:type="dxa" w:w="28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Natural Sciences</w:t>
            </w:r>
          </w:p>
        </w:tc>
        <w:tc>
          <w:tcPr>
            <w:tcW w:type="dxa" w:w="73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English Language, Mathematics, Civic Education, Computer Studies + 3 core sciences (Agric. Science, Biology, Chemistry, Physics) + 1 other</w:t>
            </w:r>
          </w:p>
        </w:tc>
      </w:tr>
      <w:tr>
        <w:tc>
          <w:tcPr>
            <w:tcW w:type="dxa" w:w="28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Business and Finance</w:t>
            </w:r>
          </w:p>
        </w:tc>
        <w:tc>
          <w:tcPr>
            <w:tcW w:type="dxa" w:w="73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English Language, Mathematics, Civic Education, Principles of Accounts, Commerce, Computer Studies + 1 other</w:t>
            </w:r>
          </w:p>
        </w:tc>
      </w:tr>
      <w:tr>
        <w:tc>
          <w:tcPr>
            <w:tcW w:type="dxa" w:w="28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Agriculture Science</w:t>
            </w:r>
          </w:p>
        </w:tc>
        <w:tc>
          <w:tcPr>
            <w:tcW w:type="dxa" w:w="73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English Language, Mathematics, Civic Education, Agricultural Science, Computer Studies + 2 others</w:t>
            </w:r>
          </w:p>
        </w:tc>
      </w:tr>
      <w:tr>
        <w:tc>
          <w:tcPr>
            <w:tcW w:type="dxa" w:w="28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Home Economics and Hospitality</w:t>
            </w:r>
          </w:p>
        </w:tc>
        <w:tc>
          <w:tcPr>
            <w:tcW w:type="dxa" w:w="73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English Language, Mathematics, Civic Education, Computer Studies + 1 core (Fashion &amp; Fabrics, Food &amp; Nutrition, Hospitality Mgmt or Travel &amp; Tourism) + 2 others</w:t>
            </w:r>
          </w:p>
        </w:tc>
      </w:tr>
      <w:tr>
        <w:tc>
          <w:tcPr>
            <w:tcW w:type="dxa" w:w="28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Technology</w:t>
            </w:r>
          </w:p>
        </w:tc>
        <w:tc>
          <w:tcPr>
            <w:tcW w:type="dxa" w:w="73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English Language, Mathematics, Civic Education, Computer Studies + 1 core (Computer Science or Design &amp; Technology) + 2 others</w:t>
            </w:r>
          </w:p>
        </w:tc>
      </w:tr>
      <w:tr>
        <w:tc>
          <w:tcPr>
            <w:tcW w:type="dxa" w:w="28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Performing and Creative Arts</w:t>
            </w:r>
          </w:p>
        </w:tc>
        <w:tc>
          <w:tcPr>
            <w:tcW w:type="dxa" w:w="73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English Language, Mathematics, Civic Education, Computer Studies + 1 core (Music or Art and Design) + 2 others</w:t>
            </w:r>
          </w:p>
        </w:tc>
      </w:tr>
      <w:tr>
        <w:tc>
          <w:tcPr>
            <w:tcW w:type="dxa" w:w="28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Physical Education and Sport</w:t>
            </w:r>
          </w:p>
        </w:tc>
        <w:tc>
          <w:tcPr>
            <w:tcW w:type="dxa" w:w="73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English Language, Mathematics, Civic Education, Biology, Physical Education, Computer Studies + 1 other</w:t>
            </w:r>
          </w:p>
        </w:tc>
      </w:tr>
    </w:tbl>
    <w:tbl>
      <w:tblPr>
        <w:tblW w:type="dxa" w:w="10106"/>
        <w:tblBorders>
          <w:top w:val="none"/>
          <w:left w:val="single" w:color="A8632C" w:sz="18"/>
          <w:bottom w:val="none"/>
          <w:right w:val="none"/>
          <w:insideH w:val="single" w:color="auto" w:sz="4"/>
          <w:insideV w:val="single" w:color="auto" w:sz="4"/>
        </w:tblBorders>
      </w:tblPr>
      <w:tblGrid>
        <w:gridCol w:w="10106"/>
      </w:tblGrid>
      <w:tr>
        <w:tc>
          <w:tcPr>
            <w:tcW w:type="dxa" w:w="10106"/>
            <w:shd w:fill="F1E9D8" w:color="auto" w:val="clear"/>
            <w:tcMar>
              <w:top w:type="dxa" w:w="140"/>
              <w:left w:type="dxa" w:w="220"/>
              <w:bottom w:type="dxa" w:w="140"/>
              <w:right w:type="dxa" w:w="220"/>
            </w:tcMar>
          </w:tcPr>
          <w:p>
            <w:pPr>
              <w:spacing w:after="60"/>
            </w:pPr>
            <w:r>
              <w:rPr>
                <w:rFonts w:ascii="Calibri" w:cs="Calibri" w:eastAsia="Calibri" w:hAnsi="Calibri"/>
                <w:i/>
                <w:iCs/>
                <w:color w:val="221F1A"/>
                <w:sz w:val="20"/>
                <w:szCs w:val="20"/>
              </w:rPr>
              <w:t xml:space="preserve">“Placing of learners in the different pathways shall be done based on the results obtained at the end of the primary education examination and the interests of the learners. This shall be carefully done in order to properly guide the learners to make sound choices of the pathways, which will eventually allow them to have their desired fields of study and specialization at higher education level.”</w:t>
            </w:r>
          </w:p>
          <w:p>
            <w:r>
              <w:rPr>
                <w:rFonts w:ascii="Calibri" w:cs="Calibri" w:eastAsia="Calibri" w:hAnsi="Calibri"/>
                <w:color w:val="6E6858"/>
                <w:sz w:val="17"/>
                <w:szCs w:val="17"/>
              </w:rPr>
              <w:t xml:space="preserve">— Section 4.3.1, p.21</w:t>
            </w:r>
          </w:p>
        </w:tc>
      </w:tr>
    </w:tbl>
    <w:p>
      <w:pPr>
        <w:pStyle w:val="Heading2"/>
        <w:spacing w:after="100" w:before="220"/>
      </w:pPr>
      <w:r>
        <w:rPr>
          <w:rFonts w:ascii="Calibri" w:cs="Calibri" w:eastAsia="Calibri" w:hAnsi="Calibri"/>
          <w:b/>
          <w:bCs/>
          <w:color w:val="7C481E"/>
          <w:sz w:val="24"/>
          <w:szCs w:val="24"/>
        </w:rPr>
        <w:t xml:space="preserve">2.3 The Advanced Level Pathways — the decision Form 3/4 learners are actually approaching</w:t>
      </w:r>
    </w:p>
    <w:p>
      <w:pPr>
        <w:spacing w:after="120" w:before="0"/>
      </w:pPr>
      <w:r>
        <w:rPr>
          <w:rFonts w:ascii="Calibri" w:cs="Calibri" w:eastAsia="Calibri" w:hAnsi="Calibri"/>
          <w:b w:val="false"/>
          <w:bCs w:val="false"/>
          <w:i w:val="false"/>
          <w:iCs w:val="false"/>
          <w:color w:val="221F1A"/>
          <w:sz w:val="21"/>
          <w:szCs w:val="21"/>
        </w:rPr>
        <w:t xml:space="preserve">Because O-Level pathway placement already happened at the start of Form 1, the live decision facing a Form 3/4 learner is less “which O-Level pathway” and more (a) whether their current pathway and subjects still fit as Form 4 finals approach, and (b) which of the five Advanced Level pathways to choose for Form 5–6.</w:t>
      </w:r>
    </w:p>
    <w:tbl>
      <w:tblPr>
        <w:tblW w:type="dxa" w:w="10106"/>
        <w:tblBorders>
          <w:top w:val="none"/>
          <w:left w:val="single" w:color="A8632C" w:sz="18"/>
          <w:bottom w:val="none"/>
          <w:right w:val="none"/>
          <w:insideH w:val="single" w:color="auto" w:sz="4"/>
          <w:insideV w:val="single" w:color="auto" w:sz="4"/>
        </w:tblBorders>
      </w:tblPr>
      <w:tblGrid>
        <w:gridCol w:w="10106"/>
      </w:tblGrid>
      <w:tr>
        <w:tc>
          <w:tcPr>
            <w:tcW w:type="dxa" w:w="10106"/>
            <w:shd w:fill="F1E9D8" w:color="auto" w:val="clear"/>
            <w:tcMar>
              <w:top w:type="dxa" w:w="140"/>
              <w:left w:type="dxa" w:w="220"/>
              <w:bottom w:type="dxa" w:w="140"/>
              <w:right w:type="dxa" w:w="220"/>
            </w:tcMar>
          </w:tcPr>
          <w:p>
            <w:pPr>
              <w:spacing w:after="60"/>
            </w:pPr>
            <w:r>
              <w:rPr>
                <w:rFonts w:ascii="Calibri" w:cs="Calibri" w:eastAsia="Calibri" w:hAnsi="Calibri"/>
                <w:i/>
                <w:iCs/>
                <w:color w:val="221F1A"/>
                <w:sz w:val="20"/>
                <w:szCs w:val="20"/>
              </w:rPr>
              <w:t xml:space="preserve">“Subjects will be clustered in five (5) pathways namely STEM, Social Sciences and Languages, Business Studies, Sports Science and Creative and Performing Arts.”</w:t>
            </w:r>
          </w:p>
          <w:p>
            <w:r>
              <w:rPr>
                <w:rFonts w:ascii="Calibri" w:cs="Calibri" w:eastAsia="Calibri" w:hAnsi="Calibri"/>
                <w:color w:val="6E6858"/>
                <w:sz w:val="17"/>
                <w:szCs w:val="17"/>
              </w:rPr>
              <w:t xml:space="preserve">— Section 4.3.2.1, p.25</w:t>
            </w:r>
          </w:p>
        </w:tc>
      </w:tr>
    </w:tbl>
    <w:tbl>
      <w:tblPr>
        <w:tblW w:type="dxa" w:w="10106"/>
        <w:tblBorders>
          <w:top w:val="none"/>
          <w:left w:val="single" w:color="A8632C" w:sz="18"/>
          <w:bottom w:val="none"/>
          <w:right w:val="none"/>
          <w:insideH w:val="single" w:color="auto" w:sz="4"/>
          <w:insideV w:val="single" w:color="auto" w:sz="4"/>
        </w:tblBorders>
      </w:tblPr>
      <w:tblGrid>
        <w:gridCol w:w="10106"/>
      </w:tblGrid>
      <w:tr>
        <w:tc>
          <w:tcPr>
            <w:tcW w:type="dxa" w:w="10106"/>
            <w:shd w:fill="F1E9D8" w:color="auto" w:val="clear"/>
            <w:tcMar>
              <w:top w:type="dxa" w:w="140"/>
              <w:left w:type="dxa" w:w="220"/>
              <w:bottom w:type="dxa" w:w="140"/>
              <w:right w:type="dxa" w:w="220"/>
            </w:tcMar>
          </w:tcPr>
          <w:p>
            <w:pPr>
              <w:spacing w:after="60"/>
            </w:pPr>
            <w:r>
              <w:rPr>
                <w:rFonts w:ascii="Calibri" w:cs="Calibri" w:eastAsia="Calibri" w:hAnsi="Calibri"/>
                <w:i/>
                <w:iCs/>
                <w:color w:val="221F1A"/>
                <w:sz w:val="20"/>
                <w:szCs w:val="20"/>
              </w:rPr>
              <w:t xml:space="preserve">“Guidance shall be provided on the subject combinations based on the pathway.”</w:t>
            </w:r>
          </w:p>
          <w:p>
            <w:r>
              <w:rPr>
                <w:rFonts w:ascii="Calibri" w:cs="Calibri" w:eastAsia="Calibri" w:hAnsi="Calibri"/>
                <w:color w:val="6E6858"/>
                <w:sz w:val="17"/>
                <w:szCs w:val="17"/>
              </w:rPr>
              <w:t xml:space="preserve">— Section 4.3.2.1, p.26</w:t>
            </w:r>
          </w:p>
        </w:tc>
      </w:tr>
    </w:tbl>
    <w:p>
      <w:pPr>
        <w:spacing w:after="120" w:before="0"/>
      </w:pPr>
      <w:r>
        <w:rPr>
          <w:rFonts w:ascii="Calibri" w:cs="Calibri" w:eastAsia="Calibri" w:hAnsi="Calibri"/>
          <w:b w:val="false"/>
          <w:bCs w:val="false"/>
          <w:i w:val="false"/>
          <w:iCs w:val="false"/>
          <w:color w:val="221F1A"/>
          <w:sz w:val="21"/>
          <w:szCs w:val="21"/>
        </w:rPr>
        <w:t xml:space="preserve">This is the strongest single justification for the workbook's purpose found in the Framework: guidance ahead of a pathway decision is explicitly mandated, twice, in the Framework's own words.</w:t>
      </w:r>
    </w:p>
    <w:p>
      <w:pPr>
        <w:pStyle w:val="Heading2"/>
        <w:spacing w:after="100" w:before="220"/>
      </w:pPr>
      <w:r>
        <w:rPr>
          <w:rFonts w:ascii="Calibri" w:cs="Calibri" w:eastAsia="Calibri" w:hAnsi="Calibri"/>
          <w:b/>
          <w:bCs/>
          <w:color w:val="7C481E"/>
          <w:sz w:val="24"/>
          <w:szCs w:val="24"/>
        </w:rPr>
        <w:t xml:space="preserve">2.4 What This Document Cannot Confirm on Its Own</w:t>
      </w:r>
    </w:p>
    <w:tbl>
      <w:tblPr>
        <w:tblW w:type="dxa" w:w="10106"/>
        <w:tblBorders>
          <w:top w:val="single" w:color="C1631F" w:sz="12"/>
          <w:left w:val="single" w:color="C1631F" w:sz="12"/>
          <w:bottom w:val="single" w:color="C1631F" w:sz="12"/>
          <w:right w:val="single" w:color="C1631F" w:sz="12"/>
          <w:insideH w:val="none"/>
          <w:insideV w:val="none"/>
        </w:tblBorders>
      </w:tblPr>
      <w:tblGrid>
        <w:gridCol w:w="10106"/>
      </w:tblGrid>
      <w:tr>
        <w:tc>
          <w:tcPr>
            <w:tcW w:type="dxa" w:w="10106"/>
            <w:shd w:fill="FBEFD9" w:color="auto" w:val="clear"/>
            <w:tcMar>
              <w:top w:type="dxa" w:w="160"/>
              <w:left w:type="dxa" w:w="200"/>
              <w:bottom w:type="dxa" w:w="160"/>
              <w:right w:type="dxa" w:w="200"/>
            </w:tcMar>
          </w:tcPr>
          <w:p>
            <w:pPr>
              <w:spacing w:after="100"/>
            </w:pPr>
            <w:r>
              <w:rPr>
                <w:rFonts w:ascii="Calibri" w:cs="Calibri" w:eastAsia="Calibri" w:hAnsi="Calibri"/>
                <w:b/>
                <w:bCs/>
                <w:color w:val="7C481E"/>
                <w:sz w:val="21"/>
                <w:szCs w:val="21"/>
              </w:rPr>
              <w:t xml:space="preserve">Remaining verification item</w:t>
            </w:r>
          </w:p>
          <w:p>
            <w:pPr>
              <w:spacing w:after="80"/>
            </w:pPr>
            <w:r>
              <w:rPr>
                <w:rFonts w:ascii="Calibri" w:cs="Calibri" w:eastAsia="Calibri" w:hAnsi="Calibri"/>
                <w:color w:val="221F1A"/>
                <w:sz w:val="20"/>
                <w:szCs w:val="20"/>
              </w:rPr>
              <w:t xml:space="preserve">This Framework document establishes the PSVE structure and the pathway system with page-cited authority — the placeholder domains used in v0.1 of this document are now replaced with these.</w:t>
            </w:r>
          </w:p>
          <w:p>
            <w:pPr>
              <w:spacing w:after="80"/>
            </w:pPr>
            <w:r>
              <w:rPr>
                <w:rFonts w:ascii="Calibri" w:cs="Calibri" w:eastAsia="Calibri" w:hAnsi="Calibri"/>
                <w:color w:val="221F1A"/>
                <w:sz w:val="20"/>
                <w:szCs w:val="20"/>
              </w:rPr>
              <w:t xml:space="preserve">What it does not contain is a separate, numbered, learning-objective-by-objective Guidance and Counselling syllabus (the kind subjects like English or Biology have as their own booklet) — consistent with Guidance and Counselling's status here as cross-cutting rather than examined.</w:t>
            </w:r>
          </w:p>
          <w:p>
            <w:pPr>
              <w:spacing w:after="80"/>
            </w:pPr>
            <w:r>
              <w:rPr>
                <w:rFonts w:ascii="Calibri" w:cs="Calibri" w:eastAsia="Calibri" w:hAnsi="Calibri"/>
                <w:color w:val="221F1A"/>
                <w:sz w:val="20"/>
                <w:szCs w:val="20"/>
              </w:rPr>
              <w:t xml:space="preserve">Before submission, confirm with CDC or a serving Guidance and Counselling teacher whether a more granular syllabus document exists beyond this Framework. If one does, re-check Sections 3–6 below against it. If it does not, this Framework is the correct and sufficient source, and this document can be considered current.</w:t>
            </w:r>
          </w:p>
        </w:tc>
      </w:tr>
    </w:tbl>
    <w:p>
      <w:r>
        <w:br w:type="page"/>
      </w:r>
    </w:p>
    <w:p>
      <w:pPr>
        <w:pStyle w:val="Heading1"/>
        <w:pBdr>
          <w:bottom w:val="single" w:color="A8632C" w:sz="6" w:space="4"/>
        </w:pBdr>
        <w:spacing w:after="140" w:before="320"/>
      </w:pPr>
      <w:r>
        <w:rPr>
          <w:rFonts w:ascii="Calibri" w:cs="Calibri" w:eastAsia="Calibri" w:hAnsi="Calibri"/>
          <w:b/>
          <w:bCs/>
          <w:color w:val="7C481E"/>
          <w:sz w:val="30"/>
          <w:szCs w:val="30"/>
        </w:rPr>
        <w:t xml:space="preserve">3. The Four PSVE Areas, Applied to This Workbook</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5306"/>
        <w:gridCol w:w="2600"/>
      </w:tblGrid>
      <w:tr>
        <w:trPr>
          <w:tblHeader/>
        </w:trPr>
        <w:tc>
          <w:tcPr>
            <w:tcW w:type="dxa" w:w="22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PSVE area</w:t>
            </w:r>
          </w:p>
        </w:tc>
        <w:tc>
          <w:tcPr>
            <w:tcW w:type="dxa" w:w="53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What it covers</w:t>
            </w:r>
          </w:p>
        </w:tc>
        <w:tc>
          <w:tcPr>
            <w:tcW w:type="dxa" w:w="26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Workbook coverage</w:t>
            </w:r>
          </w:p>
        </w:tc>
      </w:tr>
      <w:tr>
        <w:tc>
          <w:tcPr>
            <w:tcW w:type="dxa" w:w="22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Personal</w:t>
            </w:r>
          </w:p>
        </w:tc>
        <w:tc>
          <w:tcPr>
            <w:tcW w:type="dxa" w:w="53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Self-understanding: interests, values, personality, working style.</w:t>
            </w:r>
          </w:p>
        </w:tc>
        <w:tc>
          <w:tcPr>
            <w:tcW w:type="dxa" w:w="2600"/>
            <w:tcMar>
              <w:top w:type="dxa" w:w="90"/>
              <w:left w:type="dxa" w:w="110"/>
              <w:bottom w:type="dxa" w:w="90"/>
              <w:right w:type="dxa" w:w="110"/>
            </w:tcMar>
            <w:vAlign w:val="top"/>
          </w:tcPr>
          <w:p>
            <w:pPr>
              <w:spacing w:after="40"/>
            </w:pPr>
            <w:r>
              <w:rPr>
                <w:rFonts w:ascii="Calibri" w:cs="Calibri" w:eastAsia="Calibri" w:hAnsi="Calibri"/>
                <w:b/>
                <w:bCs/>
                <w:i w:val="false"/>
                <w:iCs w:val="false"/>
                <w:color w:val="3D6B45"/>
                <w:sz w:val="18"/>
                <w:szCs w:val="18"/>
              </w:rPr>
              <w:t xml:space="preserve">Strong</w:t>
            </w:r>
          </w:p>
        </w:tc>
      </w:tr>
      <w:tr>
        <w:tc>
          <w:tcPr>
            <w:tcW w:type="dxa" w:w="2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Social</w:t>
            </w:r>
          </w:p>
        </w:tc>
        <w:tc>
          <w:tcPr>
            <w:tcW w:type="dxa" w:w="53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Interpersonal skills: working with others, relationships, teamwork.</w:t>
            </w:r>
          </w:p>
        </w:tc>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3D6B45"/>
                <w:sz w:val="18"/>
                <w:szCs w:val="18"/>
              </w:rPr>
              <w:t xml:space="preserve">Strong (with facilitator's guide)</w:t>
            </w:r>
          </w:p>
        </w:tc>
      </w:tr>
      <w:tr>
        <w:tc>
          <w:tcPr>
            <w:tcW w:type="dxa" w:w="22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Vocational</w:t>
            </w:r>
          </w:p>
        </w:tc>
        <w:tc>
          <w:tcPr>
            <w:tcW w:type="dxa" w:w="53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Knowledge of occupations and the world of work.</w:t>
            </w:r>
          </w:p>
        </w:tc>
        <w:tc>
          <w:tcPr>
            <w:tcW w:type="dxa" w:w="2600"/>
            <w:tcMar>
              <w:top w:type="dxa" w:w="90"/>
              <w:left w:type="dxa" w:w="110"/>
              <w:bottom w:type="dxa" w:w="90"/>
              <w:right w:type="dxa" w:w="110"/>
            </w:tcMar>
            <w:vAlign w:val="top"/>
          </w:tcPr>
          <w:p>
            <w:pPr>
              <w:spacing w:after="40"/>
            </w:pPr>
            <w:r>
              <w:rPr>
                <w:rFonts w:ascii="Calibri" w:cs="Calibri" w:eastAsia="Calibri" w:hAnsi="Calibri"/>
                <w:b/>
                <w:bCs/>
                <w:i w:val="false"/>
                <w:iCs w:val="false"/>
                <w:color w:val="3D6B45"/>
                <w:sz w:val="18"/>
                <w:szCs w:val="18"/>
              </w:rPr>
              <w:t xml:space="preserve">Strong (with facilitator's guide)</w:t>
            </w:r>
          </w:p>
        </w:tc>
      </w:tr>
      <w:tr>
        <w:tc>
          <w:tcPr>
            <w:tcW w:type="dxa" w:w="2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Educational</w:t>
            </w:r>
          </w:p>
        </w:tc>
        <w:tc>
          <w:tcPr>
            <w:tcW w:type="dxa" w:w="53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Subject choice, pathway choice, and educational planning.</w:t>
            </w:r>
          </w:p>
        </w:tc>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3D6B45"/>
                <w:sz w:val="18"/>
                <w:szCs w:val="18"/>
              </w:rPr>
              <w:t xml:space="preserve">Strong</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4. Workbook-to-PSVE Mapping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144"/>
        <w:gridCol w:w="2960"/>
        <w:gridCol w:w="919"/>
        <w:gridCol w:w="3165"/>
        <w:gridCol w:w="919"/>
      </w:tblGrid>
      <w:tr>
        <w:trPr>
          <w:tblHeader/>
        </w:trPr>
        <w:tc>
          <w:tcPr>
            <w:tcW w:type="dxa" w:w="2144"/>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Workbook section</w:t>
            </w:r>
          </w:p>
        </w:tc>
        <w:tc>
          <w:tcPr>
            <w:tcW w:type="dxa" w:w="296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Content summary</w:t>
            </w:r>
          </w:p>
        </w:tc>
        <w:tc>
          <w:tcPr>
            <w:tcW w:type="dxa" w:w="919"/>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PSVE</w:t>
            </w:r>
          </w:p>
        </w:tc>
        <w:tc>
          <w:tcPr>
            <w:tcW w:type="dxa" w:w="3165"/>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How it is addressed</w:t>
            </w:r>
          </w:p>
        </w:tc>
        <w:tc>
          <w:tcPr>
            <w:tcW w:type="dxa" w:w="919"/>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Page</w:t>
            </w:r>
          </w:p>
        </w:tc>
      </w:tr>
      <w:tr>
        <w:tc>
          <w:tcPr>
            <w:tcW w:type="dxa" w:w="2144"/>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Introduction — “How Your Result Works”</w:t>
            </w:r>
          </w:p>
        </w:tc>
        <w:tc>
          <w:tcPr>
            <w:tcW w:type="dxa" w:w="296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Explains the dominant / secondary / shadow framing before the learner starts.</w:t>
            </w:r>
          </w:p>
        </w:tc>
        <w:tc>
          <w:tcPr>
            <w:tcW w:type="dxa" w:w="919"/>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w:t>
            </w:r>
          </w:p>
        </w:tc>
        <w:tc>
          <w:tcPr>
            <w:tcW w:type="dxa" w:w="3165"/>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Orients the learner to reflect on their own patterns before self-reporting.</w:t>
            </w:r>
          </w:p>
        </w:tc>
        <w:tc>
          <w:tcPr>
            <w:tcW w:type="dxa" w:w="919"/>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p.3</w:t>
            </w:r>
          </w:p>
        </w:tc>
      </w:tr>
      <w:tr>
        <w:tc>
          <w:tcPr>
            <w:tcW w:type="dxa" w:w="2144"/>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The Seven Orientations at a Glance</w:t>
            </w:r>
          </w:p>
        </w:tc>
        <w:tc>
          <w:tcPr>
            <w:tcW w:type="dxa" w:w="296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One-page overview of all seven work orientations.</w:t>
            </w:r>
          </w:p>
        </w:tc>
        <w:tc>
          <w:tcPr>
            <w:tcW w:type="dxa" w:w="919"/>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 V</w:t>
            </w:r>
          </w:p>
        </w:tc>
        <w:tc>
          <w:tcPr>
            <w:tcW w:type="dxa" w:w="3165"/>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Introduces the range of occupational orientations at a survey level.</w:t>
            </w:r>
          </w:p>
        </w:tc>
        <w:tc>
          <w:tcPr>
            <w:tcW w:type="dxa" w:w="919"/>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p.4</w:t>
            </w:r>
          </w:p>
        </w:tc>
      </w:tr>
      <w:tr>
        <w:tc>
          <w:tcPr>
            <w:tcW w:type="dxa" w:w="2144"/>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How to Use This Workbook</w:t>
            </w:r>
          </w:p>
        </w:tc>
        <w:tc>
          <w:tcPr>
            <w:tcW w:type="dxa" w:w="296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Instructions for the 1–5 Likert scale and self-scoring steps.</w:t>
            </w:r>
          </w:p>
        </w:tc>
        <w:tc>
          <w:tcPr>
            <w:tcW w:type="dxa" w:w="919"/>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w:t>
            </w:r>
          </w:p>
        </w:tc>
        <w:tc>
          <w:tcPr>
            <w:tcW w:type="dxa" w:w="3165"/>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Enables independent, unsupervised completion with no computer required.</w:t>
            </w:r>
          </w:p>
        </w:tc>
        <w:tc>
          <w:tcPr>
            <w:tcW w:type="dxa" w:w="919"/>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p.5</w:t>
            </w:r>
          </w:p>
        </w:tc>
      </w:tr>
      <w:tr>
        <w:tc>
          <w:tcPr>
            <w:tcW w:type="dxa" w:w="2144"/>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Questions (42-item self-report instrument)</w:t>
            </w:r>
          </w:p>
        </w:tc>
        <w:tc>
          <w:tcPr>
            <w:tcW w:type="dxa" w:w="296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Six statements per orientation rated 1–5.</w:t>
            </w:r>
          </w:p>
        </w:tc>
        <w:tc>
          <w:tcPr>
            <w:tcW w:type="dxa" w:w="919"/>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w:t>
            </w:r>
          </w:p>
        </w:tc>
        <w:tc>
          <w:tcPr>
            <w:tcW w:type="dxa" w:w="3165"/>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Structured self-reflection on working style and motivations.</w:t>
            </w:r>
          </w:p>
        </w:tc>
        <w:tc>
          <w:tcPr>
            <w:tcW w:type="dxa" w:w="919"/>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pp.6–10</w:t>
            </w:r>
          </w:p>
        </w:tc>
      </w:tr>
      <w:tr>
        <w:tc>
          <w:tcPr>
            <w:tcW w:type="dxa" w:w="2144"/>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Scoring Key &amp; Score Lookup Table</w:t>
            </w:r>
          </w:p>
        </w:tc>
        <w:tc>
          <w:tcPr>
            <w:tcW w:type="dxa" w:w="296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Question-to-orientation key and score-to-percentage table.</w:t>
            </w:r>
          </w:p>
        </w:tc>
        <w:tc>
          <w:tcPr>
            <w:tcW w:type="dxa" w:w="919"/>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w:t>
            </w:r>
          </w:p>
        </w:tc>
        <w:tc>
          <w:tcPr>
            <w:tcW w:type="dxa" w:w="3165"/>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Makes the self-assessment independently scoreable on paper.</w:t>
            </w:r>
          </w:p>
        </w:tc>
        <w:tc>
          <w:tcPr>
            <w:tcW w:type="dxa" w:w="919"/>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pp.11–12</w:t>
            </w:r>
          </w:p>
        </w:tc>
      </w:tr>
      <w:tr>
        <w:tc>
          <w:tcPr>
            <w:tcW w:type="dxa" w:w="2144"/>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Seven Orientation Profile pages</w:t>
            </w:r>
          </w:p>
        </w:tc>
        <w:tc>
          <w:tcPr>
            <w:tcW w:type="dxa" w:w="296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Calling statement, description, strengths, watch-out-for.</w:t>
            </w:r>
          </w:p>
        </w:tc>
        <w:tc>
          <w:tcPr>
            <w:tcW w:type="dxa" w:w="919"/>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w:t>
            </w:r>
          </w:p>
        </w:tc>
        <w:tc>
          <w:tcPr>
            <w:tcW w:type="dxa" w:w="3165"/>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Deepens self-appraisal and names concrete trade-offs.</w:t>
            </w:r>
          </w:p>
        </w:tc>
        <w:tc>
          <w:tcPr>
            <w:tcW w:type="dxa" w:w="919"/>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pp.14–20</w:t>
            </w:r>
          </w:p>
        </w:tc>
      </w:tr>
      <w:tr>
        <w:tc>
          <w:tcPr>
            <w:tcW w:type="dxa" w:w="2144"/>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“Pathways to Explore” (per profile)</w:t>
            </w:r>
          </w:p>
        </w:tc>
        <w:tc>
          <w:tcPr>
            <w:tcW w:type="dxa" w:w="296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Subjects, fields of study, Zambian institutions, careers.</w:t>
            </w:r>
          </w:p>
        </w:tc>
        <w:tc>
          <w:tcPr>
            <w:tcW w:type="dxa" w:w="919"/>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V, E</w:t>
            </w:r>
          </w:p>
        </w:tc>
        <w:tc>
          <w:tcPr>
            <w:tcW w:type="dxa" w:w="3165"/>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Converts a result into subjects and pathways defined by the Framework (Section 5, below).</w:t>
            </w:r>
          </w:p>
        </w:tc>
        <w:tc>
          <w:tcPr>
            <w:tcW w:type="dxa" w:w="919"/>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pp.14–20</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5. Orientation-to-Pathway Cross-Reference</w:t>
      </w:r>
    </w:p>
    <w:p>
      <w:pPr>
        <w:spacing w:after="120" w:before="0"/>
      </w:pPr>
      <w:r>
        <w:rPr>
          <w:rFonts w:ascii="Calibri" w:cs="Calibri" w:eastAsia="Calibri" w:hAnsi="Calibri"/>
          <w:b w:val="false"/>
          <w:bCs w:val="false"/>
          <w:i w:val="false"/>
          <w:iCs w:val="false"/>
          <w:color w:val="221F1A"/>
          <w:sz w:val="21"/>
          <w:szCs w:val="21"/>
        </w:rPr>
        <w:t xml:space="preserve">This is the concrete link a CDC reviewer will look for: which official pathway each of the seven orientations actually points a learner toward, and why.</w:t>
      </w:r>
    </w:p>
    <w:p>
      <w:pPr>
        <w:pStyle w:val="Heading2"/>
        <w:spacing w:after="100" w:before="220"/>
      </w:pPr>
      <w:r>
        <w:rPr>
          <w:rFonts w:ascii="Calibri" w:cs="Calibri" w:eastAsia="Calibri" w:hAnsi="Calibri"/>
          <w:b/>
          <w:bCs/>
          <w:color w:val="7C481E"/>
          <w:sz w:val="24"/>
          <w:szCs w:val="24"/>
        </w:rPr>
        <w:t xml:space="preserve">5.1 Ordinary Level (Forms 1–4)</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706"/>
        <w:gridCol w:w="2600"/>
      </w:tblGrid>
      <w:tr>
        <w:trPr>
          <w:tblHeader/>
        </w:trPr>
        <w:tc>
          <w:tcPr>
            <w:tcW w:type="dxa" w:w="26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Orientation</w:t>
            </w:r>
          </w:p>
        </w:tc>
        <w:tc>
          <w:tcPr>
            <w:tcW w:type="dxa" w:w="22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Primary O-Level pathway</w:t>
            </w:r>
          </w:p>
        </w:tc>
        <w:tc>
          <w:tcPr>
            <w:tcW w:type="dxa" w:w="27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Why</w:t>
            </w:r>
          </w:p>
        </w:tc>
        <w:tc>
          <w:tcPr>
            <w:tcW w:type="dxa" w:w="26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Related pathway(s)</w:t>
            </w:r>
          </w:p>
        </w:tc>
      </w:tr>
      <w:tr>
        <w:tc>
          <w:tcPr>
            <w:tcW w:type="dxa" w:w="2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Order Orientation — The Builder</w:t>
            </w:r>
          </w:p>
        </w:tc>
        <w:tc>
          <w:tcPr>
            <w:tcW w:type="dxa" w:w="2200"/>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Technology</w:t>
            </w:r>
          </w:p>
        </w:tc>
        <w:tc>
          <w:tcPr>
            <w:tcW w:type="dxa" w:w="27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Precision, structure and building things map onto the Design &amp; Technology / Computer Science core.</w:t>
            </w:r>
          </w:p>
        </w:tc>
        <w:tc>
          <w:tcPr>
            <w:tcW w:type="dxa" w:w="26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Natural Sciences (engineering entry); Business and Finance (Accounting)</w:t>
            </w:r>
          </w:p>
        </w:tc>
      </w:tr>
      <w:tr>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Form Orientation — The Creator</w:t>
            </w:r>
          </w:p>
        </w:tc>
        <w:tc>
          <w:tcPr>
            <w:tcW w:type="dxa" w:w="2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Performing and Creative Arts</w:t>
            </w:r>
          </w:p>
        </w:tc>
        <w:tc>
          <w:tcPr>
            <w:tcW w:type="dxa" w:w="27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Direct match to the Music / Art and Design core subjects.</w:t>
            </w:r>
          </w:p>
        </w:tc>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Home Economics and Hospitality (Fashion &amp; Fabrics); Social Sciences (Literature in English)</w:t>
            </w:r>
          </w:p>
        </w:tc>
      </w:tr>
      <w:tr>
        <w:tc>
          <w:tcPr>
            <w:tcW w:type="dxa" w:w="2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Coordination Orientation — The Orchestrator</w:t>
            </w:r>
          </w:p>
        </w:tc>
        <w:tc>
          <w:tcPr>
            <w:tcW w:type="dxa" w:w="2200"/>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Business and Finance</w:t>
            </w:r>
          </w:p>
        </w:tc>
        <w:tc>
          <w:tcPr>
            <w:tcW w:type="dxa" w:w="27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Organising people and resources matches Commerce and Principles of Accounts.</w:t>
            </w:r>
          </w:p>
        </w:tc>
        <w:tc>
          <w:tcPr>
            <w:tcW w:type="dxa" w:w="26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Performing and Creative Arts (event/music production)</w:t>
            </w:r>
          </w:p>
        </w:tc>
      </w:tr>
      <w:tr>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Discovery Orientation — The Explorer</w:t>
            </w:r>
          </w:p>
        </w:tc>
        <w:tc>
          <w:tcPr>
            <w:tcW w:type="dxa" w:w="2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Natural Sciences</w:t>
            </w:r>
          </w:p>
        </w:tc>
        <w:tc>
          <w:tcPr>
            <w:tcW w:type="dxa" w:w="27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Curiosity-driven investigation matches Biology, Chemistry and Physics.</w:t>
            </w:r>
          </w:p>
        </w:tc>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Technology (Computer Science); Agriculture Science (environmental)</w:t>
            </w:r>
          </w:p>
        </w:tc>
      </w:tr>
      <w:tr>
        <w:tc>
          <w:tcPr>
            <w:tcW w:type="dxa" w:w="2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Integration Orientation — The Guide</w:t>
            </w:r>
          </w:p>
        </w:tc>
        <w:tc>
          <w:tcPr>
            <w:tcW w:type="dxa" w:w="2200"/>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Social Sciences</w:t>
            </w:r>
          </w:p>
        </w:tc>
        <w:tc>
          <w:tcPr>
            <w:tcW w:type="dxa" w:w="27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Helping and guiding others matches Literature, Religious and Civic Education.</w:t>
            </w:r>
          </w:p>
        </w:tc>
        <w:tc>
          <w:tcPr>
            <w:tcW w:type="dxa" w:w="26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Natural Sciences (Biology, for Nursing); Home Economics and Hospitality</w:t>
            </w:r>
          </w:p>
        </w:tc>
      </w:tr>
      <w:tr>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Preservation Orientation — The Guardian</w:t>
            </w:r>
          </w:p>
        </w:tc>
        <w:tc>
          <w:tcPr>
            <w:tcW w:type="dxa" w:w="2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Agriculture Science</w:t>
            </w:r>
          </w:p>
        </w:tc>
        <w:tc>
          <w:tcPr>
            <w:tcW w:type="dxa" w:w="27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Protecting and stewarding resources matches Agricultural Science.</w:t>
            </w:r>
          </w:p>
        </w:tc>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Social Sciences (Civic Education/History, for Law); Physical Education and Sport (discipline)</w:t>
            </w:r>
          </w:p>
        </w:tc>
      </w:tr>
      <w:tr>
        <w:tc>
          <w:tcPr>
            <w:tcW w:type="dxa" w:w="2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Transformation Orientation — The Transmuter</w:t>
            </w:r>
          </w:p>
        </w:tc>
        <w:tc>
          <w:tcPr>
            <w:tcW w:type="dxa" w:w="2200"/>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Technology</w:t>
            </w:r>
          </w:p>
        </w:tc>
        <w:tc>
          <w:tcPr>
            <w:tcW w:type="dxa" w:w="27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Physics/Chemistry-driven innovation matches the Technology pathway's practical core.</w:t>
            </w:r>
          </w:p>
        </w:tc>
        <w:tc>
          <w:tcPr>
            <w:tcW w:type="dxa" w:w="26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Natural Sciences; Business and Finance (entrepreneurship)</w:t>
            </w:r>
          </w:p>
        </w:tc>
      </w:tr>
    </w:tbl>
    <w:p>
      <w:pPr>
        <w:pStyle w:val="Heading2"/>
        <w:spacing w:after="100" w:before="220"/>
      </w:pPr>
      <w:r>
        <w:rPr>
          <w:rFonts w:ascii="Calibri" w:cs="Calibri" w:eastAsia="Calibri" w:hAnsi="Calibri"/>
          <w:b/>
          <w:bCs/>
          <w:color w:val="7C481E"/>
          <w:sz w:val="24"/>
          <w:szCs w:val="24"/>
        </w:rPr>
        <w:t xml:space="preserve">5.2 Advanced Level (Forms 5–6)</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600"/>
        <w:gridCol w:w="6506"/>
      </w:tblGrid>
      <w:tr>
        <w:trPr>
          <w:tblHeader/>
        </w:trPr>
        <w:tc>
          <w:tcPr>
            <w:tcW w:type="dxa" w:w="36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Orientation</w:t>
            </w:r>
          </w:p>
        </w:tc>
        <w:tc>
          <w:tcPr>
            <w:tcW w:type="dxa" w:w="65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Advanced Level (Form 5–6) pathway it points toward</w:t>
            </w:r>
          </w:p>
        </w:tc>
      </w:tr>
      <w:tr>
        <w:tc>
          <w:tcPr>
            <w:tcW w:type="dxa" w:w="3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Order Orientation — The Builder</w:t>
            </w:r>
          </w:p>
        </w:tc>
        <w:tc>
          <w:tcPr>
            <w:tcW w:type="dxa" w:w="6506"/>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STEM</w:t>
            </w:r>
          </w:p>
        </w:tc>
      </w:tr>
      <w:tr>
        <w:tc>
          <w:tcPr>
            <w:tcW w:type="dxa" w:w="3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Form Orientation — The Creator</w:t>
            </w:r>
          </w:p>
        </w:tc>
        <w:tc>
          <w:tcPr>
            <w:tcW w:type="dxa" w:w="6506"/>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Creative and Performing Arts</w:t>
            </w:r>
          </w:p>
        </w:tc>
      </w:tr>
      <w:tr>
        <w:tc>
          <w:tcPr>
            <w:tcW w:type="dxa" w:w="3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Coordination Orientation — The Orchestrator</w:t>
            </w:r>
          </w:p>
        </w:tc>
        <w:tc>
          <w:tcPr>
            <w:tcW w:type="dxa" w:w="6506"/>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Business Studies</w:t>
            </w:r>
          </w:p>
        </w:tc>
      </w:tr>
      <w:tr>
        <w:tc>
          <w:tcPr>
            <w:tcW w:type="dxa" w:w="3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Discovery Orientation — The Explorer</w:t>
            </w:r>
          </w:p>
        </w:tc>
        <w:tc>
          <w:tcPr>
            <w:tcW w:type="dxa" w:w="6506"/>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STEM</w:t>
            </w:r>
          </w:p>
        </w:tc>
      </w:tr>
      <w:tr>
        <w:tc>
          <w:tcPr>
            <w:tcW w:type="dxa" w:w="3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Integration Orientation — The Guide</w:t>
            </w:r>
          </w:p>
        </w:tc>
        <w:tc>
          <w:tcPr>
            <w:tcW w:type="dxa" w:w="6506"/>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Social Sciences and Languages</w:t>
            </w:r>
          </w:p>
        </w:tc>
      </w:tr>
      <w:tr>
        <w:tc>
          <w:tcPr>
            <w:tcW w:type="dxa" w:w="3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Preservation Orientation — The Guardian</w:t>
            </w:r>
          </w:p>
        </w:tc>
        <w:tc>
          <w:tcPr>
            <w:tcW w:type="dxa" w:w="6506"/>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Social Sciences and Languages</w:t>
            </w:r>
          </w:p>
        </w:tc>
      </w:tr>
      <w:tr>
        <w:tc>
          <w:tcPr>
            <w:tcW w:type="dxa" w:w="3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8"/>
                <w:szCs w:val="18"/>
              </w:rPr>
              <w:t xml:space="preserve">Transformation Orientation — The Transmuter</w:t>
            </w:r>
          </w:p>
        </w:tc>
        <w:tc>
          <w:tcPr>
            <w:tcW w:type="dxa" w:w="6506"/>
            <w:tcMar>
              <w:top w:type="dxa" w:w="90"/>
              <w:left w:type="dxa" w:w="110"/>
              <w:bottom w:type="dxa" w:w="90"/>
              <w:right w:type="dxa" w:w="110"/>
            </w:tcMar>
            <w:vAlign w:val="top"/>
          </w:tcPr>
          <w:p>
            <w:pPr>
              <w:spacing w:after="40"/>
            </w:pPr>
            <w:r>
              <w:rPr>
                <w:rFonts w:ascii="Calibri" w:cs="Calibri" w:eastAsia="Calibri" w:hAnsi="Calibri"/>
                <w:b/>
                <w:bCs/>
                <w:i w:val="false"/>
                <w:iCs w:val="false"/>
                <w:color w:val="7C481E"/>
                <w:sz w:val="18"/>
                <w:szCs w:val="18"/>
              </w:rPr>
              <w:t xml:space="preserve">STEM</w:t>
            </w:r>
          </w:p>
        </w:tc>
      </w:tr>
    </w:tbl>
    <w:tbl>
      <w:tblPr>
        <w:tblW w:type="dxa" w:w="10106"/>
        <w:tblBorders>
          <w:top w:val="single" w:color="C1631F" w:sz="12"/>
          <w:left w:val="single" w:color="C1631F" w:sz="12"/>
          <w:bottom w:val="single" w:color="C1631F" w:sz="12"/>
          <w:right w:val="single" w:color="C1631F" w:sz="12"/>
          <w:insideH w:val="none"/>
          <w:insideV w:val="none"/>
        </w:tblBorders>
      </w:tblPr>
      <w:tblGrid>
        <w:gridCol w:w="10106"/>
      </w:tblGrid>
      <w:tr>
        <w:tc>
          <w:tcPr>
            <w:tcW w:type="dxa" w:w="10106"/>
            <w:shd w:fill="FBEFD9" w:color="auto" w:val="clear"/>
            <w:tcMar>
              <w:top w:type="dxa" w:w="160"/>
              <w:left w:type="dxa" w:w="200"/>
              <w:bottom w:type="dxa" w:w="160"/>
              <w:right w:type="dxa" w:w="200"/>
            </w:tcMar>
          </w:tcPr>
          <w:p>
            <w:pPr>
              <w:spacing w:after="100"/>
            </w:pPr>
            <w:r>
              <w:rPr>
                <w:rFonts w:ascii="Calibri" w:cs="Calibri" w:eastAsia="Calibri" w:hAnsi="Calibri"/>
                <w:b/>
                <w:bCs/>
                <w:color w:val="7C481E"/>
                <w:sz w:val="21"/>
                <w:szCs w:val="21"/>
              </w:rPr>
              <w:t xml:space="preserve">Honest gap: two official pathways are underrepresented</w:t>
            </w:r>
          </w:p>
          <w:p>
            <w:pPr>
              <w:spacing w:after="80"/>
            </w:pPr>
            <w:r>
              <w:rPr>
                <w:rFonts w:ascii="Calibri" w:cs="Calibri" w:eastAsia="Calibri" w:hAnsi="Calibri"/>
                <w:color w:val="221F1A"/>
                <w:sz w:val="20"/>
                <w:szCs w:val="20"/>
              </w:rPr>
              <w:t xml:space="preserve">Physical Education and Sport (O-Level) and Sports Science (A-Level) are not the primary destination for any of the seven orientations as currently written — Preservation is the closest secondary fit, via discipline and physical stewardship.</w:t>
            </w:r>
          </w:p>
          <w:p>
            <w:pPr>
              <w:spacing w:after="80"/>
            </w:pPr>
            <w:r>
              <w:rPr>
                <w:rFonts w:ascii="Calibri" w:cs="Calibri" w:eastAsia="Calibri" w:hAnsi="Calibri"/>
                <w:color w:val="221F1A"/>
                <w:sz w:val="20"/>
                <w:szCs w:val="20"/>
              </w:rPr>
              <w:t xml:space="preserve">Home Economics and Hospitality (O-Level) similarly has no orientation for which it is primary — Form and Integration touch it only as a secondary/related pathway.</w:t>
            </w:r>
          </w:p>
          <w:p>
            <w:pPr>
              <w:spacing w:after="80"/>
            </w:pPr>
            <w:r>
              <w:rPr>
                <w:rFonts w:ascii="Calibri" w:cs="Calibri" w:eastAsia="Calibri" w:hAnsi="Calibri"/>
                <w:color w:val="221F1A"/>
                <w:sz w:val="20"/>
                <w:szCs w:val="20"/>
              </w:rPr>
              <w:t xml:space="preserve">If the workbook is meant to speak to the full range of official pathways, consider whether an eighth orientation, or explicit secondary content, is needed for learners drawn to sport or hospitality careers. This is not a defect that blocks submission — it is a scope limitation worth stating plainly rather than leaving a reviewer to find it.</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6. Coverage Summary Against PSVE</w:t>
      </w:r>
    </w:p>
    <w:p>
      <w:pPr>
        <w:spacing w:after="120" w:before="0"/>
      </w:pPr>
      <w:r>
        <w:rPr>
          <w:rFonts w:ascii="Calibri" w:cs="Calibri" w:eastAsia="Calibri" w:hAnsi="Calibri"/>
          <w:b w:val="false"/>
          <w:bCs w:val="false"/>
          <w:i w:val="false"/>
          <w:iCs w:val="false"/>
          <w:color w:val="221F1A"/>
          <w:sz w:val="21"/>
          <w:szCs w:val="21"/>
        </w:rPr>
        <w:t xml:space="preserve">Personal, Vocational and Educational are well covered. Social was the clear gap: the workbook develops self-knowledge and pathway knowledge, but did not build interpersonal or teamwork skills as its own focus — the Coordination and Integration orientations touch working-with-others content only as a side effect of their subject matter, not as a deliberate Social activity.</w:t>
      </w:r>
    </w:p>
    <w:p>
      <w:pPr>
        <w:pStyle w:val="ListParagraph"/>
        <w:numPr>
          <w:ilvl w:val="0"/>
          <w:numId w:val="2"/>
        </w:numPr>
        <w:spacing w:after="80"/>
      </w:pPr>
      <w:r>
        <w:rPr>
          <w:rFonts w:ascii="Calibri" w:cs="Calibri" w:eastAsia="Calibri" w:hAnsi="Calibri"/>
          <w:color w:val="221F1A"/>
          <w:sz w:val="21"/>
          <w:szCs w:val="21"/>
        </w:rPr>
        <w:t xml:space="preserve">Resolved: docs/facilitators-guide.docx Section 8.3 now closes Session 3 with a small-group activity — learners share a Pathways to Explore item, then discuss what each person's orientation would contribute to a shared class project and which orientation, if any, is missing from the group.</w:t>
      </w:r>
    </w:p>
    <w:p>
      <w:pPr>
        <w:pStyle w:val="Heading1"/>
        <w:pBdr>
          <w:bottom w:val="single" w:color="A8632C" w:sz="6" w:space="4"/>
        </w:pBdr>
        <w:spacing w:after="140" w:before="320"/>
      </w:pPr>
      <w:r>
        <w:rPr>
          <w:rFonts w:ascii="Calibri" w:cs="Calibri" w:eastAsia="Calibri" w:hAnsi="Calibri"/>
          <w:b/>
          <w:bCs/>
          <w:color w:val="7C481E"/>
          <w:sz w:val="30"/>
          <w:szCs w:val="30"/>
        </w:rPr>
        <w:t xml:space="preserve">7. Data-Accuracy Notes for the Workbook Itself</w:t>
      </w:r>
    </w:p>
    <w:p>
      <w:pPr>
        <w:spacing w:after="120" w:before="0"/>
      </w:pPr>
      <w:r>
        <w:rPr>
          <w:rFonts w:ascii="Calibri" w:cs="Calibri" w:eastAsia="Calibri" w:hAnsi="Calibri"/>
          <w:b w:val="false"/>
          <w:bCs w:val="false"/>
          <w:i w:val="false"/>
          <w:iCs w:val="false"/>
          <w:color w:val="221F1A"/>
          <w:sz w:val="21"/>
          <w:szCs w:val="21"/>
        </w:rPr>
        <w:t xml:space="preserve">Cross-checking the workbook's own pathways content against the Framework's exact subject names surfaced three small precision issues, worth fixing in data/vocations.json before submission: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706"/>
      </w:tblGrid>
      <w:tr>
        <w:trPr>
          <w:tblHeader/>
        </w:trPr>
        <w:tc>
          <w:tcPr>
            <w:tcW w:type="dxa" w:w="32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Where</w:t>
            </w:r>
          </w:p>
        </w:tc>
        <w:tc>
          <w:tcPr>
            <w:tcW w:type="dxa" w:w="32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What the Framework actually says</w:t>
            </w:r>
          </w:p>
        </w:tc>
        <w:tc>
          <w:tcPr>
            <w:tcW w:type="dxa" w:w="37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Suggested fix</w:t>
            </w:r>
          </w:p>
        </w:tc>
      </w:tr>
      <w:tr>
        <w:tc>
          <w:tcPr>
            <w:tcW w:type="dxa" w:w="3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“Home Economics” listed as a subject to focus on (Integration profile)</w:t>
            </w:r>
          </w:p>
        </w:tc>
        <w:tc>
          <w:tcPr>
            <w:tcW w:type="dxa" w:w="3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Not an exact O-Level subject name. The Framework names the constituent subjects as Fashion and Fabrics, Food and Nutrition, Hospitality Management, and Travel and Tourism.</w:t>
            </w:r>
          </w:p>
        </w:tc>
        <w:tc>
          <w:tcPr>
            <w:tcW w:type="dxa" w:w="37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Replace with the specific subject most relevant to that orientation (e.g. Food and Nutrition for Integration).</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“Computer Studies” listed as a subject to focus on (several orientations)</w:t>
            </w:r>
          </w:p>
        </w:tc>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The Framework states Computer Studies is compulsory for ALL pathways but non-examinable; Computer Science is the examinable Technology-pathway subject.</w:t>
            </w:r>
          </w:p>
        </w:tc>
        <w:tc>
          <w:tcPr>
            <w:tcW w:type="dxa" w:w="37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For orientations pointing toward Technology/Data careers, name Computer Science specifically alongside Computer Studies.</w:t>
            </w:r>
          </w:p>
        </w:tc>
      </w:tr>
      <w:tr>
        <w:tc>
          <w:tcPr>
            <w:tcW w:type="dxa" w:w="3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“Accounting” listed as a tertiary field (Order profile)</w:t>
            </w:r>
          </w:p>
        </w:tc>
        <w:tc>
          <w:tcPr>
            <w:tcW w:type="dxa" w:w="3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The O-Level feeder subject is specifically named Principles of Accounts.</w:t>
            </w:r>
          </w:p>
        </w:tc>
        <w:tc>
          <w:tcPr>
            <w:tcW w:type="dxa" w:w="37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Minor: keep “Accounting” for the tertiary field, but reference Principles of Accounts as the O-Level subject.</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8. Remaining Recommendations Before Submission</w:t>
      </w:r>
    </w:p>
    <w:p>
      <w:pPr>
        <w:pStyle w:val="ListParagraph"/>
        <w:numPr>
          <w:ilvl w:val="0"/>
          <w:numId w:val="2"/>
        </w:numPr>
        <w:spacing w:after="80"/>
      </w:pPr>
      <w:r>
        <w:rPr>
          <w:rFonts w:ascii="Calibri" w:cs="Calibri" w:eastAsia="Calibri" w:hAnsi="Calibri"/>
          <w:color w:val="221F1A"/>
          <w:sz w:val="21"/>
          <w:szCs w:val="21"/>
        </w:rPr>
        <w:t xml:space="preserve">Open: confirm with CDC / a serving Guidance teacher whether a separate, more granular Guidance and Counselling syllabus exists beyond this Framework (Section 2.4).</w:t>
      </w:r>
    </w:p>
    <w:p>
      <w:pPr>
        <w:pStyle w:val="ListParagraph"/>
        <w:numPr>
          <w:ilvl w:val="0"/>
          <w:numId w:val="2"/>
        </w:numPr>
        <w:spacing w:after="80"/>
      </w:pPr>
      <w:r>
        <w:rPr>
          <w:rFonts w:ascii="Calibri" w:cs="Calibri" w:eastAsia="Calibri" w:hAnsi="Calibri"/>
          <w:color w:val="221F1A"/>
          <w:sz w:val="21"/>
          <w:szCs w:val="21"/>
        </w:rPr>
        <w:t xml:space="preserve">Done: the three data-accuracy fixes in Section 7 have been applied to data/vocations.json.</w:t>
      </w:r>
    </w:p>
    <w:p>
      <w:pPr>
        <w:pStyle w:val="ListParagraph"/>
        <w:numPr>
          <w:ilvl w:val="0"/>
          <w:numId w:val="2"/>
        </w:numPr>
        <w:spacing w:after="80"/>
      </w:pPr>
      <w:r>
        <w:rPr>
          <w:rFonts w:ascii="Calibri" w:cs="Calibri" w:eastAsia="Calibri" w:hAnsi="Calibri"/>
          <w:color w:val="221F1A"/>
          <w:sz w:val="21"/>
          <w:szCs w:val="21"/>
        </w:rPr>
        <w:t xml:space="preserve">Done: Social-domain activity added — see Section 6 and docs/facilitators-guide.docx Section 8.3.</w:t>
      </w:r>
    </w:p>
    <w:p>
      <w:pPr>
        <w:pStyle w:val="ListParagraph"/>
        <w:numPr>
          <w:ilvl w:val="0"/>
          <w:numId w:val="2"/>
        </w:numPr>
        <w:spacing w:after="80"/>
      </w:pPr>
      <w:r>
        <w:rPr>
          <w:rFonts w:ascii="Calibri" w:cs="Calibri" w:eastAsia="Calibri" w:hAnsi="Calibri"/>
          <w:color w:val="221F1A"/>
          <w:sz w:val="21"/>
          <w:szCs w:val="21"/>
        </w:rPr>
        <w:t xml:space="preserve">Done: facilitator's guide — see docs/facilitators-guide.docx.</w:t>
      </w:r>
    </w:p>
    <w:p>
      <w:pPr>
        <w:pStyle w:val="ListParagraph"/>
        <w:numPr>
          <w:ilvl w:val="0"/>
          <w:numId w:val="2"/>
        </w:numPr>
        <w:spacing w:after="80"/>
      </w:pPr>
      <w:r>
        <w:rPr>
          <w:rFonts w:ascii="Calibri" w:cs="Calibri" w:eastAsia="Calibri" w:hAnsi="Calibri"/>
          <w:color w:val="221F1A"/>
          <w:sz w:val="21"/>
          <w:szCs w:val="21"/>
        </w:rPr>
        <w:t xml:space="preserve">In progress: the pilot protocol, observation log, and student/facilitator feedback forms are ready — see docs/pilot-plan.docx. Running the pilot itself in a real school, and completing that document's Pilot Summary Report, is still outstanding.</w:t>
      </w:r>
    </w:p>
    <w:p>
      <w:pPr>
        <w:pStyle w:val="ListParagraph"/>
        <w:numPr>
          <w:ilvl w:val="0"/>
          <w:numId w:val="2"/>
        </w:numPr>
        <w:spacing w:after="80"/>
      </w:pPr>
      <w:r>
        <w:rPr>
          <w:rFonts w:ascii="Calibri" w:cs="Calibri" w:eastAsia="Calibri" w:hAnsi="Calibri"/>
          <w:color w:val="221F1A"/>
          <w:sz w:val="21"/>
          <w:szCs w:val="21"/>
        </w:rPr>
        <w:t xml:space="preserve">Ongoing: keep the workbook's framing consistent throughout as a self-reflection and discussion tool, not a validated psychometric or diagnostic test.</w:t>
      </w:r>
    </w:p>
    <w:p>
      <w:pPr>
        <w:pStyle w:val="Heading1"/>
        <w:pBdr>
          <w:bottom w:val="single" w:color="A8632C" w:sz="6" w:space="4"/>
        </w:pBdr>
        <w:spacing w:after="140" w:before="320"/>
      </w:pPr>
      <w:r>
        <w:rPr>
          <w:rFonts w:ascii="Calibri" w:cs="Calibri" w:eastAsia="Calibri" w:hAnsi="Calibri"/>
          <w:b/>
          <w:bCs/>
          <w:color w:val="7C481E"/>
          <w:sz w:val="30"/>
          <w:szCs w:val="30"/>
        </w:rPr>
        <w:t xml:space="preserve">9. Verification Sign-Off</w:t>
      </w:r>
    </w:p>
    <w:p>
      <w:pPr>
        <w:spacing w:after="120" w:before="0"/>
      </w:pPr>
      <w:r>
        <w:rPr>
          <w:rFonts w:ascii="Calibri" w:cs="Calibri" w:eastAsia="Calibri" w:hAnsi="Calibri"/>
          <w:b w:val="false"/>
          <w:bCs w:val="false"/>
          <w:i w:val="false"/>
          <w:iCs w:val="false"/>
          <w:color w:val="221F1A"/>
          <w:sz w:val="21"/>
          <w:szCs w:val="21"/>
        </w:rPr>
        <w:t xml:space="preserve">To be completed once Section 2.4's verification item has been resolved.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2506"/>
      </w:tblGrid>
      <w:tr>
        <w:trPr>
          <w:tblHeader/>
        </w:trPr>
        <w:tc>
          <w:tcPr>
            <w:tcW w:type="dxa" w:w="38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Name &amp; position</w:t>
            </w:r>
          </w:p>
        </w:tc>
        <w:tc>
          <w:tcPr>
            <w:tcW w:type="dxa" w:w="38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Signature</w:t>
            </w:r>
          </w:p>
        </w:tc>
        <w:tc>
          <w:tcPr>
            <w:tcW w:type="dxa" w:w="25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8"/>
                <w:szCs w:val="18"/>
              </w:rPr>
              <w:t xml:space="preserve">Date</w:t>
            </w:r>
          </w:p>
        </w:tc>
      </w:tr>
      <w:tr>
        <w:tc>
          <w:tcPr>
            <w:tcW w:type="dxa" w:w="38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 </w:t>
            </w:r>
          </w:p>
        </w:tc>
        <w:tc>
          <w:tcPr>
            <w:tcW w:type="dxa" w:w="38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 </w:t>
            </w:r>
          </w:p>
        </w:tc>
        <w:tc>
          <w:tcPr>
            <w:tcW w:type="dxa" w:w="2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8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 </w:t>
            </w:r>
          </w:p>
        </w:tc>
        <w:tc>
          <w:tcPr>
            <w:tcW w:type="dxa" w:w="38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 </w:t>
            </w:r>
          </w:p>
        </w:tc>
        <w:tc>
          <w:tcPr>
            <w:tcW w:type="dxa" w:w="2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8"/>
                <w:szCs w:val="18"/>
              </w:rPr>
              <w:t xml:space="preserve"> </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858"/>
        <w:sz w:val="16"/>
        <w:szCs w:val="16"/>
      </w:rPr>
      <w:t xml:space="preserve">Page </w:t>
    </w:r>
    <w:r>
      <w:rPr>
        <w:rFonts w:ascii="Calibri" w:cs="Calibri" w:eastAsia="Calibri" w:hAnsi="Calibri"/>
        <w:color w:val="6E6858"/>
        <w:sz w:val="16"/>
        <w:szCs w:val="16"/>
      </w:rPr>
      <w:fldChar w:fldCharType="begin"/>
      <w:instrText xml:space="preserve">PAGE</w:instrText>
      <w:fldChar w:fldCharType="separate"/>
      <w:fldChar w:fldCharType="end"/>
    </w:r>
    <w:r>
      <w:rPr>
        <w:rFonts w:ascii="Calibri" w:cs="Calibri" w:eastAsia="Calibri" w:hAnsi="Calibri"/>
        <w:color w:val="6E6858"/>
        <w:sz w:val="16"/>
        <w:szCs w:val="16"/>
      </w:rPr>
      <w:t xml:space="preserve"> of </w:t>
    </w:r>
    <w:r>
      <w:rPr>
        <w:rFonts w:ascii="Calibri" w:cs="Calibri" w:eastAsia="Calibri" w:hAnsi="Calibri"/>
        <w:color w:val="6E685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2" w:sz="4" w:space="4"/>
      </w:pBdr>
      <w:jc w:val="right"/>
    </w:pPr>
    <w:r>
      <w:rPr>
        <w:rFonts w:ascii="Calibri" w:cs="Calibri" w:eastAsia="Calibri" w:hAnsi="Calibri"/>
        <w:color w:val="6E6858"/>
        <w:sz w:val="16"/>
        <w:szCs w:val="16"/>
      </w:rPr>
      <w:t xml:space="preserve">Pathway Orientation — Syllabus Mapping (DRAFT v0.6)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2026-09-15T13:49:26.072Z</dcterms:created>
  <dcterms:modified xsi:type="dcterms:W3CDTF">2026-09-15T13:49:26.072Z</dcterms:modified>
</cp:coreProperties>
</file>

<file path=docProps/custom.xml><?xml version="1.0" encoding="utf-8"?>
<Properties xmlns="http://schemas.openxmlformats.org/officeDocument/2006/custom-properties" xmlns:vt="http://schemas.openxmlformats.org/officeDocument/2006/docPropsVTypes"/>
</file>