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Highveld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Barney Molokwane, Trichardt 2301,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HIG-001 - 2023/05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HIG-001 - 2023/05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16,573.61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16,573.61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2,486.04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19,059.65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