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Tzaneen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Wolkberg Drive R71,Tzaneen,8500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TZA-001 - 2023/04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TZA-001 - 2023/04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18,441.32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18,441.32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2,766.20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21,207.52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