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Adeventist University of central Africa (AUCA)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Faculty:</w:t>
      </w:r>
      <w:r>
        <w:rPr>
          <w:rFonts w:hint="default"/>
          <w:lang w:val="en-US"/>
        </w:rPr>
        <w:t xml:space="preserve"> Information Technology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Course:</w:t>
      </w:r>
      <w:r>
        <w:rPr>
          <w:rFonts w:hint="default"/>
          <w:lang w:val="en-US"/>
        </w:rPr>
        <w:t xml:space="preserve"> Study and Method Research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Assignment:</w:t>
      </w:r>
      <w:r>
        <w:rPr>
          <w:rFonts w:hint="default"/>
          <w:lang w:val="en-US"/>
        </w:rPr>
        <w:t xml:space="preserve"> Submission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Group Number:</w:t>
      </w:r>
      <w:r>
        <w:rPr>
          <w:rFonts w:hint="default"/>
          <w:lang w:val="en-US"/>
        </w:rPr>
        <w:t xml:space="preserve"> Group 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Members: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Mutangana Joseph 29062</w:t>
      </w: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MUHIRE Heritier     28773</w:t>
      </w: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HASHIMWIMANA Bruno 29012</w:t>
      </w: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 4-reg</w:t>
      </w: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 5-reg</w:t>
      </w: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 6-reg</w:t>
      </w:r>
    </w:p>
    <w:p>
      <w:pPr>
        <w:numPr>
          <w:ilvl w:val="0"/>
          <w:numId w:val="11"/>
        </w:numPr>
        <w:tabs>
          <w:tab w:val="clear" w:pos="845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 7-reg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Date:</w:t>
      </w:r>
      <w:r>
        <w:rPr>
          <w:rFonts w:hint="default"/>
          <w:lang w:val="en-US"/>
        </w:rPr>
        <w:t xml:space="preserve"> May 7, 2025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lang w:val="en-US" w:eastAsia="zh-CN"/>
        </w:rPr>
        <w:t>- Transcript of student Not in probation after 8 semesters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tbl>
      <w:tblPr>
        <w:tblStyle w:val="111"/>
        <w:tblW w:w="0" w:type="auto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154"/>
        <w:gridCol w:w="1592"/>
        <w:gridCol w:w="1679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Course Name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Credits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Garde/20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Principles of Accounting I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comp appliccation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Applied Mathematics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Bible Study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Study &amp; method Research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General English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Total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142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2204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GPA</w:t>
      </w:r>
      <w:r>
        <w:rPr>
          <w:rFonts w:hint="default"/>
          <w:lang w:val="en-US"/>
        </w:rPr>
        <w:t xml:space="preserve"> = 2204/142  = 15.5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GPA of Mojor Courses</w:t>
      </w:r>
      <w:r>
        <w:rPr>
          <w:rFonts w:hint="default"/>
          <w:lang w:val="en-US"/>
        </w:rPr>
        <w:t xml:space="preserve"> = 434+496/31+31 = 930/62 =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Transcript of Student in probation after 4 Semesters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/>
          <w:bCs/>
          <w:lang w:val="en-US" w:eastAsia="zh-CN"/>
        </w:rPr>
      </w:pPr>
    </w:p>
    <w:tbl>
      <w:tblPr>
        <w:tblStyle w:val="111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154"/>
        <w:gridCol w:w="1592"/>
        <w:gridCol w:w="1679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Course Name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Credits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Garde/20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Credits*Grade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Principles of Accounting I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comp appliccation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Applied Mathematics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 to Bible Study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Study &amp; method Research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General English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Total</w:t>
            </w:r>
          </w:p>
        </w:tc>
        <w:tc>
          <w:tcPr>
            <w:tcW w:w="11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621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GPA</w:t>
      </w:r>
      <w:r>
        <w:rPr>
          <w:rFonts w:hint="default"/>
          <w:lang w:val="en-US"/>
        </w:rPr>
        <w:t xml:space="preserve"> = 621/70  = 8.8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GPA of Mojor Courses</w:t>
      </w:r>
      <w:r>
        <w:rPr>
          <w:rFonts w:hint="default"/>
          <w:lang w:val="en-US"/>
        </w:rPr>
        <w:t xml:space="preserve"> = 120+105/15+15= 225/30 = 7.5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3</w:t>
      </w:r>
      <w:r>
        <w:rPr>
          <w:rFonts w:hint="default" w:asciiTheme="minorAscii" w:hAnsiTheme="minorAscii" w:cstheme="minorEastAsia"/>
          <w:b/>
          <w:bCs/>
          <w:color w:val="aut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– Calendar, Diary, and Timetable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42"/>
        <w:gridCol w:w="1690"/>
        <w:gridCol w:w="1762"/>
        <w:gridCol w:w="1762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Month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1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2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3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/>
                <w:bCs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January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___________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Orientation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Classes started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Continued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February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contued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Quizzes began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Continued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Contued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March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Midsemster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Midsemester exams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Midsemester exams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of prayer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April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week of Prayer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Genocide Memorial week 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Lessons continued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Revision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May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Revision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exam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Final exam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 w:bidi="ar"/>
              </w:rPr>
              <w:t>End semester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/>
          <w:sz w:val="8"/>
          <w:szCs w:val="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8FD605"/>
    <w:multiLevelType w:val="singleLevel"/>
    <w:tmpl w:val="FC8FD6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7BDE893E"/>
    <w:multiLevelType w:val="singleLevel"/>
    <w:tmpl w:val="7BDE893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D1CA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DD1CA7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2025-05-01T09:24:00Z</dcterms:created>
  <dc:creator>jmutangana</dc:creator>
  <cp:lastModifiedBy>jmutangana</cp:lastModifiedBy>
  <dcterms:modified xsi:type="dcterms:W3CDTF">2025-05-01T10:54:56Z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