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Remediation Progress Report</w:t>
      </w:r>
    </w:p>
    <w:p>
      <w:r>
        <w:t xml:space="preserve">Client: Example Energy Ltd.</w:t>
      </w:r>
    </w:p>
    <w:p>
      <w:r>
        <w:t xml:space="preserve">Site: Example Wellsite Remediation</w:t>
      </w:r>
    </w:p>
    <w:p>
      <w:r>
        <w:t xml:space="preserve">RAP status: Approved RAP — active</w:t>
      </w:r>
    </w:p>
    <w:p>
      <w:r>
        <w:t xml:space="preserve">Prepared by: Ecoventure E2E | 2026-06-08</w:t>
      </w:r>
    </w:p>
    <w:p>
      <w:pPr>
        <w:pStyle w:val="Heading1"/>
      </w:pPr>
      <w:r>
        <w:t>Executive Summary</w:t>
      </w:r>
    </w:p>
    <w:p>
      <w:r>
        <w:t xml:space="preserve">Ecoventure Inc. prepared this remediation summary report for Example Energy Ltd. at Example Wellsite Remediation.</w:t>
        <w:br/>
        <w:t xml:space="preserve"/>
        <w:br/>
        <w:t xml:space="preserve">Remediation activities are ongoing at the site under an approved remedial action plan. This report summarizes confirmatory sampling and progress toward remedial objectives.</w:t>
        <w:br/>
        <w:t xml:space="preserve"/>
        <w:br/>
        <w:t xml:space="preserve">Remedial action plan status: Approved RAP — active.</w:t>
        <w:br/>
        <w:t xml:space="preserve"/>
        <w:br/>
        <w:t xml:space="preserve">1 confirmatory result(s) exceeded remedial objectives.</w:t>
        <w:br/>
        <w:t xml:space="preserve"/>
        <w:br/>
        <w:t xml:space="preserve">Continue treatment until confirmatory objectives are met for benzene at MW-2.</w:t>
      </w:r>
    </w:p>
    <w:p>
      <w:r>
        <w:t xml:space="preserve">Objectives: 1 | Treatments: 1</w:t>
      </w:r>
    </w:p>
    <w:p>
      <w:r>
        <w:t xml:space="preserve">1 confirmatory result(s) exceeded remedial objectives</w:t>
      </w:r>
    </w:p>
    <w:p/>
    <w:p>
      <w:r>
        <w:t>Remediation objectives: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Objective</w:t>
            </w:r>
          </w:p>
        </w:tc>
        <w:tc>
          <w:tcPr>
            <w:tcW w:type="dxa" w:w="2160"/>
          </w:tcPr>
          <w:p>
            <w:r>
              <w:t>RAP ref</w:t>
            </w:r>
          </w:p>
        </w:tc>
      </w:tr>
      <w:tr>
        <w:tc>
          <w:tcPr>
            <w:tcW w:type="dxa" w:w="2160"/>
          </w:tcPr>
          <w:p>
            <w:r>
              <w:t xml:space="preserve">Groundwater</w:t>
            </w:r>
          </w:p>
        </w:tc>
        <w:tc>
          <w:tcPr>
            <w:tcW w:type="dxa" w:w="2160"/>
          </w:tcPr>
          <w:p>
            <w:r>
              <w:t xml:space="preserve">Benzene</w:t>
            </w:r>
          </w:p>
        </w:tc>
        <w:tc>
          <w:tcPr>
            <w:tcW w:type="dxa" w:w="2160"/>
          </w:tcPr>
          <w:p>
            <w:r>
              <w:t xml:space="preserve">0.005 mg/L</w:t>
            </w:r>
          </w:p>
        </w:tc>
        <w:tc>
          <w:tcPr>
            <w:tcW w:type="dxa" w:w="2160"/>
          </w:tcPr>
          <w:p>
            <w:r>
              <w:t xml:space="preserve">RAP Table 3-1</w:t>
            </w:r>
          </w:p>
        </w:tc>
      </w:tr>
    </w:tbl>
    <w:p/>
    <w:p>
      <w:r>
        <w:t>Treatment events: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Contractor</w:t>
            </w:r>
          </w:p>
        </w:tc>
      </w:tr>
      <w:tr>
        <w:tc>
          <w:tcPr>
            <w:tcW w:type="dxa" w:w="1728"/>
          </w:tcPr>
          <w:p>
            <w:r>
              <w:t xml:space="preserve">2026-03-01</w:t>
            </w:r>
          </w:p>
        </w:tc>
        <w:tc>
          <w:tcPr>
            <w:tcW w:type="dxa" w:w="1728"/>
          </w:tcPr>
          <w:p>
            <w:r>
              <w:t xml:space="preserve">Air sparging</w:t>
            </w:r>
          </w:p>
        </w:tc>
        <w:tc>
          <w:tcPr>
            <w:tcW w:type="dxa" w:w="1728"/>
          </w:tcPr>
          <w:p>
            <w:r>
              <w:t xml:space="preserve">MW-2 vicinity</w:t>
            </w:r>
          </w:p>
        </w:tc>
        <w:tc>
          <w:tcPr>
            <w:tcW w:type="dxa" w:w="1728"/>
          </w:tcPr>
          <w:p>
            <w:r>
              <w:t xml:space="preserve"/>
            </w:r>
          </w:p>
        </w:tc>
        <w:tc>
          <w:tcPr>
            <w:tcW w:type="dxa" w:w="1728"/>
          </w:tcPr>
          <w:p>
            <w:r>
              <w:t xml:space="preserve">Remediation contractor</w:t>
            </w:r>
          </w:p>
        </w:tc>
      </w:tr>
    </w:tbl>
    <w:p/>
    <w:p>
      <w:r>
        <w:t>Confirmatory sampling: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Well ID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Analyte</w:t>
            </w:r>
          </w:p>
        </w:tc>
        <w:tc>
          <w:tcPr>
            <w:tcW w:type="dxa" w:w="1440"/>
          </w:tcPr>
          <w:p>
            <w:r>
              <w:t>Result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Exceedance</w:t>
            </w:r>
          </w:p>
        </w:tc>
      </w:tr>
      <w:tr>
        <w:tc>
          <w:tcPr>
            <w:tcW w:type="dxa" w:w="1440"/>
          </w:tcPr>
          <w:p>
            <w:r>
              <w:t xml:space="preserve">MW-2</w:t>
            </w:r>
          </w:p>
        </w:tc>
        <w:tc>
          <w:tcPr>
            <w:tcW w:type="dxa" w:w="1440"/>
          </w:tcPr>
          <w:p>
            <w:r>
              <w:t xml:space="preserve">2026-04-15</w:t>
            </w:r>
          </w:p>
        </w:tc>
        <w:tc>
          <w:tcPr>
            <w:tcW w:type="dxa" w:w="1440"/>
          </w:tcPr>
          <w:p>
            <w:r>
              <w:t xml:space="preserve">Benzene</w:t>
            </w:r>
          </w:p>
        </w:tc>
        <w:tc>
          <w:tcPr>
            <w:tcW w:type="dxa" w:w="1440"/>
          </w:tcPr>
          <w:p>
            <w:r>
              <w:t xml:space="preserve">
                <w:r>
                  <w:rPr>
                    <w:color w:val="FF0000"/>
                    <w:b/>
                  </w:rPr>
                  <w:t xml:space="preserve">0.008</w:t>
                </w:r>
              </w:t>
            </w:r>
          </w:p>
        </w:tc>
        <w:tc>
          <w:tcPr>
            <w:tcW w:type="dxa" w:w="1440"/>
          </w:tcPr>
          <w:p>
            <w:r>
              <w:t xml:space="preserve">mg/L</w:t>
            </w:r>
          </w:p>
        </w:tc>
        <w:tc>
          <w:tcPr>
            <w:tcW w:type="dxa" w:w="1440"/>
          </w:tcPr>
          <w:p>
            <w:r>
              <w:t xml:space="preserve">Yes</w:t>
            </w:r>
          </w:p>
        </w:tc>
      </w:tr>
    </w:tbl>
    <w:p>
      <w:pPr>
        <w:pStyle w:val="Heading1"/>
      </w:pPr>
      <w:r>
        <w:t>Conclusions</w:t>
      </w:r>
    </w:p>
    <w:p>
      <w:r>
        <w:t xml:space="preserve">Continue treatment until confirmatory objectives are met for benzene at MW-2.</w:t>
      </w:r>
    </w:p>
    <w:p>
      <w:r>
        <w:t xml:space="preserve">Ecoventure recommends deferring closure until additional monitoring or remedial work is completed.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